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EF9" w:rsidRPr="005E0EF9" w:rsidRDefault="005E0EF9" w:rsidP="005E0EF9">
      <w:pPr>
        <w:spacing w:after="360" w:line="360" w:lineRule="auto"/>
        <w:rPr>
          <w:rFonts w:ascii="Arial" w:eastAsia="Calibri" w:hAnsi="Arial" w:cs="Arial"/>
          <w:b/>
          <w:u w:val="single"/>
        </w:rPr>
      </w:pPr>
      <w:r w:rsidRPr="005E0EF9">
        <w:rPr>
          <w:rFonts w:ascii="Arial" w:eastAsia="Calibri" w:hAnsi="Arial" w:cs="Arial"/>
          <w:b/>
          <w:u w:val="single"/>
        </w:rPr>
        <w:t>Supplementary Figures</w:t>
      </w:r>
    </w:p>
    <w:p w:rsidR="005E0EF9" w:rsidRDefault="00622CB3" w:rsidP="005E0EF9">
      <w:pPr>
        <w:spacing w:after="120" w:line="360" w:lineRule="auto"/>
        <w:jc w:val="center"/>
        <w:rPr>
          <w:rFonts w:ascii="Arial" w:eastAsia="Times New Roman" w:hAnsi="Arial" w:cs="Arial"/>
          <w:szCs w:val="24"/>
        </w:rPr>
      </w:pPr>
      <w:r>
        <w:rPr>
          <w:rFonts w:ascii="Arial" w:eastAsia="Times New Roman" w:hAnsi="Arial" w:cs="Arial"/>
          <w:noProof/>
          <w:szCs w:val="24"/>
          <w:lang w:val="it-IT" w:eastAsia="it-IT"/>
        </w:rPr>
        <w:drawing>
          <wp:inline distT="0" distB="0" distL="0" distR="0">
            <wp:extent cx="3768090" cy="2403231"/>
            <wp:effectExtent l="19050" t="19050" r="22860" b="165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_Figure1.png"/>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181" t="17118" r="25298" b="15392"/>
                    <a:stretch/>
                  </pic:blipFill>
                  <pic:spPr bwMode="auto">
                    <a:xfrm>
                      <a:off x="0" y="0"/>
                      <a:ext cx="3768940" cy="2403773"/>
                    </a:xfrm>
                    <a:prstGeom prst="rect">
                      <a:avLst/>
                    </a:prstGeom>
                    <a:ln>
                      <a:solidFill>
                        <a:schemeClr val="bg1">
                          <a:lumMod val="75000"/>
                        </a:schemeClr>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E0EF9" w:rsidRDefault="005E0EF9" w:rsidP="005E0EF9">
      <w:pPr>
        <w:spacing w:after="360" w:line="360" w:lineRule="auto"/>
        <w:jc w:val="both"/>
        <w:rPr>
          <w:rFonts w:ascii="Arial" w:eastAsia="Times New Roman" w:hAnsi="Arial" w:cs="Arial"/>
          <w:szCs w:val="24"/>
        </w:rPr>
      </w:pPr>
      <w:r>
        <w:rPr>
          <w:rFonts w:ascii="Arial" w:eastAsia="Calibri" w:hAnsi="Arial" w:cs="Arial"/>
          <w:b/>
        </w:rPr>
        <w:t>Supplementary Fig. 1</w:t>
      </w:r>
      <w:r>
        <w:rPr>
          <w:rFonts w:ascii="Arial" w:hAnsi="Arial" w:cs="Arial"/>
          <w:b/>
        </w:rPr>
        <w:t xml:space="preserve">. </w:t>
      </w:r>
      <w:r>
        <w:rPr>
          <w:rFonts w:ascii="Arial" w:hAnsi="Arial" w:cs="Arial"/>
        </w:rPr>
        <w:t>Robustness of our method to erroneous priors. For each considered FP rate, we reported the total rate of FPs enclosed in each whitelist compared to the percentage of FPs included in the final consensus BN.</w:t>
      </w:r>
      <w:r>
        <w:rPr>
          <w:rFonts w:ascii="Arial" w:eastAsia="Times New Roman" w:hAnsi="Arial" w:cs="Arial"/>
          <w:szCs w:val="24"/>
        </w:rPr>
        <w:t xml:space="preserve"> Despite the increasing FPs rate, the method shown robustness to wrong prior information that is intrinsic noisiness of experimental data source.</w:t>
      </w:r>
    </w:p>
    <w:p w:rsidR="00160804" w:rsidRDefault="00160804" w:rsidP="005E0EF9">
      <w:pPr>
        <w:spacing w:after="360" w:line="360" w:lineRule="auto"/>
        <w:jc w:val="both"/>
      </w:pPr>
    </w:p>
    <w:p w:rsidR="0054506D" w:rsidRDefault="00160804" w:rsidP="007F3D4D">
      <w:pPr>
        <w:spacing w:after="120" w:line="360" w:lineRule="auto"/>
        <w:jc w:val="center"/>
        <w:rPr>
          <w:rFonts w:ascii="Arial" w:eastAsia="Calibri" w:hAnsi="Arial" w:cs="Arial"/>
          <w:b/>
        </w:rPr>
      </w:pPr>
      <w:r>
        <w:rPr>
          <w:rFonts w:ascii="Arial" w:eastAsia="Calibri" w:hAnsi="Arial" w:cs="Arial"/>
          <w:b/>
          <w:noProof/>
          <w:lang w:val="it-IT" w:eastAsia="it-IT"/>
        </w:rPr>
        <w:lastRenderedPageBreak/>
        <w:drawing>
          <wp:inline distT="0" distB="0" distL="0" distR="0">
            <wp:extent cx="4862573" cy="4832766"/>
            <wp:effectExtent l="19050" t="19050" r="14227" b="24984"/>
            <wp:docPr id="4" name="Immagine 3" descr="SupplementaryFigure2_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Figure2_HQ.jpg"/>
                    <pic:cNvPicPr/>
                  </pic:nvPicPr>
                  <pic:blipFill>
                    <a:blip r:embed="rId7" cstate="print"/>
                    <a:srcRect l="12791" t="4293" r="14977"/>
                    <a:stretch>
                      <a:fillRect/>
                    </a:stretch>
                  </pic:blipFill>
                  <pic:spPr>
                    <a:xfrm>
                      <a:off x="0" y="0"/>
                      <a:ext cx="4868540" cy="4838696"/>
                    </a:xfrm>
                    <a:prstGeom prst="rect">
                      <a:avLst/>
                    </a:prstGeom>
                    <a:ln>
                      <a:solidFill>
                        <a:schemeClr val="bg1">
                          <a:lumMod val="75000"/>
                        </a:schemeClr>
                      </a:solidFill>
                    </a:ln>
                  </pic:spPr>
                </pic:pic>
              </a:graphicData>
            </a:graphic>
          </wp:inline>
        </w:drawing>
      </w:r>
    </w:p>
    <w:p w:rsidR="007F3D4D" w:rsidRDefault="005E0EF9" w:rsidP="005E0EF9">
      <w:pPr>
        <w:spacing w:after="600" w:line="360" w:lineRule="auto"/>
        <w:jc w:val="both"/>
        <w:rPr>
          <w:rFonts w:ascii="Arial" w:eastAsia="Calibri" w:hAnsi="Arial" w:cs="Arial"/>
        </w:rPr>
      </w:pPr>
      <w:r>
        <w:rPr>
          <w:rFonts w:ascii="Arial" w:eastAsia="Calibri" w:hAnsi="Arial" w:cs="Arial"/>
          <w:b/>
        </w:rPr>
        <w:t>Supplementary Fig. 2</w:t>
      </w:r>
      <w:r w:rsidR="007F3D4D">
        <w:rPr>
          <w:rFonts w:ascii="Arial" w:eastAsia="Calibri" w:hAnsi="Arial" w:cs="Arial"/>
          <w:b/>
        </w:rPr>
        <w:t xml:space="preserve">. </w:t>
      </w:r>
      <w:r w:rsidR="007F3D4D" w:rsidRPr="007F3D4D">
        <w:rPr>
          <w:rFonts w:ascii="Arial" w:eastAsia="Calibri" w:hAnsi="Arial" w:cs="Arial"/>
        </w:rPr>
        <w:t>Correlation</w:t>
      </w:r>
      <w:r w:rsidR="007F3D4D">
        <w:rPr>
          <w:rFonts w:ascii="Arial" w:eastAsia="Calibri" w:hAnsi="Arial" w:cs="Arial"/>
          <w:b/>
        </w:rPr>
        <w:t xml:space="preserve"> </w:t>
      </w:r>
      <w:proofErr w:type="spellStart"/>
      <w:r w:rsidR="007F3D4D">
        <w:rPr>
          <w:rFonts w:ascii="Arial" w:eastAsia="Calibri" w:hAnsi="Arial" w:cs="Arial"/>
        </w:rPr>
        <w:t>Heatmap</w:t>
      </w:r>
      <w:proofErr w:type="spellEnd"/>
      <w:r w:rsidR="007F3D4D">
        <w:rPr>
          <w:rFonts w:ascii="Arial" w:eastAsia="Calibri" w:hAnsi="Arial" w:cs="Arial"/>
        </w:rPr>
        <w:t>. The Pearson Correlation was calculated between each pair of the 60 TFs, whose estimated values were tied to the related transcriptional edge as a sampling probability during the initial learning phase of the hybrid algorithm. As highlighted by red asterisk</w:t>
      </w:r>
      <w:r w:rsidR="009E474D">
        <w:rPr>
          <w:rFonts w:ascii="Arial" w:eastAsia="Calibri" w:hAnsi="Arial" w:cs="Arial"/>
        </w:rPr>
        <w:t>s</w:t>
      </w:r>
      <w:r w:rsidR="00304EB0">
        <w:rPr>
          <w:rFonts w:ascii="Arial" w:eastAsia="Calibri" w:hAnsi="Arial" w:cs="Arial"/>
        </w:rPr>
        <w:t>, all transcriptional dependencies</w:t>
      </w:r>
      <w:r w:rsidR="007F3D4D">
        <w:rPr>
          <w:rFonts w:ascii="Arial" w:eastAsia="Calibri" w:hAnsi="Arial" w:cs="Arial"/>
        </w:rPr>
        <w:t xml:space="preserve"> included in the final consensus TBN ha</w:t>
      </w:r>
      <w:r w:rsidR="00700BF6">
        <w:rPr>
          <w:rFonts w:ascii="Arial" w:eastAsia="Calibri" w:hAnsi="Arial" w:cs="Arial"/>
        </w:rPr>
        <w:t>ve</w:t>
      </w:r>
      <w:r w:rsidR="007F3D4D">
        <w:rPr>
          <w:rFonts w:ascii="Arial" w:eastAsia="Calibri" w:hAnsi="Arial" w:cs="Arial"/>
        </w:rPr>
        <w:t xml:space="preserve"> a high correlation. </w:t>
      </w:r>
    </w:p>
    <w:p w:rsidR="00A01BA2" w:rsidRDefault="00A01BA2" w:rsidP="006534C2">
      <w:pPr>
        <w:spacing w:after="120" w:line="360" w:lineRule="auto"/>
        <w:jc w:val="both"/>
        <w:rPr>
          <w:rFonts w:ascii="Arial" w:eastAsia="Calibri" w:hAnsi="Arial" w:cs="Arial"/>
          <w:b/>
        </w:rPr>
      </w:pPr>
      <w:r w:rsidRPr="00A01BA2">
        <w:rPr>
          <w:rFonts w:ascii="Arial" w:eastAsia="Calibri" w:hAnsi="Arial" w:cs="Arial"/>
          <w:b/>
        </w:rPr>
        <w:t xml:space="preserve">Major hematopoietic regulators </w:t>
      </w:r>
      <w:proofErr w:type="spellStart"/>
      <w:r w:rsidRPr="00A01BA2">
        <w:rPr>
          <w:rFonts w:ascii="Arial" w:eastAsia="Calibri" w:hAnsi="Arial" w:cs="Arial"/>
          <w:b/>
        </w:rPr>
        <w:t>sub</w:t>
      </w:r>
      <w:r w:rsidR="009E225B">
        <w:rPr>
          <w:rFonts w:ascii="Arial" w:eastAsia="Calibri" w:hAnsi="Arial" w:cs="Arial"/>
          <w:b/>
        </w:rPr>
        <w:t>network</w:t>
      </w:r>
      <w:proofErr w:type="spellEnd"/>
      <w:r w:rsidRPr="00A01BA2">
        <w:rPr>
          <w:rFonts w:ascii="Arial" w:eastAsia="Calibri" w:hAnsi="Arial" w:cs="Arial"/>
          <w:b/>
        </w:rPr>
        <w:t xml:space="preserve"> comparison</w:t>
      </w:r>
    </w:p>
    <w:p w:rsidR="00A253B6" w:rsidRDefault="00C313A7" w:rsidP="00A253B6">
      <w:pPr>
        <w:spacing w:after="0" w:line="360" w:lineRule="auto"/>
        <w:jc w:val="both"/>
        <w:rPr>
          <w:rFonts w:ascii="Arial" w:eastAsia="Calibri" w:hAnsi="Arial" w:cs="Arial"/>
        </w:rPr>
      </w:pPr>
      <w:r>
        <w:rPr>
          <w:rFonts w:ascii="Arial" w:eastAsia="Calibri" w:hAnsi="Arial" w:cs="Arial"/>
        </w:rPr>
        <w:t>The comparative analysis</w:t>
      </w:r>
      <w:r w:rsidR="009E225B">
        <w:rPr>
          <w:rFonts w:ascii="Arial" w:eastAsia="Calibri" w:hAnsi="Arial" w:cs="Arial"/>
        </w:rPr>
        <w:t>,</w:t>
      </w:r>
      <w:r>
        <w:rPr>
          <w:rFonts w:ascii="Arial" w:eastAsia="Calibri" w:hAnsi="Arial" w:cs="Arial"/>
        </w:rPr>
        <w:t xml:space="preserve"> </w:t>
      </w:r>
      <w:r w:rsidR="002D0FE0">
        <w:rPr>
          <w:rFonts w:ascii="Arial" w:eastAsia="Calibri" w:hAnsi="Arial" w:cs="Arial"/>
        </w:rPr>
        <w:t xml:space="preserve">performed on </w:t>
      </w:r>
      <w:r>
        <w:rPr>
          <w:rFonts w:ascii="Arial" w:eastAsia="Calibri" w:hAnsi="Arial" w:cs="Arial"/>
        </w:rPr>
        <w:t xml:space="preserve">our </w:t>
      </w:r>
      <w:proofErr w:type="spellStart"/>
      <w:r>
        <w:rPr>
          <w:rFonts w:ascii="Arial" w:eastAsia="Calibri" w:hAnsi="Arial" w:cs="Arial"/>
        </w:rPr>
        <w:t>ChIP</w:t>
      </w:r>
      <w:proofErr w:type="spellEnd"/>
      <w:r>
        <w:rPr>
          <w:rFonts w:ascii="Arial" w:eastAsia="Calibri" w:hAnsi="Arial" w:cs="Arial"/>
        </w:rPr>
        <w:t>-</w:t>
      </w:r>
      <w:proofErr w:type="spellStart"/>
      <w:r>
        <w:rPr>
          <w:rFonts w:ascii="Arial" w:eastAsia="Calibri" w:hAnsi="Arial" w:cs="Arial"/>
        </w:rPr>
        <w:t>Seq</w:t>
      </w:r>
      <w:proofErr w:type="spellEnd"/>
      <w:r>
        <w:rPr>
          <w:rFonts w:ascii="Arial" w:eastAsia="Calibri" w:hAnsi="Arial" w:cs="Arial"/>
        </w:rPr>
        <w:t xml:space="preserve"> derived transcriptional dependencies and the </w:t>
      </w:r>
      <w:proofErr w:type="spellStart"/>
      <w:r w:rsidR="001672D2">
        <w:rPr>
          <w:rFonts w:ascii="Arial" w:eastAsia="Calibri" w:hAnsi="Arial" w:cs="Arial"/>
        </w:rPr>
        <w:t>DNaseI-footprinted</w:t>
      </w:r>
      <w:proofErr w:type="spellEnd"/>
      <w:r w:rsidR="001672D2">
        <w:rPr>
          <w:rFonts w:ascii="Arial" w:eastAsia="Calibri" w:hAnsi="Arial" w:cs="Arial"/>
        </w:rPr>
        <w:t xml:space="preserve"> </w:t>
      </w:r>
      <w:r w:rsidR="002D0FE0">
        <w:rPr>
          <w:rFonts w:ascii="Arial" w:eastAsia="Calibri" w:hAnsi="Arial" w:cs="Arial"/>
        </w:rPr>
        <w:t>transcriptional network</w:t>
      </w:r>
      <w:r w:rsidR="009E225B">
        <w:rPr>
          <w:rFonts w:ascii="Arial" w:eastAsia="Calibri" w:hAnsi="Arial" w:cs="Arial"/>
        </w:rPr>
        <w:t>,</w:t>
      </w:r>
      <w:r w:rsidR="001672D2">
        <w:rPr>
          <w:rFonts w:ascii="Arial" w:eastAsia="Calibri" w:hAnsi="Arial" w:cs="Arial"/>
        </w:rPr>
        <w:t xml:space="preserve"> </w:t>
      </w:r>
      <w:r w:rsidR="002D0FE0">
        <w:rPr>
          <w:rFonts w:ascii="Arial" w:eastAsia="Calibri" w:hAnsi="Arial" w:cs="Arial"/>
        </w:rPr>
        <w:t>was conducted</w:t>
      </w:r>
      <w:r w:rsidR="001672D2">
        <w:rPr>
          <w:rFonts w:ascii="Arial" w:eastAsia="Calibri" w:hAnsi="Arial" w:cs="Arial"/>
        </w:rPr>
        <w:t xml:space="preserve"> </w:t>
      </w:r>
      <w:r w:rsidR="002D0FE0">
        <w:rPr>
          <w:rFonts w:ascii="Arial" w:eastAsia="Calibri" w:hAnsi="Arial" w:cs="Arial"/>
        </w:rPr>
        <w:t xml:space="preserve">considering </w:t>
      </w:r>
      <w:r w:rsidR="001672D2">
        <w:rPr>
          <w:rFonts w:ascii="Arial" w:eastAsia="Calibri" w:hAnsi="Arial" w:cs="Arial"/>
        </w:rPr>
        <w:t xml:space="preserve">all regulations driven by seven major and well-characterized hematopoietic transcription factors (TFs) </w:t>
      </w:r>
      <w:r w:rsidR="001672D2" w:rsidRPr="001672D2">
        <w:rPr>
          <w:rFonts w:ascii="Arial" w:eastAsia="Calibri" w:hAnsi="Arial" w:cs="Arial"/>
        </w:rPr>
        <w:t xml:space="preserve">TAL1/SCL, SP1/PU.1, ELF1, HES1, MYB, </w:t>
      </w:r>
      <w:r w:rsidR="002D0FE0" w:rsidRPr="001672D2">
        <w:rPr>
          <w:rFonts w:ascii="Arial" w:eastAsia="Calibri" w:hAnsi="Arial" w:cs="Arial"/>
        </w:rPr>
        <w:t>GATA1</w:t>
      </w:r>
      <w:r w:rsidR="001672D2" w:rsidRPr="001672D2">
        <w:rPr>
          <w:rFonts w:ascii="Arial" w:eastAsia="Calibri" w:hAnsi="Arial" w:cs="Arial"/>
        </w:rPr>
        <w:t xml:space="preserve"> and</w:t>
      </w:r>
      <w:r w:rsidR="002D0FE0">
        <w:rPr>
          <w:rFonts w:ascii="Arial" w:eastAsia="Calibri" w:hAnsi="Arial" w:cs="Arial"/>
        </w:rPr>
        <w:t xml:space="preserve"> </w:t>
      </w:r>
      <w:r w:rsidR="002D0FE0" w:rsidRPr="001672D2">
        <w:rPr>
          <w:rFonts w:ascii="Arial" w:eastAsia="Calibri" w:hAnsi="Arial" w:cs="Arial"/>
        </w:rPr>
        <w:t>GATA2</w:t>
      </w:r>
      <w:r w:rsidR="001672D2">
        <w:rPr>
          <w:rFonts w:ascii="Arial" w:eastAsia="Calibri" w:hAnsi="Arial" w:cs="Arial"/>
        </w:rPr>
        <w:t>.</w:t>
      </w:r>
      <w:r w:rsidR="001672D2" w:rsidRPr="001672D2">
        <w:rPr>
          <w:rFonts w:ascii="Arial" w:eastAsia="Calibri" w:hAnsi="Arial" w:cs="Arial"/>
        </w:rPr>
        <w:t xml:space="preserve"> </w:t>
      </w:r>
    </w:p>
    <w:p w:rsidR="00F26EC2" w:rsidRDefault="001672D2" w:rsidP="00C313A7">
      <w:pPr>
        <w:spacing w:after="240" w:line="360" w:lineRule="auto"/>
        <w:jc w:val="both"/>
        <w:rPr>
          <w:rFonts w:ascii="Arial" w:eastAsia="Calibri" w:hAnsi="Arial" w:cs="Arial"/>
        </w:rPr>
      </w:pPr>
      <w:r>
        <w:rPr>
          <w:rFonts w:ascii="Arial" w:eastAsia="Calibri" w:hAnsi="Arial" w:cs="Arial"/>
        </w:rPr>
        <w:t xml:space="preserve">Since the genomic binding profile is available for three of the seven TFs, we </w:t>
      </w:r>
      <w:r w:rsidR="00F26EC2">
        <w:rPr>
          <w:rFonts w:ascii="Arial" w:eastAsia="Calibri" w:hAnsi="Arial" w:cs="Arial"/>
        </w:rPr>
        <w:t xml:space="preserve">examined all regulatory relationships from </w:t>
      </w:r>
      <w:r w:rsidRPr="001672D2">
        <w:rPr>
          <w:rFonts w:ascii="Arial" w:eastAsia="Calibri" w:hAnsi="Arial" w:cs="Arial"/>
        </w:rPr>
        <w:t>TAL1/SCL</w:t>
      </w:r>
      <w:r w:rsidR="002D0FE0">
        <w:rPr>
          <w:rFonts w:ascii="Arial" w:eastAsia="Calibri" w:hAnsi="Arial" w:cs="Arial"/>
        </w:rPr>
        <w:t>,</w:t>
      </w:r>
      <w:r w:rsidRPr="001672D2">
        <w:rPr>
          <w:rFonts w:ascii="Arial" w:eastAsia="Calibri" w:hAnsi="Arial" w:cs="Arial"/>
        </w:rPr>
        <w:t xml:space="preserve"> GATA1 and GATA2</w:t>
      </w:r>
      <w:r w:rsidR="00F26EC2">
        <w:rPr>
          <w:rFonts w:ascii="Arial" w:eastAsia="Calibri" w:hAnsi="Arial" w:cs="Arial"/>
        </w:rPr>
        <w:t>,</w:t>
      </w:r>
      <w:r w:rsidR="002D0FE0">
        <w:rPr>
          <w:rFonts w:ascii="Arial" w:eastAsia="Calibri" w:hAnsi="Arial" w:cs="Arial"/>
        </w:rPr>
        <w:t xml:space="preserve"> as main regulators</w:t>
      </w:r>
      <w:r w:rsidR="00F26EC2">
        <w:rPr>
          <w:rFonts w:ascii="Arial" w:eastAsia="Calibri" w:hAnsi="Arial" w:cs="Arial"/>
        </w:rPr>
        <w:t>,</w:t>
      </w:r>
      <w:r w:rsidR="002D0FE0">
        <w:rPr>
          <w:rFonts w:ascii="Arial" w:eastAsia="Calibri" w:hAnsi="Arial" w:cs="Arial"/>
        </w:rPr>
        <w:t xml:space="preserve"> </w:t>
      </w:r>
      <w:r w:rsidR="00F26EC2">
        <w:rPr>
          <w:rFonts w:ascii="Arial" w:eastAsia="Calibri" w:hAnsi="Arial" w:cs="Arial"/>
        </w:rPr>
        <w:t>to all related</w:t>
      </w:r>
      <w:r w:rsidR="002D0FE0">
        <w:rPr>
          <w:rFonts w:ascii="Arial" w:eastAsia="Calibri" w:hAnsi="Arial" w:cs="Arial"/>
        </w:rPr>
        <w:t xml:space="preserve"> TF interactors shared by both considered </w:t>
      </w:r>
      <w:r w:rsidR="00F26EC2">
        <w:rPr>
          <w:rFonts w:ascii="Arial" w:eastAsia="Calibri" w:hAnsi="Arial" w:cs="Arial"/>
        </w:rPr>
        <w:t>networks</w:t>
      </w:r>
      <w:r w:rsidR="002D0FE0">
        <w:rPr>
          <w:rFonts w:ascii="Arial" w:eastAsia="Calibri" w:hAnsi="Arial" w:cs="Arial"/>
        </w:rPr>
        <w:t xml:space="preserve">. </w:t>
      </w:r>
      <w:r w:rsidR="00F26EC2">
        <w:rPr>
          <w:rFonts w:ascii="Arial" w:eastAsia="Calibri" w:hAnsi="Arial" w:cs="Arial"/>
        </w:rPr>
        <w:t xml:space="preserve">As a result, we </w:t>
      </w:r>
      <w:r w:rsidR="009E225B">
        <w:rPr>
          <w:rFonts w:ascii="Arial" w:eastAsia="Calibri" w:hAnsi="Arial" w:cs="Arial"/>
        </w:rPr>
        <w:t>extracted</w:t>
      </w:r>
      <w:r w:rsidR="00F26EC2">
        <w:rPr>
          <w:rFonts w:ascii="Arial" w:eastAsia="Calibri" w:hAnsi="Arial" w:cs="Arial"/>
        </w:rPr>
        <w:t xml:space="preserve"> a </w:t>
      </w:r>
      <w:proofErr w:type="spellStart"/>
      <w:r w:rsidR="00F26EC2">
        <w:rPr>
          <w:rFonts w:ascii="Arial" w:eastAsia="Calibri" w:hAnsi="Arial" w:cs="Arial"/>
        </w:rPr>
        <w:t>subnetwork</w:t>
      </w:r>
      <w:proofErr w:type="spellEnd"/>
      <w:r w:rsidR="00F26EC2">
        <w:rPr>
          <w:rFonts w:ascii="Arial" w:eastAsia="Calibri" w:hAnsi="Arial" w:cs="Arial"/>
        </w:rPr>
        <w:t xml:space="preserve"> composed of 18 TF </w:t>
      </w:r>
      <w:r w:rsidR="00F26EC2">
        <w:rPr>
          <w:rFonts w:ascii="Arial" w:eastAsia="Calibri" w:hAnsi="Arial" w:cs="Arial"/>
        </w:rPr>
        <w:lastRenderedPageBreak/>
        <w:t xml:space="preserve">nodes and 65 edges, in which </w:t>
      </w:r>
      <w:r w:rsidR="00F26EC2" w:rsidRPr="00F26EC2">
        <w:rPr>
          <w:rFonts w:ascii="Arial" w:eastAsia="Calibri" w:hAnsi="Arial" w:cs="Arial"/>
        </w:rPr>
        <w:t>all common transcriptional dependencies represents</w:t>
      </w:r>
      <w:r w:rsidR="00F26EC2">
        <w:rPr>
          <w:rFonts w:ascii="Arial" w:eastAsia="Calibri" w:hAnsi="Arial" w:cs="Arial"/>
        </w:rPr>
        <w:t xml:space="preserve"> a 63% of regulatory overlap, </w:t>
      </w:r>
      <w:r w:rsidR="00700BF6">
        <w:rPr>
          <w:rFonts w:ascii="Arial" w:eastAsia="Calibri" w:hAnsi="Arial" w:cs="Arial"/>
        </w:rPr>
        <w:t xml:space="preserve">as shown in Supplementary Fig. </w:t>
      </w:r>
      <w:r w:rsidR="00D9119B">
        <w:rPr>
          <w:rFonts w:ascii="Arial" w:eastAsia="Calibri" w:hAnsi="Arial" w:cs="Arial"/>
        </w:rPr>
        <w:t>3</w:t>
      </w:r>
      <w:r w:rsidR="00F26EC2">
        <w:rPr>
          <w:rFonts w:ascii="Arial" w:eastAsia="Calibri" w:hAnsi="Arial" w:cs="Arial"/>
        </w:rPr>
        <w:t xml:space="preserve">. Moreover, included in our prior, </w:t>
      </w:r>
      <w:r w:rsidR="00A253B6">
        <w:rPr>
          <w:rFonts w:ascii="Arial" w:eastAsia="Calibri" w:hAnsi="Arial" w:cs="Arial"/>
        </w:rPr>
        <w:t xml:space="preserve">for the same core of 18 regulators, there </w:t>
      </w:r>
      <w:r w:rsidR="000D0A82">
        <w:rPr>
          <w:rFonts w:ascii="Arial" w:eastAsia="Calibri" w:hAnsi="Arial" w:cs="Arial"/>
        </w:rPr>
        <w:t xml:space="preserve">are </w:t>
      </w:r>
      <w:r w:rsidR="00A253B6">
        <w:rPr>
          <w:rFonts w:ascii="Arial" w:eastAsia="Calibri" w:hAnsi="Arial" w:cs="Arial"/>
        </w:rPr>
        <w:t>162</w:t>
      </w:r>
      <w:r w:rsidR="000D0A82">
        <w:rPr>
          <w:rFonts w:ascii="Arial" w:eastAsia="Calibri" w:hAnsi="Arial" w:cs="Arial"/>
        </w:rPr>
        <w:t xml:space="preserve"> </w:t>
      </w:r>
      <w:r w:rsidR="00A253B6">
        <w:rPr>
          <w:rFonts w:ascii="Arial" w:eastAsia="Calibri" w:hAnsi="Arial" w:cs="Arial"/>
        </w:rPr>
        <w:t xml:space="preserve">transcriptional relationships of which 75% of </w:t>
      </w:r>
      <w:r w:rsidR="00473426">
        <w:rPr>
          <w:rFonts w:ascii="Arial" w:eastAsia="Calibri" w:hAnsi="Arial" w:cs="Arial"/>
        </w:rPr>
        <w:t xml:space="preserve">these </w:t>
      </w:r>
      <w:r w:rsidR="00A253B6">
        <w:rPr>
          <w:rFonts w:ascii="Arial" w:eastAsia="Calibri" w:hAnsi="Arial" w:cs="Arial"/>
        </w:rPr>
        <w:t xml:space="preserve">interactions are not present in the </w:t>
      </w:r>
      <w:proofErr w:type="spellStart"/>
      <w:r w:rsidR="00A253B6">
        <w:rPr>
          <w:rFonts w:ascii="Arial" w:eastAsia="Calibri" w:hAnsi="Arial" w:cs="Arial"/>
        </w:rPr>
        <w:t>DNaseI</w:t>
      </w:r>
      <w:proofErr w:type="spellEnd"/>
      <w:r w:rsidR="00A253B6">
        <w:rPr>
          <w:rFonts w:ascii="Arial" w:eastAsia="Calibri" w:hAnsi="Arial" w:cs="Arial"/>
        </w:rPr>
        <w:t xml:space="preserve"> derived network, but within our proposed integrative framework </w:t>
      </w:r>
      <w:r w:rsidR="00C64E1D">
        <w:rPr>
          <w:rFonts w:ascii="Arial" w:eastAsia="Calibri" w:hAnsi="Arial" w:cs="Arial"/>
        </w:rPr>
        <w:t xml:space="preserve">they </w:t>
      </w:r>
      <w:r w:rsidR="00A253B6">
        <w:rPr>
          <w:rFonts w:ascii="Arial" w:eastAsia="Calibri" w:hAnsi="Arial" w:cs="Arial"/>
        </w:rPr>
        <w:t xml:space="preserve">can be exploited to depict a more comprehensive picture of the considered transcriptional context. </w:t>
      </w:r>
    </w:p>
    <w:p w:rsidR="00F26EC2" w:rsidRDefault="00F26EC2" w:rsidP="00F26EC2">
      <w:pPr>
        <w:spacing w:after="120" w:line="360" w:lineRule="auto"/>
        <w:jc w:val="center"/>
        <w:rPr>
          <w:rFonts w:ascii="Arial" w:eastAsia="Calibri" w:hAnsi="Arial" w:cs="Arial"/>
        </w:rPr>
      </w:pPr>
      <w:r>
        <w:rPr>
          <w:rFonts w:ascii="Arial" w:eastAsia="Calibri" w:hAnsi="Arial" w:cs="Arial"/>
          <w:noProof/>
          <w:lang w:val="it-IT" w:eastAsia="it-IT"/>
        </w:rPr>
        <w:drawing>
          <wp:inline distT="0" distB="0" distL="0" distR="0">
            <wp:extent cx="3415032" cy="2892709"/>
            <wp:effectExtent l="19050" t="19050" r="13970" b="222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jor3_regSubnetw_new_DEF.pn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942" t="13361" r="20135" b="14444"/>
                    <a:stretch/>
                  </pic:blipFill>
                  <pic:spPr bwMode="auto">
                    <a:xfrm>
                      <a:off x="0" y="0"/>
                      <a:ext cx="3433543" cy="2908389"/>
                    </a:xfrm>
                    <a:prstGeom prst="rect">
                      <a:avLst/>
                    </a:prstGeom>
                    <a:ln>
                      <a:solidFill>
                        <a:schemeClr val="bg1">
                          <a:lumMod val="75000"/>
                        </a:schemeClr>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26EC2" w:rsidRDefault="00700BF6" w:rsidP="005E0EF9">
      <w:pPr>
        <w:spacing w:after="600" w:line="360" w:lineRule="auto"/>
        <w:jc w:val="both"/>
        <w:rPr>
          <w:rFonts w:ascii="Arial" w:eastAsia="Calibri" w:hAnsi="Arial" w:cs="Arial"/>
        </w:rPr>
      </w:pPr>
      <w:r>
        <w:rPr>
          <w:rFonts w:ascii="Arial" w:eastAsia="Calibri" w:hAnsi="Arial" w:cs="Arial"/>
          <w:b/>
        </w:rPr>
        <w:t xml:space="preserve">Supplementary Fig. </w:t>
      </w:r>
      <w:r w:rsidR="00D9119B">
        <w:rPr>
          <w:rFonts w:ascii="Arial" w:eastAsia="Calibri" w:hAnsi="Arial" w:cs="Arial"/>
          <w:b/>
        </w:rPr>
        <w:t>3</w:t>
      </w:r>
      <w:r w:rsidR="00F26EC2">
        <w:rPr>
          <w:rFonts w:ascii="Arial" w:eastAsia="Calibri" w:hAnsi="Arial" w:cs="Arial"/>
          <w:b/>
        </w:rPr>
        <w:t xml:space="preserve">. </w:t>
      </w:r>
      <w:r w:rsidR="00F26EC2">
        <w:rPr>
          <w:rFonts w:ascii="Arial" w:eastAsia="Calibri" w:hAnsi="Arial" w:cs="Arial"/>
        </w:rPr>
        <w:t xml:space="preserve">Three major hematopoietic </w:t>
      </w:r>
      <w:r w:rsidR="00B94782">
        <w:rPr>
          <w:rFonts w:ascii="Arial" w:eastAsia="Calibri" w:hAnsi="Arial" w:cs="Arial"/>
        </w:rPr>
        <w:t xml:space="preserve">TFs </w:t>
      </w:r>
      <w:proofErr w:type="spellStart"/>
      <w:r w:rsidR="00F26EC2">
        <w:rPr>
          <w:rFonts w:ascii="Arial" w:eastAsia="Calibri" w:hAnsi="Arial" w:cs="Arial"/>
        </w:rPr>
        <w:t>subnetwork</w:t>
      </w:r>
      <w:proofErr w:type="spellEnd"/>
      <w:r w:rsidR="00F26EC2">
        <w:rPr>
          <w:rFonts w:ascii="Arial" w:eastAsia="Calibri" w:hAnsi="Arial" w:cs="Arial"/>
        </w:rPr>
        <w:t xml:space="preserve"> comparison. </w:t>
      </w:r>
      <w:r w:rsidR="00B94782">
        <w:rPr>
          <w:rFonts w:ascii="Arial" w:eastAsia="Calibri" w:hAnsi="Arial" w:cs="Arial"/>
        </w:rPr>
        <w:t>Shown are all transcriptional regulations from the three main hematopoietic factors (blue colored nodes)</w:t>
      </w:r>
      <w:r w:rsidR="00436E6A">
        <w:rPr>
          <w:rFonts w:ascii="Arial" w:eastAsia="Calibri" w:hAnsi="Arial" w:cs="Arial"/>
        </w:rPr>
        <w:t xml:space="preserve"> to all common regulators (aquamarine colored nodes),</w:t>
      </w:r>
      <w:r w:rsidR="00B94782">
        <w:rPr>
          <w:rFonts w:ascii="Arial" w:eastAsia="Calibri" w:hAnsi="Arial" w:cs="Arial"/>
        </w:rPr>
        <w:t xml:space="preserve"> for which the ChIP-seq binding profile is available in our prior. Shared transcriptional dependencies are highlighted in blue</w:t>
      </w:r>
      <w:r w:rsidR="00A253B6">
        <w:rPr>
          <w:rFonts w:ascii="Arial" w:eastAsia="Calibri" w:hAnsi="Arial" w:cs="Arial"/>
        </w:rPr>
        <w:t>,</w:t>
      </w:r>
      <w:r w:rsidR="00B94782">
        <w:rPr>
          <w:rFonts w:ascii="Arial" w:eastAsia="Calibri" w:hAnsi="Arial" w:cs="Arial"/>
        </w:rPr>
        <w:t xml:space="preserve"> and red arcs</w:t>
      </w:r>
      <w:r w:rsidR="00436E6A">
        <w:rPr>
          <w:rFonts w:ascii="Arial" w:eastAsia="Calibri" w:hAnsi="Arial" w:cs="Arial"/>
        </w:rPr>
        <w:t xml:space="preserve"> represent high confidence interactions embedded in the consensus TBN model</w:t>
      </w:r>
      <w:r w:rsidR="00B94782">
        <w:rPr>
          <w:rFonts w:ascii="Arial" w:eastAsia="Calibri" w:hAnsi="Arial" w:cs="Arial"/>
        </w:rPr>
        <w:t>.</w:t>
      </w:r>
    </w:p>
    <w:p w:rsidR="00B1551E" w:rsidRDefault="00B1551E" w:rsidP="006534C2">
      <w:pPr>
        <w:spacing w:after="120" w:line="360" w:lineRule="auto"/>
        <w:jc w:val="both"/>
        <w:rPr>
          <w:rFonts w:ascii="Arial" w:eastAsia="Calibri" w:hAnsi="Arial" w:cs="Arial"/>
          <w:b/>
        </w:rPr>
      </w:pPr>
      <w:r w:rsidRPr="00B1551E">
        <w:rPr>
          <w:rFonts w:ascii="Arial" w:eastAsia="Calibri" w:hAnsi="Arial" w:cs="Arial"/>
          <w:b/>
        </w:rPr>
        <w:t>TF co-association based hematopoietic transcriptional network: Hierarchical comparison</w:t>
      </w:r>
    </w:p>
    <w:p w:rsidR="00AD672A" w:rsidRDefault="00B1551E" w:rsidP="000850FD">
      <w:pPr>
        <w:spacing w:after="120" w:line="360" w:lineRule="auto"/>
        <w:jc w:val="both"/>
        <w:rPr>
          <w:rFonts w:ascii="Arial" w:eastAsia="Calibri" w:hAnsi="Arial" w:cs="Arial"/>
        </w:rPr>
      </w:pPr>
      <w:r>
        <w:rPr>
          <w:rFonts w:ascii="Arial" w:eastAsia="Calibri" w:hAnsi="Arial" w:cs="Arial"/>
        </w:rPr>
        <w:t>The</w:t>
      </w:r>
      <w:r w:rsidR="006945D3">
        <w:rPr>
          <w:rFonts w:ascii="Arial" w:eastAsia="Calibri" w:hAnsi="Arial" w:cs="Arial"/>
        </w:rPr>
        <w:t xml:space="preserve"> structural comparison of transcriptional regulations was performed between a </w:t>
      </w:r>
      <w:r w:rsidR="00E35178">
        <w:rPr>
          <w:rFonts w:ascii="Arial" w:eastAsia="Calibri" w:hAnsi="Arial" w:cs="Arial"/>
        </w:rPr>
        <w:t>TF co-association network</w:t>
      </w:r>
      <w:r w:rsidR="00304EB0">
        <w:rPr>
          <w:rFonts w:ascii="Arial" w:eastAsia="Calibri" w:hAnsi="Arial" w:cs="Arial"/>
        </w:rPr>
        <w:t>,</w:t>
      </w:r>
      <w:r w:rsidR="00E35178">
        <w:rPr>
          <w:rFonts w:ascii="Arial" w:eastAsia="Calibri" w:hAnsi="Arial" w:cs="Arial"/>
        </w:rPr>
        <w:t xml:space="preserve"> whose interactions where obtained from a co-binding map (K562 ENCODE data) using a discriminative </w:t>
      </w:r>
      <w:r w:rsidR="006945D3">
        <w:rPr>
          <w:rFonts w:ascii="Arial" w:eastAsia="Calibri" w:hAnsi="Arial" w:cs="Arial"/>
        </w:rPr>
        <w:t xml:space="preserve">machine learning </w:t>
      </w:r>
      <w:r w:rsidR="00E35178">
        <w:rPr>
          <w:rFonts w:ascii="Arial" w:eastAsia="Calibri" w:hAnsi="Arial" w:cs="Arial"/>
        </w:rPr>
        <w:t>algorithm,</w:t>
      </w:r>
      <w:r w:rsidR="006945D3">
        <w:rPr>
          <w:rFonts w:ascii="Arial" w:eastAsia="Calibri" w:hAnsi="Arial" w:cs="Arial"/>
        </w:rPr>
        <w:t xml:space="preserve"> </w:t>
      </w:r>
      <w:r w:rsidR="00F06E19">
        <w:rPr>
          <w:rFonts w:ascii="Arial" w:eastAsia="Calibri" w:hAnsi="Arial" w:cs="Arial"/>
        </w:rPr>
        <w:t xml:space="preserve">and our transcriptional Bayesian model. To evaluate </w:t>
      </w:r>
      <w:r w:rsidR="003D42FB">
        <w:rPr>
          <w:rFonts w:ascii="Arial" w:eastAsia="Calibri" w:hAnsi="Arial" w:cs="Arial"/>
        </w:rPr>
        <w:t xml:space="preserve">the similarity of transcriptional </w:t>
      </w:r>
      <w:r w:rsidR="00F06E19">
        <w:rPr>
          <w:rFonts w:ascii="Arial" w:eastAsia="Calibri" w:hAnsi="Arial" w:cs="Arial"/>
        </w:rPr>
        <w:t>dependenc</w:t>
      </w:r>
      <w:r w:rsidR="003D42FB">
        <w:rPr>
          <w:rFonts w:ascii="Arial" w:eastAsia="Calibri" w:hAnsi="Arial" w:cs="Arial"/>
        </w:rPr>
        <w:t>ies</w:t>
      </w:r>
      <w:r w:rsidR="00F06E19">
        <w:rPr>
          <w:rFonts w:ascii="Arial" w:eastAsia="Calibri" w:hAnsi="Arial" w:cs="Arial"/>
        </w:rPr>
        <w:t>, we extract</w:t>
      </w:r>
      <w:r w:rsidR="00175DBC">
        <w:rPr>
          <w:rFonts w:ascii="Arial" w:eastAsia="Calibri" w:hAnsi="Arial" w:cs="Arial"/>
        </w:rPr>
        <w:t>ed</w:t>
      </w:r>
      <w:r w:rsidR="00F06E19">
        <w:rPr>
          <w:rFonts w:ascii="Arial" w:eastAsia="Calibri" w:hAnsi="Arial" w:cs="Arial"/>
        </w:rPr>
        <w:t xml:space="preserve"> </w:t>
      </w:r>
      <w:r w:rsidR="00175DBC">
        <w:rPr>
          <w:rFonts w:ascii="Arial" w:eastAsia="Calibri" w:hAnsi="Arial" w:cs="Arial"/>
        </w:rPr>
        <w:t>from the TF</w:t>
      </w:r>
      <w:r w:rsidR="003D42FB">
        <w:rPr>
          <w:rFonts w:ascii="Arial" w:eastAsia="Calibri" w:hAnsi="Arial" w:cs="Arial"/>
        </w:rPr>
        <w:t>s</w:t>
      </w:r>
      <w:r w:rsidR="00175DBC">
        <w:rPr>
          <w:rFonts w:ascii="Arial" w:eastAsia="Calibri" w:hAnsi="Arial" w:cs="Arial"/>
        </w:rPr>
        <w:t xml:space="preserve"> co-association </w:t>
      </w:r>
      <w:r w:rsidR="00E35178">
        <w:rPr>
          <w:rFonts w:ascii="Arial" w:eastAsia="Calibri" w:hAnsi="Arial" w:cs="Arial"/>
        </w:rPr>
        <w:t>network</w:t>
      </w:r>
      <w:r w:rsidR="00175DBC">
        <w:rPr>
          <w:rFonts w:ascii="Arial" w:eastAsia="Calibri" w:hAnsi="Arial" w:cs="Arial"/>
        </w:rPr>
        <w:t xml:space="preserve"> </w:t>
      </w:r>
      <w:r w:rsidR="00F06E19">
        <w:rPr>
          <w:rFonts w:ascii="Arial" w:eastAsia="Calibri" w:hAnsi="Arial" w:cs="Arial"/>
        </w:rPr>
        <w:t xml:space="preserve">all </w:t>
      </w:r>
      <w:r w:rsidR="00175DBC">
        <w:rPr>
          <w:rFonts w:ascii="Arial" w:eastAsia="Calibri" w:hAnsi="Arial" w:cs="Arial"/>
        </w:rPr>
        <w:t xml:space="preserve">interactions from </w:t>
      </w:r>
      <w:r w:rsidR="003D42FB">
        <w:rPr>
          <w:rFonts w:ascii="Arial" w:eastAsia="Calibri" w:hAnsi="Arial" w:cs="Arial"/>
        </w:rPr>
        <w:t>factors</w:t>
      </w:r>
      <w:r w:rsidR="00F06E19">
        <w:rPr>
          <w:rFonts w:ascii="Arial" w:eastAsia="Calibri" w:hAnsi="Arial" w:cs="Arial"/>
        </w:rPr>
        <w:t xml:space="preserve"> </w:t>
      </w:r>
      <w:r w:rsidR="00175DBC">
        <w:rPr>
          <w:rFonts w:ascii="Arial" w:eastAsia="Calibri" w:hAnsi="Arial" w:cs="Arial"/>
        </w:rPr>
        <w:t>in common with our TF set</w:t>
      </w:r>
      <w:r w:rsidR="006A646B">
        <w:rPr>
          <w:rFonts w:ascii="Arial" w:eastAsia="Calibri" w:hAnsi="Arial" w:cs="Arial"/>
        </w:rPr>
        <w:t xml:space="preserve">. The resulting </w:t>
      </w:r>
      <w:proofErr w:type="spellStart"/>
      <w:r w:rsidR="00175DBC">
        <w:rPr>
          <w:rFonts w:ascii="Arial" w:eastAsia="Calibri" w:hAnsi="Arial" w:cs="Arial"/>
        </w:rPr>
        <w:t>subnetwork</w:t>
      </w:r>
      <w:proofErr w:type="spellEnd"/>
      <w:r w:rsidR="00175DBC">
        <w:rPr>
          <w:rFonts w:ascii="Arial" w:eastAsia="Calibri" w:hAnsi="Arial" w:cs="Arial"/>
        </w:rPr>
        <w:t xml:space="preserve"> of 39 </w:t>
      </w:r>
      <w:r w:rsidR="00593378">
        <w:rPr>
          <w:rFonts w:ascii="Arial" w:eastAsia="Calibri" w:hAnsi="Arial" w:cs="Arial"/>
        </w:rPr>
        <w:t xml:space="preserve">shared </w:t>
      </w:r>
      <w:r w:rsidR="00175DBC">
        <w:rPr>
          <w:rFonts w:ascii="Arial" w:eastAsia="Calibri" w:hAnsi="Arial" w:cs="Arial"/>
        </w:rPr>
        <w:t>TF node</w:t>
      </w:r>
      <w:r w:rsidR="00593378">
        <w:rPr>
          <w:rFonts w:ascii="Arial" w:eastAsia="Calibri" w:hAnsi="Arial" w:cs="Arial"/>
        </w:rPr>
        <w:t>s included</w:t>
      </w:r>
      <w:r w:rsidR="00175DBC">
        <w:rPr>
          <w:rFonts w:ascii="Arial" w:eastAsia="Calibri" w:hAnsi="Arial" w:cs="Arial"/>
        </w:rPr>
        <w:t xml:space="preserve"> </w:t>
      </w:r>
      <w:r w:rsidR="000A79DB">
        <w:rPr>
          <w:rFonts w:ascii="Arial" w:eastAsia="Calibri" w:hAnsi="Arial" w:cs="Arial"/>
        </w:rPr>
        <w:t>464 edges</w:t>
      </w:r>
      <w:r w:rsidR="00593378">
        <w:rPr>
          <w:rFonts w:ascii="Arial" w:eastAsia="Calibri" w:hAnsi="Arial" w:cs="Arial"/>
        </w:rPr>
        <w:t>, of which</w:t>
      </w:r>
      <w:r w:rsidR="00175DBC">
        <w:rPr>
          <w:rFonts w:ascii="Arial" w:eastAsia="Calibri" w:hAnsi="Arial" w:cs="Arial"/>
        </w:rPr>
        <w:t xml:space="preserve"> 93% of transcriptional regulations </w:t>
      </w:r>
      <w:r w:rsidR="003D42FB">
        <w:rPr>
          <w:rFonts w:ascii="Arial" w:eastAsia="Calibri" w:hAnsi="Arial" w:cs="Arial"/>
        </w:rPr>
        <w:t>were</w:t>
      </w:r>
      <w:r w:rsidR="00593378">
        <w:rPr>
          <w:rFonts w:ascii="Arial" w:eastAsia="Calibri" w:hAnsi="Arial" w:cs="Arial"/>
        </w:rPr>
        <w:t xml:space="preserve"> </w:t>
      </w:r>
      <w:r w:rsidR="00A8550F">
        <w:rPr>
          <w:rFonts w:ascii="Arial" w:eastAsia="Calibri" w:hAnsi="Arial" w:cs="Arial"/>
        </w:rPr>
        <w:t xml:space="preserve">found in our model. </w:t>
      </w:r>
      <w:r w:rsidR="000B154D">
        <w:rPr>
          <w:rFonts w:ascii="Arial" w:eastAsia="Calibri" w:hAnsi="Arial" w:cs="Arial"/>
        </w:rPr>
        <w:t>G</w:t>
      </w:r>
      <w:r w:rsidR="006A646B">
        <w:rPr>
          <w:rFonts w:ascii="Arial" w:eastAsia="Calibri" w:hAnsi="Arial" w:cs="Arial"/>
        </w:rPr>
        <w:t xml:space="preserve">iven the high degree of </w:t>
      </w:r>
      <w:r w:rsidR="00C702A1">
        <w:rPr>
          <w:rFonts w:ascii="Arial" w:eastAsia="Calibri" w:hAnsi="Arial" w:cs="Arial"/>
        </w:rPr>
        <w:t xml:space="preserve">similarity </w:t>
      </w:r>
      <w:r w:rsidR="00273E66">
        <w:rPr>
          <w:rFonts w:ascii="Arial" w:eastAsia="Calibri" w:hAnsi="Arial" w:cs="Arial"/>
        </w:rPr>
        <w:t>with our proposed</w:t>
      </w:r>
      <w:r w:rsidR="00C702A1">
        <w:rPr>
          <w:rFonts w:ascii="Arial" w:eastAsia="Calibri" w:hAnsi="Arial" w:cs="Arial"/>
        </w:rPr>
        <w:t xml:space="preserve"> </w:t>
      </w:r>
      <w:r w:rsidR="00C702A1" w:rsidRPr="00C702A1">
        <w:rPr>
          <w:rFonts w:ascii="Arial" w:eastAsia="Calibri" w:hAnsi="Arial" w:cs="Arial"/>
        </w:rPr>
        <w:t>regulatory diagram</w:t>
      </w:r>
      <w:r w:rsidR="00C702A1">
        <w:rPr>
          <w:rFonts w:ascii="Arial" w:eastAsia="Calibri" w:hAnsi="Arial" w:cs="Arial"/>
        </w:rPr>
        <w:t xml:space="preserve">, </w:t>
      </w:r>
      <w:r w:rsidR="00AB6261">
        <w:rPr>
          <w:rFonts w:ascii="Arial" w:eastAsia="Calibri" w:hAnsi="Arial" w:cs="Arial"/>
        </w:rPr>
        <w:t xml:space="preserve">we </w:t>
      </w:r>
      <w:r w:rsidR="00AD672A">
        <w:rPr>
          <w:rFonts w:ascii="Arial" w:eastAsia="Calibri" w:hAnsi="Arial" w:cs="Arial"/>
        </w:rPr>
        <w:t>investigated</w:t>
      </w:r>
      <w:r w:rsidR="00AB6261">
        <w:rPr>
          <w:rFonts w:ascii="Arial" w:eastAsia="Calibri" w:hAnsi="Arial" w:cs="Arial"/>
        </w:rPr>
        <w:t xml:space="preserve"> </w:t>
      </w:r>
      <w:r w:rsidR="00AD672A">
        <w:rPr>
          <w:rFonts w:ascii="Arial" w:eastAsia="Calibri" w:hAnsi="Arial" w:cs="Arial"/>
        </w:rPr>
        <w:t>if this transcriptional correspondence has an underlying common</w:t>
      </w:r>
      <w:r w:rsidR="00AB6261">
        <w:rPr>
          <w:rFonts w:ascii="Arial" w:eastAsia="Calibri" w:hAnsi="Arial" w:cs="Arial"/>
        </w:rPr>
        <w:t xml:space="preserve"> hierarch</w:t>
      </w:r>
      <w:r w:rsidR="00AD672A">
        <w:rPr>
          <w:rFonts w:ascii="Arial" w:eastAsia="Calibri" w:hAnsi="Arial" w:cs="Arial"/>
        </w:rPr>
        <w:t>ical organization</w:t>
      </w:r>
      <w:r w:rsidR="00AB6261">
        <w:rPr>
          <w:rFonts w:ascii="Arial" w:eastAsia="Calibri" w:hAnsi="Arial" w:cs="Arial"/>
        </w:rPr>
        <w:t xml:space="preserve">. </w:t>
      </w:r>
      <w:r w:rsidR="00273E66">
        <w:rPr>
          <w:rFonts w:ascii="Arial" w:eastAsia="Calibri" w:hAnsi="Arial" w:cs="Arial"/>
        </w:rPr>
        <w:t xml:space="preserve">Since on the TF co-association </w:t>
      </w:r>
      <w:r w:rsidR="00273E66">
        <w:rPr>
          <w:rFonts w:ascii="Arial" w:eastAsia="Calibri" w:hAnsi="Arial" w:cs="Arial"/>
        </w:rPr>
        <w:lastRenderedPageBreak/>
        <w:t xml:space="preserve">model was applied a </w:t>
      </w:r>
      <w:r w:rsidR="002757AF">
        <w:rPr>
          <w:rFonts w:ascii="Arial" w:eastAsia="Calibri" w:hAnsi="Arial" w:cs="Arial"/>
        </w:rPr>
        <w:t xml:space="preserve">hierarchical </w:t>
      </w:r>
      <w:r w:rsidR="00273E66">
        <w:rPr>
          <w:rFonts w:ascii="Arial" w:eastAsia="Calibri" w:hAnsi="Arial" w:cs="Arial"/>
        </w:rPr>
        <w:t xml:space="preserve">simulating annealing algorithm </w:t>
      </w:r>
      <w:r w:rsidR="00E35178">
        <w:rPr>
          <w:rFonts w:ascii="Arial" w:eastAsia="Calibri" w:hAnsi="Arial" w:cs="Arial"/>
        </w:rPr>
        <w:t>(</w:t>
      </w:r>
      <w:r w:rsidR="003C0040">
        <w:rPr>
          <w:rFonts w:ascii="Arial" w:eastAsia="Calibri" w:hAnsi="Arial" w:cs="Arial"/>
        </w:rPr>
        <w:t>HSA</w:t>
      </w:r>
      <w:r w:rsidR="00E35178">
        <w:rPr>
          <w:rFonts w:ascii="Arial" w:eastAsia="Calibri" w:hAnsi="Arial" w:cs="Arial"/>
        </w:rPr>
        <w:t xml:space="preserve">) </w:t>
      </w:r>
      <w:r w:rsidR="00273E66">
        <w:rPr>
          <w:rFonts w:ascii="Arial" w:eastAsia="Calibri" w:hAnsi="Arial" w:cs="Arial"/>
        </w:rPr>
        <w:t>to order TFs in three discrete levels</w:t>
      </w:r>
      <w:r w:rsidR="000B154D">
        <w:rPr>
          <w:rFonts w:ascii="Arial" w:eastAsia="Calibri" w:hAnsi="Arial" w:cs="Arial"/>
        </w:rPr>
        <w:t xml:space="preserve"> </w:t>
      </w:r>
      <w:r w:rsidR="00465690">
        <w:rPr>
          <w:rFonts w:ascii="Arial" w:eastAsia="Calibri" w:hAnsi="Arial" w:cs="Arial"/>
        </w:rPr>
        <w:fldChar w:fldCharType="begin"/>
      </w:r>
      <w:r w:rsidR="002A428C">
        <w:rPr>
          <w:rFonts w:ascii="Arial" w:eastAsia="Calibri" w:hAnsi="Arial" w:cs="Arial"/>
        </w:rPr>
        <w:instrText xml:space="preserve"> ADDIN ZOTERO_ITEM CSL_CITATION {"citationID":"M7I6Ijmo","properties":{"formattedCitation":"[1]","plainCitation":"[1]","noteIndex":0},"citationItems":[{"id":495,"uris":["http://zotero.org/users/local/22WyZvyW/items/IFX9U56Q"],"uri":["http://zotero.org/users/local/22WyZvyW/items/IFX9U56Q"],"itemData":{"id":495,"type":"article-journal","abstract":"Transcription factors (TFs) bind in a combinatorial fashion to specify the on-and-off states of genes; the ensemble of these binding events forms a regulatory network, constituting the wiring diagram for a cell. To examine the principles of the human transcriptional regulatory network, we determined the genomic binding information of 119 TFs in 458 ChIP-Seq experiments. We found the combinatorial, co-association of TFs to be highly context specific: distinct combinations of factors bind at specific genomic locations. In particular, there are significant differences in the binding proximal and distal to genes. We organized all the TF binding into a hierarchy and integrated it with other genomic information (e.g. miRNA regulation), forming a dense meta-network. Factors at different levels have different properties: for instance, top-level TFs more strongly influence expression and middle-level ones co-regulate targets to mitigate information-flow bottlenecks. Moreover, these co-regulations give rise to many enriched network motifs -- e.g. noise-buffering feed-forward loops. Finally, more connected network components are under stronger selection and exhibit a greater degree of allele-specific activity (i.e., differential binding to the two parental alleles). The regulatory information obtained in this study will be crucial for interpreting personal genome sequences and understanding basic principles of human biology and disease.","container-title":"Nature","DOI":"10.1038/nature11245","ISSN":"0028-0836","issue":"7414","journalAbbreviation":"Nature","note":"PMID: 22955619\nPMCID: PMC4154057","page":"91-100","source":"PubMed Central","title":"Architecture of the human regulatory network derived from ENCODE data","volume":"489","author":[{"family":"Gerstein","given":"Mark B."},{"family":"Kundaje","given":"Anshul"},{"family":"Hariharan","given":"Manoj"},{"family":"Landt","given":"Stephen G."},{"family":"Yan","given":"Koon-Kiu"},{"family":"Cheng","given":"Chao"},{"family":"Mu","given":"Xinmeng Jasmine"},{"family":"Khurana","given":"Ekta"},{"family":"Rozowsky","given":"Joel"},{"family":"Alexander","given":"Roger"},{"family":"Min","given":"Renqiang"},{"family":"Alves","given":"Pedro"},{"family":"Abyzov","given":"Alexej"},{"family":"Addleman","given":"Nick"},{"family":"Bhardwaj","given":"Nitin"},{"family":"Boyle","given":"Alan P."},{"family":"Cayting","given":"Philip"},{"family":"Charos","given":"Alexandra"},{"family":"Chen","given":"David Z."},{"family":"Cheng","given":"Yong"},{"family":"Clarke","given":"Declan"},{"family":"Eastman","given":"Catharine"},{"family":"Euskirchen","given":"Ghia"},{"family":"Frietze","given":"Seth"},{"family":"Fu","given":"Yao"},{"family":"Gertz","given":"Jason"},{"family":"Grubert","given":"Fabian"},{"family":"Harmanci","given":"Arif"},{"family":"Jain","given":"Preti"},{"family":"Kasowski","given":"Maya"},{"family":"Lacroute","given":"Phil"},{"family":"Leng","given":"Jing (Jane)"},{"family":"Lian","given":"Jin"},{"family":"Monahan","given":"Hannah"},{"family":"O'Geen","given":"Henriette"},{"family":"Ouyang","given":"Zhengqing"},{"family":"Partridge","given":"E. Christopher"},{"family":"Patacsil","given":"Dorrelyn"},{"family":"Pauli","given":"Florencia"},{"family":"Raha","given":"Debasish"},{"family":"Ramirez","given":"Lucia"},{"family":"Reddy","given":"Timothy E."},{"family":"Reed","given":"Brian"},{"family":"Shi","given":"Minyi"},{"family":"Slifer","given":"Teri"},{"family":"Wang","given":"Jing"},{"family":"Wu","given":"Linfeng"},{"family":"Yang","given":"Xinqiong"},{"family":"Yip","given":"Kevin Y."},{"family":"Zilberman-Schapira","given":"Gili"},{"family":"Batzoglou","given":"Serafim"},{"family":"Sidow","given":"Arend"},{"family":"Farnham","given":"Peggy J."},{"family":"Myers","given":"Richard M."},{"family":"Weissman","given":"Sherman M."},{"family":"Snyder","given":"Michael"}],"issued":{"date-parts":[["2012",9,6]]}}}],"schema":"https://github.com/citation-style-language/schema/raw/master/csl-citation.json"} </w:instrText>
      </w:r>
      <w:r w:rsidR="00465690">
        <w:rPr>
          <w:rFonts w:ascii="Arial" w:eastAsia="Calibri" w:hAnsi="Arial" w:cs="Arial"/>
        </w:rPr>
        <w:fldChar w:fldCharType="separate"/>
      </w:r>
      <w:r w:rsidR="002A428C" w:rsidRPr="002A428C">
        <w:rPr>
          <w:rFonts w:ascii="Arial" w:hAnsi="Arial" w:cs="Arial"/>
        </w:rPr>
        <w:t>[1]</w:t>
      </w:r>
      <w:r w:rsidR="00465690">
        <w:rPr>
          <w:rFonts w:ascii="Arial" w:eastAsia="Calibri" w:hAnsi="Arial" w:cs="Arial"/>
        </w:rPr>
        <w:fldChar w:fldCharType="end"/>
      </w:r>
      <w:r w:rsidR="00273E66">
        <w:rPr>
          <w:rFonts w:ascii="Arial" w:eastAsia="Calibri" w:hAnsi="Arial" w:cs="Arial"/>
        </w:rPr>
        <w:t xml:space="preserve">, we decided to </w:t>
      </w:r>
      <w:r w:rsidR="003D42FB">
        <w:rPr>
          <w:rFonts w:ascii="Arial" w:eastAsia="Calibri" w:hAnsi="Arial" w:cs="Arial"/>
        </w:rPr>
        <w:t xml:space="preserve">perform the same procedure on </w:t>
      </w:r>
      <w:r w:rsidR="00AD672A">
        <w:rPr>
          <w:rFonts w:ascii="Arial" w:eastAsia="Calibri" w:hAnsi="Arial" w:cs="Arial"/>
        </w:rPr>
        <w:t xml:space="preserve">the entire </w:t>
      </w:r>
      <w:proofErr w:type="spellStart"/>
      <w:r w:rsidR="003D42FB">
        <w:rPr>
          <w:rFonts w:ascii="Arial" w:eastAsia="Calibri" w:hAnsi="Arial" w:cs="Arial"/>
        </w:rPr>
        <w:t>subnetwork</w:t>
      </w:r>
      <w:proofErr w:type="spellEnd"/>
      <w:r w:rsidR="003D42FB">
        <w:rPr>
          <w:rFonts w:ascii="Arial" w:eastAsia="Calibri" w:hAnsi="Arial" w:cs="Arial"/>
        </w:rPr>
        <w:t xml:space="preserve">, comparing the resulting order with </w:t>
      </w:r>
      <w:r w:rsidR="000B154D">
        <w:rPr>
          <w:rFonts w:ascii="Arial" w:eastAsia="Calibri" w:hAnsi="Arial" w:cs="Arial"/>
        </w:rPr>
        <w:t xml:space="preserve">the </w:t>
      </w:r>
      <w:r w:rsidR="003D42FB">
        <w:rPr>
          <w:rFonts w:ascii="Arial" w:eastAsia="Calibri" w:hAnsi="Arial" w:cs="Arial"/>
        </w:rPr>
        <w:t xml:space="preserve">one estimated by the hierarchy height metric </w:t>
      </w:r>
      <w:r w:rsidR="00E35178">
        <w:rPr>
          <w:rFonts w:ascii="Arial" w:eastAsia="Calibri" w:hAnsi="Arial" w:cs="Arial"/>
        </w:rPr>
        <w:t>(HM)</w:t>
      </w:r>
      <w:r w:rsidR="000850FD">
        <w:rPr>
          <w:rFonts w:ascii="Arial" w:eastAsia="Calibri" w:hAnsi="Arial" w:cs="Arial"/>
        </w:rPr>
        <w:t>,</w:t>
      </w:r>
      <w:r w:rsidR="00AD672A">
        <w:rPr>
          <w:rFonts w:ascii="Arial" w:eastAsia="Calibri" w:hAnsi="Arial" w:cs="Arial"/>
        </w:rPr>
        <w:t xml:space="preserve"> </w:t>
      </w:r>
      <w:r w:rsidR="000850FD">
        <w:rPr>
          <w:rFonts w:ascii="Arial" w:eastAsia="Calibri" w:hAnsi="Arial" w:cs="Arial"/>
        </w:rPr>
        <w:t xml:space="preserve">as used to derive our final consensus hierarchy. This measure was instead applied only </w:t>
      </w:r>
      <w:r w:rsidR="00AD672A">
        <w:rPr>
          <w:rFonts w:ascii="Arial" w:eastAsia="Calibri" w:hAnsi="Arial" w:cs="Arial"/>
        </w:rPr>
        <w:t xml:space="preserve">on the </w:t>
      </w:r>
      <w:r w:rsidR="000850FD">
        <w:rPr>
          <w:rFonts w:ascii="Arial" w:eastAsia="Calibri" w:hAnsi="Arial" w:cs="Arial"/>
        </w:rPr>
        <w:t xml:space="preserve">edges </w:t>
      </w:r>
      <w:r w:rsidR="00AD672A">
        <w:rPr>
          <w:rFonts w:ascii="Arial" w:eastAsia="Calibri" w:hAnsi="Arial" w:cs="Arial"/>
        </w:rPr>
        <w:t xml:space="preserve">fraction </w:t>
      </w:r>
      <w:r w:rsidR="000850FD">
        <w:rPr>
          <w:rFonts w:ascii="Arial" w:eastAsia="Calibri" w:hAnsi="Arial" w:cs="Arial"/>
        </w:rPr>
        <w:t>shared</w:t>
      </w:r>
      <w:r w:rsidR="00AD672A">
        <w:rPr>
          <w:rFonts w:ascii="Arial" w:eastAsia="Calibri" w:hAnsi="Arial" w:cs="Arial"/>
        </w:rPr>
        <w:t xml:space="preserve"> </w:t>
      </w:r>
      <w:r w:rsidR="000850FD">
        <w:rPr>
          <w:rFonts w:ascii="Arial" w:eastAsia="Calibri" w:hAnsi="Arial" w:cs="Arial"/>
        </w:rPr>
        <w:t>with the learned TBN to effectively evaluate the regulatory schema overlap.</w:t>
      </w:r>
    </w:p>
    <w:p w:rsidR="00AD2006" w:rsidRDefault="000B154D" w:rsidP="00791D93">
      <w:pPr>
        <w:spacing w:after="240" w:line="360" w:lineRule="auto"/>
        <w:jc w:val="both"/>
        <w:rPr>
          <w:rFonts w:ascii="Arial" w:eastAsia="Calibri" w:hAnsi="Arial" w:cs="Arial"/>
        </w:rPr>
      </w:pPr>
      <w:r w:rsidRPr="000B154D">
        <w:rPr>
          <w:rFonts w:ascii="Arial" w:eastAsia="Calibri" w:hAnsi="Arial" w:cs="Arial"/>
        </w:rPr>
        <w:t>Th</w:t>
      </w:r>
      <w:r>
        <w:rPr>
          <w:rFonts w:ascii="Arial" w:eastAsia="Calibri" w:hAnsi="Arial" w:cs="Arial"/>
        </w:rPr>
        <w:t xml:space="preserve">e </w:t>
      </w:r>
      <w:r w:rsidRPr="000B154D">
        <w:rPr>
          <w:rFonts w:ascii="Arial" w:eastAsia="Calibri" w:hAnsi="Arial" w:cs="Arial"/>
        </w:rPr>
        <w:t xml:space="preserve">hierarchy generation algorithm </w:t>
      </w:r>
      <w:r>
        <w:rPr>
          <w:rFonts w:ascii="Arial" w:eastAsia="Calibri" w:hAnsi="Arial" w:cs="Arial"/>
        </w:rPr>
        <w:t>was r</w:t>
      </w:r>
      <w:r w:rsidRPr="000B154D">
        <w:rPr>
          <w:rFonts w:ascii="Arial" w:eastAsia="Calibri" w:hAnsi="Arial" w:cs="Arial"/>
        </w:rPr>
        <w:t xml:space="preserve">epeated </w:t>
      </w:r>
      <w:r>
        <w:rPr>
          <w:rFonts w:ascii="Arial" w:eastAsia="Calibri" w:hAnsi="Arial" w:cs="Arial"/>
        </w:rPr>
        <w:t>for</w:t>
      </w:r>
      <w:r w:rsidRPr="000B154D">
        <w:rPr>
          <w:rFonts w:ascii="Arial" w:eastAsia="Calibri" w:hAnsi="Arial" w:cs="Arial"/>
        </w:rPr>
        <w:t xml:space="preserve"> 1000 time</w:t>
      </w:r>
      <w:r>
        <w:rPr>
          <w:rFonts w:ascii="Arial" w:eastAsia="Calibri" w:hAnsi="Arial" w:cs="Arial"/>
        </w:rPr>
        <w:t>s</w:t>
      </w:r>
      <w:r w:rsidR="00771FE8">
        <w:rPr>
          <w:rFonts w:ascii="Arial" w:eastAsia="Calibri" w:hAnsi="Arial" w:cs="Arial"/>
        </w:rPr>
        <w:t xml:space="preserve"> (</w:t>
      </w:r>
      <w:r w:rsidR="00771FE8">
        <w:rPr>
          <w:rFonts w:ascii="Arial" w:eastAsia="Calibri" w:hAnsi="Arial" w:cs="Arial"/>
          <w:i/>
        </w:rPr>
        <w:t>k</w:t>
      </w:r>
      <w:r w:rsidR="00771FE8">
        <w:rPr>
          <w:rFonts w:ascii="Arial" w:eastAsia="Calibri" w:hAnsi="Arial" w:cs="Arial"/>
        </w:rPr>
        <w:t>=1,000)</w:t>
      </w:r>
      <w:r>
        <w:rPr>
          <w:rFonts w:ascii="Arial" w:eastAsia="Calibri" w:hAnsi="Arial" w:cs="Arial"/>
        </w:rPr>
        <w:t xml:space="preserve">, as suggested by </w:t>
      </w:r>
      <w:r w:rsidR="00EF48E0">
        <w:rPr>
          <w:rFonts w:ascii="Arial" w:eastAsia="Calibri" w:hAnsi="Arial" w:cs="Arial"/>
        </w:rPr>
        <w:t xml:space="preserve">the authors </w:t>
      </w:r>
      <w:r w:rsidR="00465690">
        <w:rPr>
          <w:rFonts w:ascii="Arial" w:eastAsia="Calibri" w:hAnsi="Arial" w:cs="Arial"/>
        </w:rPr>
        <w:fldChar w:fldCharType="begin"/>
      </w:r>
      <w:r w:rsidR="002A428C">
        <w:rPr>
          <w:rFonts w:ascii="Arial" w:eastAsia="Calibri" w:hAnsi="Arial" w:cs="Arial"/>
        </w:rPr>
        <w:instrText xml:space="preserve"> ADDIN ZOTERO_ITEM CSL_CITATION {"citationID":"AMgQjOIz","properties":{"formattedCitation":"[2,3]","plainCitation":"[2,3]","noteIndex":0},"citationItems":[{"id":1515,"uris":["http://zotero.org/users/local/22WyZvyW/items/DTAG87HF"],"uri":["http://zotero.org/users/local/22WyZvyW/items/DTAG87HF"],"itemData":{"id":1515,"type":"article-journal","abstract":"Many biological networks naturally form a hierarchy with a preponderance of downward information flow. In this study, we define a score to quantify the degree of hierarchy in a network and develop a simulated-annealing algorithm to maximize the hierarchical score globally over a network. We apply our algorithm to determine the hierarchical structure of the phosphorylome in detail and investigate the correlation between its hierarchy and kinase properties. We also compare it to the regulatory network, finding that the phosphorylome is more hierarchical than the regulome.","container-title":"Genome Biology","DOI":"10.1186/s13059-015-0624-2","ISSN":"1465-6906","issue":"1","journalAbbreviation":"Genome Biology","page":"63","source":"BioMed Central","title":"An approach for determining and measuring network hierarchy applied to comparing the phosphorylome and the regulome","volume":"16","author":[{"family":"Cheng","given":"Chao"},{"family":"Andrews","given":"Erik"},{"family":"Yan","given":"Koon-Kiu"},{"family":"Ung","given":"Matthew"},{"family":"Wang","given":"Daifeng"},{"family":"Gerstein","given":"Mark"}],"issued":{"date-parts":[["2015",3,31]]}}},{"id":1518,"uris":["http://zotero.org/users/local/22WyZvyW/items/VULNWI9T"],"uri":["http://zotero.org/users/local/22WyZvyW/items/VULNWI9T"],"itemData":{"id":1518,"type":"article-journal","abstract":"Finding the dominant direction of flow of information in densely interconnected regulatory or signaling networks is required in many applications in computational biology and neuroscience. This is achieved by first identifying and removing links which close up feedback loops in the original network and hierarchically arranging nodes in the remaining network. In mathematical language this corresponds to a problem of making a graph acyclic by removing as few links as possible and thus altering the original graph in the least possible way. The exact solution of this problem requires enumeration of all cycles and combinations of removed links, which, as an NP-hard problem, is computationally prohibitive even for modest-size networks.","container-title":"BMC Bioinformatics","DOI":"10.1186/1471-2105-9-424","ISSN":"1471-2105","issue":"1","journalAbbreviation":"BMC Bioinformatics","page":"424","source":"BioMed Central","title":"Detection of the dominant direction of information flow and feedback links in densely interconnected regulatory networks","volume":"9","author":[{"family":"Ispolatov","given":"Iaroslav"},{"family":"Maslov","given":"Sergei"}],"issued":{"date-parts":[["2008",10,8]]}}}],"schema":"https://github.com/citation-style-language/schema/raw/master/csl-citation.json"} </w:instrText>
      </w:r>
      <w:r w:rsidR="00465690">
        <w:rPr>
          <w:rFonts w:ascii="Arial" w:eastAsia="Calibri" w:hAnsi="Arial" w:cs="Arial"/>
        </w:rPr>
        <w:fldChar w:fldCharType="separate"/>
      </w:r>
      <w:r w:rsidR="002A428C" w:rsidRPr="002A428C">
        <w:rPr>
          <w:rFonts w:ascii="Arial" w:hAnsi="Arial" w:cs="Arial"/>
        </w:rPr>
        <w:t>[2,3]</w:t>
      </w:r>
      <w:r w:rsidR="00465690">
        <w:rPr>
          <w:rFonts w:ascii="Arial" w:eastAsia="Calibri" w:hAnsi="Arial" w:cs="Arial"/>
        </w:rPr>
        <w:fldChar w:fldCharType="end"/>
      </w:r>
      <w:r w:rsidR="00771FE8">
        <w:rPr>
          <w:rFonts w:ascii="Arial" w:eastAsia="Calibri" w:hAnsi="Arial" w:cs="Arial"/>
        </w:rPr>
        <w:t xml:space="preserve"> and the number of hierarchical level fixed to three (</w:t>
      </w:r>
      <w:r w:rsidR="00771FE8">
        <w:rPr>
          <w:rFonts w:ascii="Arial" w:eastAsia="Calibri" w:hAnsi="Arial" w:cs="Arial"/>
          <w:i/>
        </w:rPr>
        <w:t>L</w:t>
      </w:r>
      <w:r w:rsidR="00771FE8">
        <w:rPr>
          <w:rFonts w:ascii="Arial" w:eastAsia="Calibri" w:hAnsi="Arial" w:cs="Arial"/>
        </w:rPr>
        <w:t>=3); the other parameters were set to default.</w:t>
      </w:r>
      <w:r w:rsidR="00EE37E1">
        <w:rPr>
          <w:rFonts w:ascii="Arial" w:eastAsia="Calibri" w:hAnsi="Arial" w:cs="Arial"/>
        </w:rPr>
        <w:t xml:space="preserve"> </w:t>
      </w:r>
      <w:r w:rsidR="00602C2D">
        <w:rPr>
          <w:rFonts w:ascii="Arial" w:eastAsia="Calibri" w:hAnsi="Arial" w:cs="Arial"/>
        </w:rPr>
        <w:t>The method determines t</w:t>
      </w:r>
      <w:r w:rsidR="00EE37E1">
        <w:rPr>
          <w:rFonts w:ascii="Arial" w:eastAsia="Calibri" w:hAnsi="Arial" w:cs="Arial"/>
        </w:rPr>
        <w:t xml:space="preserve">he structure </w:t>
      </w:r>
      <w:r w:rsidR="00602C2D">
        <w:rPr>
          <w:rFonts w:ascii="Arial" w:eastAsia="Calibri" w:hAnsi="Arial" w:cs="Arial"/>
        </w:rPr>
        <w:t>a</w:t>
      </w:r>
      <w:r w:rsidR="00EE37E1">
        <w:rPr>
          <w:rFonts w:ascii="Arial" w:eastAsia="Calibri" w:hAnsi="Arial" w:cs="Arial"/>
        </w:rPr>
        <w:t xml:space="preserve">ssigning each node to </w:t>
      </w:r>
      <w:r w:rsidR="00602C2D">
        <w:rPr>
          <w:rFonts w:ascii="Arial" w:eastAsia="Calibri" w:hAnsi="Arial" w:cs="Arial"/>
        </w:rPr>
        <w:t>the level w</w:t>
      </w:r>
      <w:r w:rsidR="00EE37E1">
        <w:rPr>
          <w:rFonts w:ascii="Arial" w:eastAsia="Calibri" w:hAnsi="Arial" w:cs="Arial"/>
        </w:rPr>
        <w:t>i</w:t>
      </w:r>
      <w:r w:rsidR="00602C2D">
        <w:rPr>
          <w:rFonts w:ascii="Arial" w:eastAsia="Calibri" w:hAnsi="Arial" w:cs="Arial"/>
        </w:rPr>
        <w:t>th highest frequency</w:t>
      </w:r>
      <w:r w:rsidR="00EE37E1">
        <w:rPr>
          <w:rFonts w:ascii="Arial" w:eastAsia="Calibri" w:hAnsi="Arial" w:cs="Arial"/>
        </w:rPr>
        <w:t>.</w:t>
      </w:r>
      <w:r w:rsidR="00602C2D">
        <w:rPr>
          <w:rFonts w:ascii="Arial" w:eastAsia="Calibri" w:hAnsi="Arial" w:cs="Arial"/>
        </w:rPr>
        <w:t xml:space="preserve"> </w:t>
      </w:r>
      <w:r w:rsidR="00642E5B">
        <w:rPr>
          <w:rFonts w:ascii="Arial" w:eastAsia="Calibri" w:hAnsi="Arial" w:cs="Arial"/>
        </w:rPr>
        <w:t xml:space="preserve">The hierarchical structure predicted by the two methods is almost in complete agreement, </w:t>
      </w:r>
      <w:r w:rsidR="00D427C5">
        <w:rPr>
          <w:rFonts w:ascii="Arial" w:eastAsia="Calibri" w:hAnsi="Arial" w:cs="Arial"/>
        </w:rPr>
        <w:t xml:space="preserve">reaching ~90% of shared regulatory positions. </w:t>
      </w:r>
      <w:r w:rsidR="00ED5F21">
        <w:rPr>
          <w:rFonts w:ascii="Arial" w:eastAsia="Calibri" w:hAnsi="Arial" w:cs="Arial"/>
        </w:rPr>
        <w:t xml:space="preserve">All master regulators were correctly placed, the little difference was between some factors of the middle and bottom levels, due to the </w:t>
      </w:r>
      <w:r w:rsidR="002757AF">
        <w:rPr>
          <w:rFonts w:ascii="Arial" w:eastAsia="Calibri" w:hAnsi="Arial" w:cs="Arial"/>
        </w:rPr>
        <w:t>small</w:t>
      </w:r>
      <w:r w:rsidR="00ED5F21">
        <w:rPr>
          <w:rFonts w:ascii="Arial" w:eastAsia="Calibri" w:hAnsi="Arial" w:cs="Arial"/>
        </w:rPr>
        <w:t xml:space="preserve"> discrepancy of the considered edges. </w:t>
      </w:r>
      <w:r w:rsidR="00AE2F0F">
        <w:rPr>
          <w:rFonts w:ascii="Arial" w:eastAsia="Calibri" w:hAnsi="Arial" w:cs="Arial"/>
        </w:rPr>
        <w:t>The</w:t>
      </w:r>
      <w:r w:rsidR="00D427C5">
        <w:rPr>
          <w:rFonts w:ascii="Arial" w:eastAsia="Calibri" w:hAnsi="Arial" w:cs="Arial"/>
        </w:rPr>
        <w:t xml:space="preserve"> preserved hierarchy highlight</w:t>
      </w:r>
      <w:r w:rsidR="00304EB0">
        <w:rPr>
          <w:rFonts w:ascii="Arial" w:eastAsia="Calibri" w:hAnsi="Arial" w:cs="Arial"/>
        </w:rPr>
        <w:t>s</w:t>
      </w:r>
      <w:r w:rsidR="00D427C5">
        <w:rPr>
          <w:rFonts w:ascii="Arial" w:eastAsia="Calibri" w:hAnsi="Arial" w:cs="Arial"/>
        </w:rPr>
        <w:t xml:space="preserve"> the </w:t>
      </w:r>
      <w:r w:rsidR="00C319B3">
        <w:rPr>
          <w:rFonts w:ascii="Arial" w:eastAsia="Calibri" w:hAnsi="Arial" w:cs="Arial"/>
        </w:rPr>
        <w:t xml:space="preserve">robustness of </w:t>
      </w:r>
      <w:r w:rsidR="00791D93">
        <w:rPr>
          <w:rFonts w:ascii="Arial" w:eastAsia="Calibri" w:hAnsi="Arial" w:cs="Arial"/>
        </w:rPr>
        <w:t xml:space="preserve">learned </w:t>
      </w:r>
      <w:r w:rsidR="00D427C5">
        <w:rPr>
          <w:rFonts w:ascii="Arial" w:eastAsia="Calibri" w:hAnsi="Arial" w:cs="Arial"/>
        </w:rPr>
        <w:t xml:space="preserve">transcriptional </w:t>
      </w:r>
      <w:r w:rsidR="00C319B3">
        <w:rPr>
          <w:rFonts w:ascii="Arial" w:eastAsia="Calibri" w:hAnsi="Arial" w:cs="Arial"/>
        </w:rPr>
        <w:t>dependencies.</w:t>
      </w:r>
      <w:r w:rsidR="00791D93">
        <w:rPr>
          <w:rFonts w:ascii="Arial" w:eastAsia="Calibri" w:hAnsi="Arial" w:cs="Arial"/>
        </w:rPr>
        <w:t xml:space="preserve"> </w:t>
      </w:r>
      <w:r w:rsidR="00602C2D">
        <w:rPr>
          <w:rFonts w:ascii="Arial" w:eastAsia="Calibri" w:hAnsi="Arial" w:cs="Arial"/>
        </w:rPr>
        <w:t xml:space="preserve">The resulting assignments from the two measures are </w:t>
      </w:r>
      <w:r w:rsidR="00C319B3">
        <w:rPr>
          <w:rFonts w:ascii="Arial" w:eastAsia="Calibri" w:hAnsi="Arial" w:cs="Arial"/>
        </w:rPr>
        <w:t xml:space="preserve">presented in Supplementary Figure </w:t>
      </w:r>
      <w:r w:rsidR="00D9119B">
        <w:rPr>
          <w:rFonts w:ascii="Arial" w:eastAsia="Calibri" w:hAnsi="Arial" w:cs="Arial"/>
        </w:rPr>
        <w:t>4</w:t>
      </w:r>
      <w:r w:rsidR="00C319B3">
        <w:rPr>
          <w:rFonts w:ascii="Arial" w:eastAsia="Calibri" w:hAnsi="Arial" w:cs="Arial"/>
        </w:rPr>
        <w:t xml:space="preserve">, with the related number of matched TFs for each hierarchy level, and they are also </w:t>
      </w:r>
      <w:r w:rsidR="00602C2D">
        <w:rPr>
          <w:rFonts w:ascii="Arial" w:eastAsia="Calibri" w:hAnsi="Arial" w:cs="Arial"/>
        </w:rPr>
        <w:t>reported in Supplementary Table 1</w:t>
      </w:r>
      <w:r w:rsidR="00C319B3">
        <w:rPr>
          <w:rFonts w:ascii="Arial" w:eastAsia="Calibri" w:hAnsi="Arial" w:cs="Arial"/>
        </w:rPr>
        <w:t xml:space="preserve">. </w:t>
      </w:r>
    </w:p>
    <w:p w:rsidR="00AD2006" w:rsidRPr="00160804" w:rsidRDefault="00160804" w:rsidP="00193570">
      <w:pPr>
        <w:spacing w:after="120" w:line="360" w:lineRule="auto"/>
        <w:jc w:val="center"/>
        <w:rPr>
          <w:rFonts w:ascii="Arial" w:eastAsia="Calibri" w:hAnsi="Arial" w:cs="Arial"/>
        </w:rPr>
      </w:pPr>
      <w:r>
        <w:rPr>
          <w:rFonts w:ascii="Arial" w:eastAsia="Calibri" w:hAnsi="Arial" w:cs="Arial"/>
          <w:noProof/>
          <w:lang w:val="it-IT" w:eastAsia="it-IT"/>
        </w:rPr>
        <w:drawing>
          <wp:inline distT="0" distB="0" distL="0" distR="0">
            <wp:extent cx="4884552" cy="3083010"/>
            <wp:effectExtent l="19050" t="19050" r="11298" b="22140"/>
            <wp:docPr id="7" name="Immagine 6" descr="SupplementaryFigure4_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Figure4_HQ.jpg"/>
                    <pic:cNvPicPr/>
                  </pic:nvPicPr>
                  <pic:blipFill>
                    <a:blip r:embed="rId9" cstate="print"/>
                    <a:srcRect l="18846" t="22705" r="19856" b="25797"/>
                    <a:stretch>
                      <a:fillRect/>
                    </a:stretch>
                  </pic:blipFill>
                  <pic:spPr>
                    <a:xfrm>
                      <a:off x="0" y="0"/>
                      <a:ext cx="4892190" cy="3087831"/>
                    </a:xfrm>
                    <a:prstGeom prst="rect">
                      <a:avLst/>
                    </a:prstGeom>
                    <a:ln>
                      <a:solidFill>
                        <a:schemeClr val="bg1">
                          <a:lumMod val="75000"/>
                        </a:schemeClr>
                      </a:solidFill>
                    </a:ln>
                  </pic:spPr>
                </pic:pic>
              </a:graphicData>
            </a:graphic>
          </wp:inline>
        </w:drawing>
      </w:r>
    </w:p>
    <w:p w:rsidR="00D6245F" w:rsidRDefault="00193570" w:rsidP="00304EB0">
      <w:pPr>
        <w:spacing w:after="360" w:line="360" w:lineRule="auto"/>
        <w:jc w:val="both"/>
        <w:rPr>
          <w:rFonts w:ascii="Arial" w:eastAsia="Calibri" w:hAnsi="Arial" w:cs="Arial"/>
        </w:rPr>
      </w:pPr>
      <w:r w:rsidRPr="00D6245F">
        <w:rPr>
          <w:rFonts w:ascii="Arial" w:eastAsia="Calibri" w:hAnsi="Arial" w:cs="Arial"/>
          <w:b/>
        </w:rPr>
        <w:t>Suppleme</w:t>
      </w:r>
      <w:r w:rsidR="00D9119B">
        <w:rPr>
          <w:rFonts w:ascii="Arial" w:eastAsia="Calibri" w:hAnsi="Arial" w:cs="Arial"/>
          <w:b/>
        </w:rPr>
        <w:t>ntary Fig. 4</w:t>
      </w:r>
      <w:r w:rsidR="00D6245F" w:rsidRPr="00D6245F">
        <w:rPr>
          <w:rFonts w:ascii="Arial" w:eastAsia="Calibri" w:hAnsi="Arial" w:cs="Arial"/>
          <w:b/>
        </w:rPr>
        <w:t>.</w:t>
      </w:r>
      <w:r w:rsidR="00D6245F">
        <w:rPr>
          <w:rFonts w:ascii="Arial" w:eastAsia="Calibri" w:hAnsi="Arial" w:cs="Arial"/>
          <w:b/>
        </w:rPr>
        <w:t xml:space="preserve"> </w:t>
      </w:r>
      <w:r w:rsidR="00D6245F">
        <w:rPr>
          <w:rFonts w:ascii="Arial" w:eastAsia="Calibri" w:hAnsi="Arial" w:cs="Arial"/>
        </w:rPr>
        <w:t xml:space="preserve">Hierarchical distributions inferred by </w:t>
      </w:r>
      <w:r w:rsidR="003C0040">
        <w:rPr>
          <w:rFonts w:ascii="Arial" w:eastAsia="Calibri" w:hAnsi="Arial" w:cs="Arial"/>
        </w:rPr>
        <w:t>HSA</w:t>
      </w:r>
      <w:r w:rsidR="00D6245F">
        <w:rPr>
          <w:rFonts w:ascii="Arial" w:eastAsia="Calibri" w:hAnsi="Arial" w:cs="Arial"/>
        </w:rPr>
        <w:t xml:space="preserve"> algorithm and HM measure.</w:t>
      </w:r>
      <w:r w:rsidR="00304EB0">
        <w:rPr>
          <w:rFonts w:ascii="Arial" w:eastAsia="Calibri" w:hAnsi="Arial" w:cs="Arial"/>
        </w:rPr>
        <w:t xml:space="preserve"> </w:t>
      </w:r>
      <w:r w:rsidR="00D6245F">
        <w:rPr>
          <w:rFonts w:ascii="Arial" w:eastAsia="Calibri" w:hAnsi="Arial" w:cs="Arial"/>
        </w:rPr>
        <w:t>Highlighted between bars are the number of TFs predicted in the same hierarchical level by the two methods.</w:t>
      </w:r>
    </w:p>
    <w:p w:rsidR="005E0EF9" w:rsidRDefault="005E0EF9" w:rsidP="00EF48E0">
      <w:pPr>
        <w:spacing w:after="0" w:line="360" w:lineRule="auto"/>
        <w:jc w:val="both"/>
        <w:rPr>
          <w:rFonts w:ascii="Arial" w:eastAsia="Calibri" w:hAnsi="Arial" w:cs="Arial"/>
          <w:b/>
        </w:rPr>
      </w:pPr>
    </w:p>
    <w:p w:rsidR="00AD2006" w:rsidRPr="00AD2006" w:rsidRDefault="00AD2006" w:rsidP="00EF48E0">
      <w:pPr>
        <w:spacing w:after="0" w:line="360" w:lineRule="auto"/>
        <w:jc w:val="both"/>
        <w:rPr>
          <w:rFonts w:ascii="Arial" w:eastAsia="Calibri" w:hAnsi="Arial" w:cs="Arial"/>
          <w:b/>
        </w:rPr>
      </w:pPr>
      <w:r w:rsidRPr="00AD2006">
        <w:rPr>
          <w:rFonts w:ascii="Arial" w:eastAsia="Calibri" w:hAnsi="Arial" w:cs="Arial"/>
          <w:b/>
        </w:rPr>
        <w:lastRenderedPageBreak/>
        <w:t>Supplementary Table 1</w:t>
      </w:r>
    </w:p>
    <w:p w:rsidR="00AD2006" w:rsidRDefault="00AD2006" w:rsidP="00700BF6">
      <w:pPr>
        <w:spacing w:after="720" w:line="360" w:lineRule="auto"/>
        <w:jc w:val="both"/>
        <w:rPr>
          <w:rFonts w:ascii="Arial" w:eastAsia="Calibri" w:hAnsi="Arial" w:cs="Arial"/>
        </w:rPr>
      </w:pPr>
      <w:r>
        <w:rPr>
          <w:rFonts w:ascii="Arial" w:hAnsi="Arial" w:cs="Arial"/>
        </w:rPr>
        <w:t xml:space="preserve">Summary of all </w:t>
      </w:r>
      <w:r w:rsidR="00AE2F0F">
        <w:rPr>
          <w:rFonts w:ascii="Arial" w:hAnsi="Arial" w:cs="Arial"/>
        </w:rPr>
        <w:t xml:space="preserve">assigned levels for each considered TF underlying hierarchical distributions predicted by </w:t>
      </w:r>
      <w:r w:rsidR="002757AF">
        <w:rPr>
          <w:rFonts w:ascii="Arial" w:hAnsi="Arial" w:cs="Arial"/>
        </w:rPr>
        <w:t xml:space="preserve">hierarchical </w:t>
      </w:r>
      <w:bookmarkStart w:id="0" w:name="_GoBack"/>
      <w:bookmarkEnd w:id="0"/>
      <w:r w:rsidR="00AE2F0F">
        <w:rPr>
          <w:rFonts w:ascii="Arial" w:hAnsi="Arial" w:cs="Arial"/>
        </w:rPr>
        <w:t>simulating annealing algorithm (</w:t>
      </w:r>
      <w:r w:rsidR="003C0040">
        <w:rPr>
          <w:rFonts w:ascii="Arial" w:hAnsi="Arial" w:cs="Arial"/>
        </w:rPr>
        <w:t>HSA</w:t>
      </w:r>
      <w:r w:rsidR="00AE2F0F">
        <w:rPr>
          <w:rFonts w:ascii="Arial" w:hAnsi="Arial" w:cs="Arial"/>
        </w:rPr>
        <w:t>) and hierarchy height metric</w:t>
      </w:r>
      <w:r w:rsidR="00193570">
        <w:rPr>
          <w:rFonts w:ascii="Arial" w:hAnsi="Arial" w:cs="Arial"/>
        </w:rPr>
        <w:t xml:space="preserve"> (HM)</w:t>
      </w:r>
      <w:r w:rsidR="00AE2F0F">
        <w:rPr>
          <w:rFonts w:ascii="Arial" w:hAnsi="Arial" w:cs="Arial"/>
        </w:rPr>
        <w:t xml:space="preserve">. The following numeration represents (1) for the bottom layer, (2) and (3) for the middle and top layers, respectively. </w:t>
      </w:r>
    </w:p>
    <w:tbl>
      <w:tblPr>
        <w:tblStyle w:val="Grigliatabella"/>
        <w:tblW w:w="0" w:type="auto"/>
        <w:jc w:val="center"/>
        <w:tblLook w:val="04A0"/>
      </w:tblPr>
      <w:tblGrid>
        <w:gridCol w:w="1413"/>
        <w:gridCol w:w="1843"/>
        <w:gridCol w:w="1701"/>
      </w:tblGrid>
      <w:tr w:rsidR="00AD2006" w:rsidRPr="00AD2006" w:rsidTr="003C0040">
        <w:trPr>
          <w:jc w:val="center"/>
        </w:trPr>
        <w:tc>
          <w:tcPr>
            <w:tcW w:w="1413" w:type="dxa"/>
            <w:vAlign w:val="center"/>
          </w:tcPr>
          <w:p w:rsidR="00AD2006" w:rsidRPr="00AD2006" w:rsidRDefault="00AD2006" w:rsidP="00AD2006">
            <w:pPr>
              <w:spacing w:line="360" w:lineRule="auto"/>
              <w:jc w:val="center"/>
              <w:rPr>
                <w:rFonts w:eastAsia="Calibri" w:cs="Arial"/>
                <w:b/>
                <w:szCs w:val="20"/>
              </w:rPr>
            </w:pPr>
            <w:r w:rsidRPr="00AD2006">
              <w:rPr>
                <w:rFonts w:eastAsia="Calibri" w:cs="Arial"/>
                <w:b/>
                <w:szCs w:val="20"/>
              </w:rPr>
              <w:t>TF</w:t>
            </w:r>
          </w:p>
        </w:tc>
        <w:tc>
          <w:tcPr>
            <w:tcW w:w="1843" w:type="dxa"/>
            <w:vAlign w:val="center"/>
          </w:tcPr>
          <w:p w:rsidR="003C0040" w:rsidRDefault="003C0040" w:rsidP="00AD2006">
            <w:pPr>
              <w:spacing w:line="360" w:lineRule="auto"/>
              <w:jc w:val="center"/>
              <w:rPr>
                <w:rFonts w:eastAsia="Calibri" w:cs="Arial"/>
                <w:b/>
                <w:szCs w:val="20"/>
              </w:rPr>
            </w:pPr>
            <w:r>
              <w:rPr>
                <w:rFonts w:eastAsia="Calibri" w:cs="Arial"/>
                <w:b/>
                <w:szCs w:val="20"/>
              </w:rPr>
              <w:t>HSA</w:t>
            </w:r>
            <w:r w:rsidR="00AD2006" w:rsidRPr="00AD2006">
              <w:rPr>
                <w:rFonts w:eastAsia="Calibri" w:cs="Arial"/>
                <w:b/>
                <w:szCs w:val="20"/>
              </w:rPr>
              <w:t xml:space="preserve"> </w:t>
            </w:r>
          </w:p>
          <w:p w:rsidR="00AD2006" w:rsidRPr="00AD2006" w:rsidRDefault="003C0040" w:rsidP="00AD2006">
            <w:pPr>
              <w:spacing w:line="360" w:lineRule="auto"/>
              <w:jc w:val="center"/>
              <w:rPr>
                <w:rFonts w:eastAsia="Calibri" w:cs="Arial"/>
                <w:b/>
                <w:szCs w:val="20"/>
              </w:rPr>
            </w:pPr>
            <w:r>
              <w:rPr>
                <w:rFonts w:eastAsia="Calibri" w:cs="Arial"/>
                <w:b/>
                <w:szCs w:val="20"/>
              </w:rPr>
              <w:t xml:space="preserve">predicted </w:t>
            </w:r>
            <w:r w:rsidR="00AD2006" w:rsidRPr="00AD2006">
              <w:rPr>
                <w:rFonts w:eastAsia="Calibri" w:cs="Arial"/>
                <w:b/>
                <w:szCs w:val="20"/>
              </w:rPr>
              <w:t>level</w:t>
            </w:r>
          </w:p>
        </w:tc>
        <w:tc>
          <w:tcPr>
            <w:tcW w:w="1701" w:type="dxa"/>
            <w:vAlign w:val="center"/>
          </w:tcPr>
          <w:p w:rsidR="003C0040" w:rsidRDefault="00AD2006" w:rsidP="00AD2006">
            <w:pPr>
              <w:spacing w:line="360" w:lineRule="auto"/>
              <w:jc w:val="center"/>
              <w:rPr>
                <w:rFonts w:eastAsia="Calibri" w:cs="Arial"/>
                <w:b/>
                <w:szCs w:val="20"/>
              </w:rPr>
            </w:pPr>
            <w:r w:rsidRPr="00AD2006">
              <w:rPr>
                <w:rFonts w:eastAsia="Calibri" w:cs="Arial"/>
                <w:b/>
                <w:szCs w:val="20"/>
              </w:rPr>
              <w:t xml:space="preserve">HM </w:t>
            </w:r>
          </w:p>
          <w:p w:rsidR="00AD2006" w:rsidRPr="00AD2006" w:rsidRDefault="003C0040" w:rsidP="00AD2006">
            <w:pPr>
              <w:spacing w:line="360" w:lineRule="auto"/>
              <w:jc w:val="center"/>
              <w:rPr>
                <w:rFonts w:eastAsia="Calibri" w:cs="Arial"/>
                <w:b/>
                <w:szCs w:val="20"/>
              </w:rPr>
            </w:pPr>
            <w:r>
              <w:rPr>
                <w:rFonts w:eastAsia="Calibri" w:cs="Arial"/>
                <w:b/>
                <w:szCs w:val="20"/>
              </w:rPr>
              <w:t xml:space="preserve">predicted </w:t>
            </w:r>
            <w:r w:rsidR="00AD2006" w:rsidRPr="00AD2006">
              <w:rPr>
                <w:rFonts w:eastAsia="Calibri" w:cs="Arial"/>
                <w:b/>
                <w:szCs w:val="20"/>
              </w:rPr>
              <w:t>level</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Pr>
                <w:rFonts w:ascii="Calibri" w:eastAsia="Times New Roman" w:hAnsi="Calibri" w:cs="Times New Roman"/>
                <w:color w:val="000000"/>
              </w:rPr>
              <w:t>YY1</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JUND</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NFYB</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NFYA</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MAFK</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TAL1</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CCNT2</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XRCC4</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CEBPB</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CHD2</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SMC3</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FOS</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JUN</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BCLAF1</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GTF2B</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NFE2</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MYC</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SETDB1</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USF2</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HMGN3</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TRIM28</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SIRT6</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RAD21</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MXI1</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POLR2A</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BRF2</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EP300</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GATA2</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GATA1</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E2F6</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E2F4</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GTF2F1</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lastRenderedPageBreak/>
              <w:t>MAX</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3</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TBP</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CTCF</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BRF1</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ZNF274</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ATF3</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1</w:t>
            </w:r>
          </w:p>
        </w:tc>
      </w:tr>
      <w:tr w:rsidR="00AD2006" w:rsidRPr="00AD2006" w:rsidTr="003C0040">
        <w:trPr>
          <w:trHeight w:val="300"/>
          <w:jc w:val="center"/>
        </w:trPr>
        <w:tc>
          <w:tcPr>
            <w:tcW w:w="141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NRF1</w:t>
            </w:r>
          </w:p>
        </w:tc>
        <w:tc>
          <w:tcPr>
            <w:tcW w:w="1843"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c>
          <w:tcPr>
            <w:tcW w:w="1701" w:type="dxa"/>
            <w:noWrap/>
            <w:vAlign w:val="center"/>
            <w:hideMark/>
          </w:tcPr>
          <w:p w:rsidR="00AD2006" w:rsidRPr="00AD2006" w:rsidRDefault="00AD2006" w:rsidP="00AD2006">
            <w:pPr>
              <w:jc w:val="center"/>
              <w:rPr>
                <w:rFonts w:ascii="Calibri" w:eastAsia="Times New Roman" w:hAnsi="Calibri" w:cs="Times New Roman"/>
                <w:color w:val="000000"/>
              </w:rPr>
            </w:pPr>
            <w:r w:rsidRPr="00AD2006">
              <w:rPr>
                <w:rFonts w:ascii="Calibri" w:eastAsia="Times New Roman" w:hAnsi="Calibri" w:cs="Times New Roman"/>
                <w:color w:val="000000"/>
              </w:rPr>
              <w:t>2</w:t>
            </w:r>
          </w:p>
        </w:tc>
      </w:tr>
    </w:tbl>
    <w:p w:rsidR="000B154D" w:rsidRDefault="000B154D" w:rsidP="00D6245F">
      <w:pPr>
        <w:spacing w:after="600" w:line="360" w:lineRule="auto"/>
        <w:jc w:val="both"/>
        <w:rPr>
          <w:rFonts w:ascii="Arial" w:eastAsia="Calibri" w:hAnsi="Arial" w:cs="Arial"/>
        </w:rPr>
      </w:pPr>
    </w:p>
    <w:p w:rsidR="00791D93" w:rsidRDefault="00791D93" w:rsidP="00D6245F">
      <w:pPr>
        <w:spacing w:after="600" w:line="360" w:lineRule="auto"/>
        <w:jc w:val="both"/>
        <w:rPr>
          <w:rFonts w:ascii="Arial" w:eastAsia="Calibri" w:hAnsi="Arial" w:cs="Arial"/>
        </w:rPr>
      </w:pPr>
    </w:p>
    <w:p w:rsidR="004062AE" w:rsidRDefault="004062AE" w:rsidP="000B154D">
      <w:pPr>
        <w:tabs>
          <w:tab w:val="left" w:pos="6129"/>
        </w:tabs>
        <w:rPr>
          <w:rFonts w:ascii="Arial" w:eastAsia="Calibri" w:hAnsi="Arial" w:cs="Arial"/>
          <w:b/>
        </w:rPr>
      </w:pPr>
      <w:r w:rsidRPr="004062AE">
        <w:rPr>
          <w:rFonts w:ascii="Arial" w:eastAsia="Calibri" w:hAnsi="Arial" w:cs="Arial"/>
          <w:b/>
        </w:rPr>
        <w:t>Supplementary references</w:t>
      </w:r>
    </w:p>
    <w:p w:rsidR="002A428C" w:rsidRPr="002A428C" w:rsidRDefault="00465690" w:rsidP="002A428C">
      <w:pPr>
        <w:pStyle w:val="Bibliografia"/>
        <w:rPr>
          <w:rFonts w:ascii="Arial" w:hAnsi="Arial" w:cs="Arial"/>
        </w:rPr>
      </w:pPr>
      <w:r>
        <w:rPr>
          <w:rFonts w:ascii="Arial" w:eastAsia="Calibri" w:hAnsi="Arial" w:cs="Arial"/>
        </w:rPr>
        <w:fldChar w:fldCharType="begin"/>
      </w:r>
      <w:r w:rsidR="00771FE8">
        <w:rPr>
          <w:rFonts w:ascii="Arial" w:eastAsia="Calibri" w:hAnsi="Arial" w:cs="Arial"/>
        </w:rPr>
        <w:instrText xml:space="preserve"> ADDIN ZOTERO_BIBL {"uncited":[],"omitted":[],"custom":[]} CSL_BIBLIOGRAPHY </w:instrText>
      </w:r>
      <w:r>
        <w:rPr>
          <w:rFonts w:ascii="Arial" w:eastAsia="Calibri" w:hAnsi="Arial" w:cs="Arial"/>
        </w:rPr>
        <w:fldChar w:fldCharType="separate"/>
      </w:r>
      <w:r w:rsidR="002A428C" w:rsidRPr="002A428C">
        <w:rPr>
          <w:rFonts w:ascii="Arial" w:hAnsi="Arial" w:cs="Arial"/>
        </w:rPr>
        <w:t>[1]</w:t>
      </w:r>
      <w:r w:rsidR="002A428C" w:rsidRPr="002A428C">
        <w:rPr>
          <w:rFonts w:ascii="Arial" w:hAnsi="Arial" w:cs="Arial"/>
        </w:rPr>
        <w:tab/>
        <w:t>Gerstein MB, Kundaje A, Hariharan M, Landt SG, Yan K-K, Cheng C, et al. Architecture of the human regulatory network derived from ENCODE data. Nature 2012;489:91–100. https://doi.org/10.1038/nature11245.</w:t>
      </w:r>
    </w:p>
    <w:p w:rsidR="002A428C" w:rsidRPr="002A428C" w:rsidRDefault="002A428C" w:rsidP="002A428C">
      <w:pPr>
        <w:pStyle w:val="Bibliografia"/>
        <w:rPr>
          <w:rFonts w:ascii="Arial" w:hAnsi="Arial" w:cs="Arial"/>
        </w:rPr>
      </w:pPr>
      <w:r w:rsidRPr="002A428C">
        <w:rPr>
          <w:rFonts w:ascii="Arial" w:hAnsi="Arial" w:cs="Arial"/>
        </w:rPr>
        <w:t>[2]</w:t>
      </w:r>
      <w:r w:rsidRPr="002A428C">
        <w:rPr>
          <w:rFonts w:ascii="Arial" w:hAnsi="Arial" w:cs="Arial"/>
        </w:rPr>
        <w:tab/>
        <w:t>Cheng C, Andrews E, Yan K-K, Ung M, Wang D, Gerstein M. An approach for determining and measuring network hierarchy applied to comparing the phosphorylome and the regulome. Genome Biol 2015;16:63. https://doi.org/10.1186/s13059-015-0624-2.</w:t>
      </w:r>
    </w:p>
    <w:p w:rsidR="002A428C" w:rsidRPr="002A428C" w:rsidRDefault="002A428C" w:rsidP="002A428C">
      <w:pPr>
        <w:pStyle w:val="Bibliografia"/>
        <w:rPr>
          <w:rFonts w:ascii="Arial" w:hAnsi="Arial" w:cs="Arial"/>
        </w:rPr>
      </w:pPr>
      <w:r w:rsidRPr="002A428C">
        <w:rPr>
          <w:rFonts w:ascii="Arial" w:hAnsi="Arial" w:cs="Arial"/>
        </w:rPr>
        <w:t>[3]</w:t>
      </w:r>
      <w:r w:rsidRPr="002A428C">
        <w:rPr>
          <w:rFonts w:ascii="Arial" w:hAnsi="Arial" w:cs="Arial"/>
        </w:rPr>
        <w:tab/>
        <w:t>Ispolatov I, Maslov S. Detection of the dominant direction of information flow and feedback links in densely interconnected regulatory networks. BMC Bioinformatics 2008;9:424. https://doi.org/10.1186/1471-2105-9-424.</w:t>
      </w:r>
    </w:p>
    <w:p w:rsidR="004062AE" w:rsidRPr="004062AE" w:rsidRDefault="00465690" w:rsidP="00D6245F">
      <w:pPr>
        <w:tabs>
          <w:tab w:val="left" w:pos="6129"/>
        </w:tabs>
        <w:jc w:val="both"/>
        <w:rPr>
          <w:rFonts w:ascii="Arial" w:eastAsia="Calibri" w:hAnsi="Arial" w:cs="Arial"/>
        </w:rPr>
      </w:pPr>
      <w:r>
        <w:rPr>
          <w:rFonts w:ascii="Arial" w:eastAsia="Calibri" w:hAnsi="Arial" w:cs="Arial"/>
        </w:rPr>
        <w:fldChar w:fldCharType="end"/>
      </w:r>
    </w:p>
    <w:sectPr w:rsidR="004062AE" w:rsidRPr="004062AE" w:rsidSect="00465690">
      <w:footerReference w:type="default" r:id="rId10"/>
      <w:pgSz w:w="12240" w:h="15840"/>
      <w:pgMar w:top="1417"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CAD" w:rsidRDefault="00045CAD" w:rsidP="007671E0">
      <w:pPr>
        <w:spacing w:after="0" w:line="240" w:lineRule="auto"/>
      </w:pPr>
      <w:r>
        <w:separator/>
      </w:r>
    </w:p>
  </w:endnote>
  <w:endnote w:type="continuationSeparator" w:id="0">
    <w:p w:rsidR="00045CAD" w:rsidRDefault="00045CAD" w:rsidP="00767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58049"/>
      <w:docPartObj>
        <w:docPartGallery w:val="Page Numbers (Bottom of Page)"/>
        <w:docPartUnique/>
      </w:docPartObj>
    </w:sdtPr>
    <w:sdtEndPr>
      <w:rPr>
        <w:noProof/>
      </w:rPr>
    </w:sdtEndPr>
    <w:sdtContent>
      <w:p w:rsidR="007671E0" w:rsidRDefault="00465690">
        <w:pPr>
          <w:pStyle w:val="Pidipagina"/>
          <w:jc w:val="right"/>
        </w:pPr>
        <w:r>
          <w:fldChar w:fldCharType="begin"/>
        </w:r>
        <w:r w:rsidR="007671E0">
          <w:instrText xml:space="preserve"> PAGE   \* MERGEFORMAT </w:instrText>
        </w:r>
        <w:r>
          <w:fldChar w:fldCharType="separate"/>
        </w:r>
        <w:r w:rsidR="00160804">
          <w:rPr>
            <w:noProof/>
          </w:rPr>
          <w:t>6</w:t>
        </w:r>
        <w:r>
          <w:rPr>
            <w:noProof/>
          </w:rPr>
          <w:fldChar w:fldCharType="end"/>
        </w:r>
      </w:p>
    </w:sdtContent>
  </w:sdt>
  <w:p w:rsidR="007671E0" w:rsidRDefault="007671E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CAD" w:rsidRDefault="00045CAD" w:rsidP="007671E0">
      <w:pPr>
        <w:spacing w:after="0" w:line="240" w:lineRule="auto"/>
      </w:pPr>
      <w:r>
        <w:separator/>
      </w:r>
    </w:p>
  </w:footnote>
  <w:footnote w:type="continuationSeparator" w:id="0">
    <w:p w:rsidR="00045CAD" w:rsidRDefault="00045CAD" w:rsidP="007671E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proofState w:spelling="clean"/>
  <w:defaultTabStop w:val="720"/>
  <w:hyphenationZone w:val="283"/>
  <w:characterSpacingControl w:val="doNotCompress"/>
  <w:footnotePr>
    <w:footnote w:id="-1"/>
    <w:footnote w:id="0"/>
  </w:footnotePr>
  <w:endnotePr>
    <w:endnote w:id="-1"/>
    <w:endnote w:id="0"/>
  </w:endnotePr>
  <w:compat/>
  <w:rsids>
    <w:rsidRoot w:val="00A01BA2"/>
    <w:rsid w:val="000337CB"/>
    <w:rsid w:val="00045CAD"/>
    <w:rsid w:val="000850FD"/>
    <w:rsid w:val="000A79DB"/>
    <w:rsid w:val="000B154D"/>
    <w:rsid w:val="000D0A82"/>
    <w:rsid w:val="000F7848"/>
    <w:rsid w:val="00160804"/>
    <w:rsid w:val="001672D2"/>
    <w:rsid w:val="00175DBC"/>
    <w:rsid w:val="00193570"/>
    <w:rsid w:val="00273E66"/>
    <w:rsid w:val="002757AF"/>
    <w:rsid w:val="002A428C"/>
    <w:rsid w:val="002D0FE0"/>
    <w:rsid w:val="00304EB0"/>
    <w:rsid w:val="003A6C12"/>
    <w:rsid w:val="003C0040"/>
    <w:rsid w:val="003D42FB"/>
    <w:rsid w:val="003D5891"/>
    <w:rsid w:val="004062AE"/>
    <w:rsid w:val="00436E6A"/>
    <w:rsid w:val="00446D01"/>
    <w:rsid w:val="00465690"/>
    <w:rsid w:val="00473426"/>
    <w:rsid w:val="0054506D"/>
    <w:rsid w:val="005468B1"/>
    <w:rsid w:val="00593378"/>
    <w:rsid w:val="005E0EF9"/>
    <w:rsid w:val="00602C2D"/>
    <w:rsid w:val="00622CB3"/>
    <w:rsid w:val="00642E5B"/>
    <w:rsid w:val="00644BF2"/>
    <w:rsid w:val="006534C2"/>
    <w:rsid w:val="006945D3"/>
    <w:rsid w:val="006A646B"/>
    <w:rsid w:val="006B61F6"/>
    <w:rsid w:val="00700BF6"/>
    <w:rsid w:val="00736793"/>
    <w:rsid w:val="007671E0"/>
    <w:rsid w:val="00771FE8"/>
    <w:rsid w:val="00791D93"/>
    <w:rsid w:val="007D5247"/>
    <w:rsid w:val="007F3D4D"/>
    <w:rsid w:val="00953B43"/>
    <w:rsid w:val="009D6414"/>
    <w:rsid w:val="009E225B"/>
    <w:rsid w:val="009E474D"/>
    <w:rsid w:val="009F03F7"/>
    <w:rsid w:val="009F7538"/>
    <w:rsid w:val="00A01BA2"/>
    <w:rsid w:val="00A253B6"/>
    <w:rsid w:val="00A8550F"/>
    <w:rsid w:val="00AB6261"/>
    <w:rsid w:val="00AB74F7"/>
    <w:rsid w:val="00AD2006"/>
    <w:rsid w:val="00AD672A"/>
    <w:rsid w:val="00AE2F0F"/>
    <w:rsid w:val="00B1551E"/>
    <w:rsid w:val="00B70750"/>
    <w:rsid w:val="00B94782"/>
    <w:rsid w:val="00C313A7"/>
    <w:rsid w:val="00C319B3"/>
    <w:rsid w:val="00C53CC1"/>
    <w:rsid w:val="00C64E1D"/>
    <w:rsid w:val="00C702A1"/>
    <w:rsid w:val="00C771FC"/>
    <w:rsid w:val="00D427C5"/>
    <w:rsid w:val="00D6245F"/>
    <w:rsid w:val="00D9119B"/>
    <w:rsid w:val="00E35178"/>
    <w:rsid w:val="00E42B2F"/>
    <w:rsid w:val="00E5603C"/>
    <w:rsid w:val="00ED5F21"/>
    <w:rsid w:val="00EE37E1"/>
    <w:rsid w:val="00EF48E0"/>
    <w:rsid w:val="00F06E19"/>
    <w:rsid w:val="00F26EC2"/>
    <w:rsid w:val="00FF249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569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qFormat/>
    <w:rsid w:val="00C313A7"/>
    <w:pPr>
      <w:spacing w:beforeAutospacing="1" w:afterAutospacing="1" w:line="240" w:lineRule="auto"/>
    </w:pPr>
    <w:rPr>
      <w:rFonts w:ascii="Times New Roman" w:eastAsia="Times New Roman" w:hAnsi="Times New Roman" w:cs="Times New Roman"/>
      <w:sz w:val="24"/>
      <w:szCs w:val="24"/>
    </w:rPr>
  </w:style>
  <w:style w:type="character" w:customStyle="1" w:styleId="fontstyle01">
    <w:name w:val="fontstyle01"/>
    <w:basedOn w:val="Carpredefinitoparagrafo"/>
    <w:rsid w:val="000B154D"/>
    <w:rPr>
      <w:rFonts w:ascii="TimesNewRomanPSMT" w:hAnsi="TimesNewRomanPSMT" w:hint="default"/>
      <w:b w:val="0"/>
      <w:bCs w:val="0"/>
      <w:i w:val="0"/>
      <w:iCs w:val="0"/>
      <w:color w:val="000000"/>
      <w:sz w:val="24"/>
      <w:szCs w:val="24"/>
    </w:rPr>
  </w:style>
  <w:style w:type="paragraph" w:styleId="Bibliografia">
    <w:name w:val="Bibliography"/>
    <w:basedOn w:val="Normale"/>
    <w:next w:val="Normale"/>
    <w:uiPriority w:val="37"/>
    <w:unhideWhenUsed/>
    <w:rsid w:val="00771FE8"/>
    <w:pPr>
      <w:tabs>
        <w:tab w:val="left" w:pos="384"/>
      </w:tabs>
      <w:spacing w:after="0" w:line="240" w:lineRule="auto"/>
      <w:ind w:left="384" w:hanging="384"/>
    </w:pPr>
  </w:style>
  <w:style w:type="character" w:styleId="Enfasidelicata">
    <w:name w:val="Subtle Emphasis"/>
    <w:basedOn w:val="Carpredefinitoparagrafo"/>
    <w:uiPriority w:val="19"/>
    <w:qFormat/>
    <w:rsid w:val="00602C2D"/>
    <w:rPr>
      <w:i/>
      <w:iCs/>
    </w:rPr>
  </w:style>
  <w:style w:type="paragraph" w:customStyle="1" w:styleId="DecimalAligned">
    <w:name w:val="Decimal Aligned"/>
    <w:basedOn w:val="Normale"/>
    <w:uiPriority w:val="40"/>
    <w:qFormat/>
    <w:rsid w:val="00602C2D"/>
    <w:pPr>
      <w:tabs>
        <w:tab w:val="decimal" w:pos="360"/>
      </w:tabs>
      <w:spacing w:after="200" w:line="276" w:lineRule="auto"/>
    </w:pPr>
    <w:rPr>
      <w:rFonts w:ascii="Calibri" w:eastAsia="Times New Roman" w:hAnsi="Calibri" w:cs="Times New Roman"/>
    </w:rPr>
  </w:style>
  <w:style w:type="table" w:styleId="Grigliatabella">
    <w:name w:val="Table Grid"/>
    <w:basedOn w:val="Tabellanormale"/>
    <w:uiPriority w:val="39"/>
    <w:rsid w:val="00AD20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7671E0"/>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7671E0"/>
  </w:style>
  <w:style w:type="paragraph" w:styleId="Pidipagina">
    <w:name w:val="footer"/>
    <w:basedOn w:val="Normale"/>
    <w:link w:val="PidipaginaCarattere"/>
    <w:uiPriority w:val="99"/>
    <w:unhideWhenUsed/>
    <w:rsid w:val="007671E0"/>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7671E0"/>
  </w:style>
</w:styles>
</file>

<file path=word/webSettings.xml><?xml version="1.0" encoding="utf-8"?>
<w:webSettings xmlns:r="http://schemas.openxmlformats.org/officeDocument/2006/relationships" xmlns:w="http://schemas.openxmlformats.org/wordprocessingml/2006/main">
  <w:divs>
    <w:div w:id="372852812">
      <w:bodyDiv w:val="1"/>
      <w:marLeft w:val="0"/>
      <w:marRight w:val="0"/>
      <w:marTop w:val="0"/>
      <w:marBottom w:val="0"/>
      <w:divBdr>
        <w:top w:val="none" w:sz="0" w:space="0" w:color="auto"/>
        <w:left w:val="none" w:sz="0" w:space="0" w:color="auto"/>
        <w:bottom w:val="none" w:sz="0" w:space="0" w:color="auto"/>
        <w:right w:val="none" w:sz="0" w:space="0" w:color="auto"/>
      </w:divBdr>
    </w:div>
    <w:div w:id="409889658">
      <w:bodyDiv w:val="1"/>
      <w:marLeft w:val="0"/>
      <w:marRight w:val="0"/>
      <w:marTop w:val="0"/>
      <w:marBottom w:val="0"/>
      <w:divBdr>
        <w:top w:val="none" w:sz="0" w:space="0" w:color="auto"/>
        <w:left w:val="none" w:sz="0" w:space="0" w:color="auto"/>
        <w:bottom w:val="none" w:sz="0" w:space="0" w:color="auto"/>
        <w:right w:val="none" w:sz="0" w:space="0" w:color="auto"/>
      </w:divBdr>
    </w:div>
    <w:div w:id="141401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2057</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sauta</dc:creator>
  <cp:lastModifiedBy>Elisabetta</cp:lastModifiedBy>
  <cp:revision>2</cp:revision>
  <cp:lastPrinted>2020-01-09T10:50:00Z</cp:lastPrinted>
  <dcterms:created xsi:type="dcterms:W3CDTF">2020-04-27T14:19:00Z</dcterms:created>
  <dcterms:modified xsi:type="dcterms:W3CDTF">2020-04-27T14:19:00Z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id="4BmsgQZ3"/&gt;&lt;style id="http://www.zotero.org/styles/elsevier-vancouver"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