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62A81" w14:textId="77777777" w:rsidR="00141712" w:rsidRDefault="00CD71B3">
      <w:pPr>
        <w:shd w:val="clear" w:color="auto" w:fill="FFFFFF"/>
        <w:spacing w:line="360" w:lineRule="auto"/>
        <w:rPr>
          <w:sz w:val="26"/>
          <w:szCs w:val="26"/>
        </w:rPr>
      </w:pPr>
      <w:r>
        <w:rPr>
          <w:b/>
          <w:sz w:val="26"/>
          <w:szCs w:val="26"/>
        </w:rPr>
        <w:t xml:space="preserve">Supplementary Material </w:t>
      </w:r>
      <w:r>
        <w:rPr>
          <w:sz w:val="26"/>
          <w:szCs w:val="26"/>
        </w:rPr>
        <w:t xml:space="preserve">for </w:t>
      </w:r>
      <w:r>
        <w:rPr>
          <w:i/>
          <w:sz w:val="26"/>
          <w:szCs w:val="26"/>
        </w:rPr>
        <w:t>Large-Scale Labeling and Assessment of Sex Bias in Publicly Available Expression Data</w:t>
      </w:r>
      <w:r>
        <w:rPr>
          <w:sz w:val="26"/>
          <w:szCs w:val="26"/>
        </w:rPr>
        <w:t>.</w:t>
      </w:r>
    </w:p>
    <w:p w14:paraId="25B990D9" w14:textId="77777777" w:rsidR="00141712" w:rsidRDefault="00CD71B3">
      <w:pPr>
        <w:shd w:val="clear" w:color="auto" w:fill="FFFFFF"/>
        <w:spacing w:line="360" w:lineRule="auto"/>
        <w:rPr>
          <w:sz w:val="24"/>
          <w:szCs w:val="24"/>
        </w:rPr>
      </w:pPr>
      <w:r>
        <w:rPr>
          <w:sz w:val="24"/>
          <w:szCs w:val="24"/>
        </w:rPr>
        <w:t>Authors: Emily Flynn, Annie Chang, and Russ B. Altman</w:t>
      </w:r>
    </w:p>
    <w:p w14:paraId="5AF6A395" w14:textId="77777777" w:rsidR="00141712" w:rsidRDefault="00141712">
      <w:pPr>
        <w:rPr>
          <w:b/>
          <w:u w:val="single"/>
        </w:rPr>
      </w:pPr>
    </w:p>
    <w:p w14:paraId="42EE614C" w14:textId="77777777" w:rsidR="00141712" w:rsidRDefault="00CD71B3">
      <w:pPr>
        <w:rPr>
          <w:b/>
          <w:u w:val="single"/>
        </w:rPr>
      </w:pPr>
      <w:r>
        <w:br w:type="page"/>
      </w:r>
    </w:p>
    <w:p w14:paraId="4E17761A" w14:textId="77777777" w:rsidR="00141712" w:rsidRDefault="00CD71B3">
      <w:pPr>
        <w:rPr>
          <w:b/>
          <w:u w:val="single"/>
        </w:rPr>
      </w:pPr>
      <w:r>
        <w:rPr>
          <w:b/>
          <w:u w:val="single"/>
        </w:rPr>
        <w:lastRenderedPageBreak/>
        <w:t>SUPPLEMENTAL TABLES</w:t>
      </w:r>
    </w:p>
    <w:p w14:paraId="751AA6F2" w14:textId="77777777" w:rsidR="00141712" w:rsidRDefault="00141712"/>
    <w:p w14:paraId="1A839A83" w14:textId="77777777" w:rsidR="00141712" w:rsidRDefault="00CD71B3">
      <w:r>
        <w:rPr>
          <w:b/>
        </w:rPr>
        <w:t>Supplementary Table 1.</w:t>
      </w:r>
      <w:r>
        <w:t xml:space="preserve"> Sex breakdown by sample (A) and study (B). These data are divided by organism, data type (microarray or RNA-</w:t>
      </w:r>
      <w:proofErr w:type="spellStart"/>
      <w:r>
        <w:t>seq</w:t>
      </w:r>
      <w:proofErr w:type="spellEnd"/>
      <w:r>
        <w:t xml:space="preserve">), and label type (“metadata” or “expression”), where expression refers to the labels from our model. The sample-level table includes counts of </w:t>
      </w:r>
      <w:r>
        <w:t xml:space="preserve">male, female, and unlabeled samples, while the study-level table includes the counts of studies in each of the study types (see </w:t>
      </w:r>
      <w:r>
        <w:rPr>
          <w:color w:val="0000FF"/>
        </w:rPr>
        <w:t>Methods 2-1</w:t>
      </w:r>
      <w:r>
        <w:t xml:space="preserve">). Fractions of samples and studies are also included. </w:t>
      </w:r>
    </w:p>
    <w:p w14:paraId="45CB4C29" w14:textId="77777777" w:rsidR="00141712" w:rsidRDefault="00141712"/>
    <w:p w14:paraId="2335A00E" w14:textId="77777777" w:rsidR="00141712" w:rsidRDefault="00CD71B3">
      <w:r>
        <w:t>Supplementary Table 2. Performance of across machine learnin</w:t>
      </w:r>
      <w:r>
        <w:t>g methods. Each column is a dataset (human or mouse, microarray or RNA-</w:t>
      </w:r>
      <w:proofErr w:type="spellStart"/>
      <w:r>
        <w:t>seq</w:t>
      </w:r>
      <w:proofErr w:type="spellEnd"/>
      <w:r>
        <w:t xml:space="preserve">), and each row is the result from training a different model. The values shown are the median agreement across training data folds. </w:t>
      </w:r>
    </w:p>
    <w:p w14:paraId="5B4A06C9" w14:textId="77777777" w:rsidR="00141712" w:rsidRDefault="00141712"/>
    <w:p w14:paraId="41F334B8" w14:textId="6BA10D20" w:rsidR="00141712" w:rsidRDefault="00CD71B3">
      <w:r>
        <w:rPr>
          <w:b/>
        </w:rPr>
        <w:t xml:space="preserve">Supplementary Table </w:t>
      </w:r>
      <w:r>
        <w:rPr>
          <w:b/>
        </w:rPr>
        <w:t>3</w:t>
      </w:r>
      <w:r>
        <w:rPr>
          <w:b/>
        </w:rPr>
        <w:t>.</w:t>
      </w:r>
      <w:r>
        <w:t xml:space="preserve"> Accuracy assessment. A)</w:t>
      </w:r>
      <w:r>
        <w:t xml:space="preserve"> List of assessment datasets for each organism, </w:t>
      </w:r>
      <w:proofErr w:type="spellStart"/>
      <w:r>
        <w:t>data_type</w:t>
      </w:r>
      <w:proofErr w:type="spellEnd"/>
      <w:r>
        <w:t>, and the number of studies and samples and sex breakdown of each dataset. B) Accuracy of sex labeling in each assessment dataset at varying “cutoff” probability scores.</w:t>
      </w:r>
    </w:p>
    <w:p w14:paraId="2A3A5FAC" w14:textId="77777777" w:rsidR="00141712" w:rsidRDefault="00141712"/>
    <w:p w14:paraId="1C750162" w14:textId="1C816D3A" w:rsidR="00141712" w:rsidRDefault="00CD71B3">
      <w:r>
        <w:rPr>
          <w:b/>
        </w:rPr>
        <w:t xml:space="preserve">Supplementary Table </w:t>
      </w:r>
      <w:r>
        <w:rPr>
          <w:b/>
        </w:rPr>
        <w:t>4</w:t>
      </w:r>
      <w:r>
        <w:rPr>
          <w:b/>
        </w:rPr>
        <w:t xml:space="preserve">. </w:t>
      </w:r>
      <w:r>
        <w:t>Plat</w:t>
      </w:r>
      <w:r>
        <w:t>form accuracy. A) List of all platforms, the number of samples of that platform, and accuracy and fraction of samples from that platform labeled by our model (at cutoff threshold 0.7). B) Fractions of all samples belonging to platforms with poor accuracy (</w:t>
      </w:r>
      <w:r>
        <w:t>“</w:t>
      </w:r>
      <w:proofErr w:type="spellStart"/>
      <w:r>
        <w:t>poor_accuracy</w:t>
      </w:r>
      <w:proofErr w:type="spellEnd"/>
      <w:r>
        <w:t>”, defined as &lt;70% concordance), not included in the extended test set (“</w:t>
      </w:r>
      <w:proofErr w:type="spellStart"/>
      <w:r>
        <w:t>not_in_test</w:t>
      </w:r>
      <w:proofErr w:type="spellEnd"/>
      <w:r>
        <w:t>”), and included samples after removing poor accuracy or untested platforms (“included”). The approximate accuracy (“</w:t>
      </w:r>
      <w:proofErr w:type="spellStart"/>
      <w:r>
        <w:t>approx_accuracy</w:t>
      </w:r>
      <w:proofErr w:type="spellEnd"/>
      <w:r>
        <w:t>”) is calculated by multip</w:t>
      </w:r>
      <w:r>
        <w:t>lying the accuracy of that platform by the prevalence of the platform overall, and the approximate fraction of samples labeled (“</w:t>
      </w:r>
      <w:proofErr w:type="spellStart"/>
      <w:r>
        <w:t>approx_frac_labeled</w:t>
      </w:r>
      <w:proofErr w:type="spellEnd"/>
      <w:r>
        <w:t>”) is calculated by multiplying the fraction labeled in platform a platform by the prevalence of the platfor</w:t>
      </w:r>
      <w:r>
        <w:t>m. These refer to the accuracy and fraction labeled in the included set.</w:t>
      </w:r>
    </w:p>
    <w:p w14:paraId="00352F93" w14:textId="77777777" w:rsidR="00141712" w:rsidRPr="004E3F19" w:rsidRDefault="00141712"/>
    <w:p w14:paraId="136ED85F" w14:textId="77777777" w:rsidR="00141712" w:rsidRDefault="00CD71B3">
      <w:r w:rsidRPr="0029259E">
        <w:rPr>
          <w:b/>
        </w:rPr>
        <w:t xml:space="preserve">Supplementary Table 5. </w:t>
      </w:r>
      <w:r w:rsidRPr="0029259E">
        <w:t>Model coefficients and X inactivation status in human</w:t>
      </w:r>
      <w:r w:rsidRPr="0029259E">
        <w:t xml:space="preserve"> microarray (A), human RNA-</w:t>
      </w:r>
      <w:proofErr w:type="spellStart"/>
      <w:r w:rsidRPr="0029259E">
        <w:t>seq</w:t>
      </w:r>
      <w:proofErr w:type="spellEnd"/>
      <w:r w:rsidRPr="0029259E">
        <w:t xml:space="preserve"> (B), mouse microarray (C), and mouse RNA-</w:t>
      </w:r>
      <w:proofErr w:type="spellStart"/>
      <w:r w:rsidRPr="0029259E">
        <w:t>seq</w:t>
      </w:r>
      <w:proofErr w:type="spellEnd"/>
      <w:r w:rsidRPr="0029259E">
        <w:t xml:space="preserve"> (D) models. The gene name, </w:t>
      </w:r>
      <w:proofErr w:type="spellStart"/>
      <w:r w:rsidRPr="0029259E">
        <w:t>ensembl</w:t>
      </w:r>
      <w:proofErr w:type="spellEnd"/>
      <w:r w:rsidRPr="0029259E">
        <w:t xml:space="preserve"> gene (and transcript for RNA-</w:t>
      </w:r>
      <w:proofErr w:type="spellStart"/>
      <w:r w:rsidRPr="0029259E">
        <w:t>seq</w:t>
      </w:r>
      <w:proofErr w:type="spellEnd"/>
      <w:r w:rsidRPr="0029259E">
        <w:t>) identifiers, chromosome name, region (PAR or non-PAR), and literature X chromosome inactivation status (with as</w:t>
      </w:r>
      <w:r w:rsidRPr="0029259E">
        <w:t xml:space="preserve">sociated references) are listed for each coefficient. Human homologs are given for mouse genes. </w:t>
      </w:r>
      <w:r>
        <w:rPr>
          <w:b/>
          <w:i/>
          <w:highlight w:val="yellow"/>
        </w:rPr>
        <w:br/>
      </w:r>
    </w:p>
    <w:p w14:paraId="1E6F704F" w14:textId="651349BD" w:rsidR="00141712" w:rsidRDefault="00CD71B3">
      <w:r>
        <w:rPr>
          <w:b/>
        </w:rPr>
        <w:t xml:space="preserve">Supplementary Table </w:t>
      </w:r>
      <w:r>
        <w:rPr>
          <w:b/>
        </w:rPr>
        <w:t>6</w:t>
      </w:r>
      <w:r>
        <w:rPr>
          <w:b/>
        </w:rPr>
        <w:t>.</w:t>
      </w:r>
      <w:r>
        <w:t xml:space="preserve"> Y chromosome loss across 87 male cell lines. Includes the cell line name (“</w:t>
      </w:r>
      <w:proofErr w:type="spellStart"/>
      <w:r>
        <w:t>cl_name</w:t>
      </w:r>
      <w:proofErr w:type="spellEnd"/>
      <w:r>
        <w:t>”) and accession, number of samples and studies, number of samples labeled male and female, and the median P(male) across all samples (“</w:t>
      </w:r>
      <w:proofErr w:type="spellStart"/>
      <w:r>
        <w:t>median_p_male</w:t>
      </w:r>
      <w:proofErr w:type="spellEnd"/>
      <w:r>
        <w:t>”)</w:t>
      </w:r>
    </w:p>
    <w:p w14:paraId="34344698" w14:textId="77777777" w:rsidR="00141712" w:rsidRDefault="00141712"/>
    <w:p w14:paraId="5485149A" w14:textId="3000D04C" w:rsidR="00141712" w:rsidRDefault="00CD71B3">
      <w:r>
        <w:rPr>
          <w:b/>
        </w:rPr>
        <w:t xml:space="preserve">Supplementary Table </w:t>
      </w:r>
      <w:r>
        <w:rPr>
          <w:b/>
        </w:rPr>
        <w:t>7</w:t>
      </w:r>
      <w:r>
        <w:rPr>
          <w:b/>
        </w:rPr>
        <w:t>.</w:t>
      </w:r>
      <w:r>
        <w:t xml:space="preserve"> </w:t>
      </w:r>
      <w:proofErr w:type="spellStart"/>
      <w:r>
        <w:t>Misannotation</w:t>
      </w:r>
      <w:proofErr w:type="spellEnd"/>
      <w:r>
        <w:t xml:space="preserve"> estimates in (A) single versus mixed sex studies, (B) mixed sex studies by comparison to other expression-based methods, and (C) mixed sex studies based on the distribution of sample sex scores. Estimates are given at varying thresholds o</w:t>
      </w:r>
      <w:r>
        <w:t>f our model (A + B) or for clustering cutoffs (C).</w:t>
      </w:r>
    </w:p>
    <w:p w14:paraId="10743A8E" w14:textId="77777777" w:rsidR="00141712" w:rsidRDefault="00141712"/>
    <w:p w14:paraId="55F70E8F" w14:textId="2A43B805" w:rsidR="00141712" w:rsidRDefault="00CD71B3">
      <w:r>
        <w:rPr>
          <w:b/>
        </w:rPr>
        <w:lastRenderedPageBreak/>
        <w:t xml:space="preserve">Supplementary Table </w:t>
      </w:r>
      <w:r>
        <w:rPr>
          <w:b/>
        </w:rPr>
        <w:t>8</w:t>
      </w:r>
      <w:r>
        <w:rPr>
          <w:b/>
        </w:rPr>
        <w:t xml:space="preserve">. </w:t>
      </w:r>
      <w:r>
        <w:t xml:space="preserve">(A) List of drug exposure studies. Each row is a study/drug pair, and includes the </w:t>
      </w:r>
      <w:proofErr w:type="spellStart"/>
      <w:r>
        <w:t>DrugBank</w:t>
      </w:r>
      <w:proofErr w:type="spellEnd"/>
      <w:r>
        <w:t xml:space="preserve"> ID (“</w:t>
      </w:r>
      <w:proofErr w:type="spellStart"/>
      <w:r>
        <w:t>dbID</w:t>
      </w:r>
      <w:proofErr w:type="spellEnd"/>
      <w:r>
        <w:t>”), “</w:t>
      </w:r>
      <w:proofErr w:type="spellStart"/>
      <w:r>
        <w:t>drug_name</w:t>
      </w:r>
      <w:proofErr w:type="spellEnd"/>
      <w:r>
        <w:t>”, and ATC code. The “</w:t>
      </w:r>
      <w:proofErr w:type="spellStart"/>
      <w:r>
        <w:t>sample_terms</w:t>
      </w:r>
      <w:proofErr w:type="spellEnd"/>
      <w:r>
        <w:t xml:space="preserve">” column refers to whether the </w:t>
      </w:r>
      <w:r>
        <w:t xml:space="preserve">study contains samples with both control and drug terms (“both”) or only drug terms (“drug-only”).  (B) Sex bias by drug. Each row contains the organism, drug (with </w:t>
      </w:r>
      <w:proofErr w:type="spellStart"/>
      <w:r>
        <w:t>DrugBank</w:t>
      </w:r>
      <w:proofErr w:type="spellEnd"/>
      <w:r>
        <w:t xml:space="preserve"> ID, name, and ATC code), number of studies, and fractions male, female, and mixed </w:t>
      </w:r>
      <w:r>
        <w:t>sex studies.</w:t>
      </w:r>
    </w:p>
    <w:p w14:paraId="01F66DE7" w14:textId="77777777" w:rsidR="00141712" w:rsidRDefault="00141712"/>
    <w:p w14:paraId="65E2E43F" w14:textId="02F76B71" w:rsidR="00141712" w:rsidRDefault="00CD71B3">
      <w:r>
        <w:rPr>
          <w:b/>
        </w:rPr>
        <w:t xml:space="preserve">Supplementary Table </w:t>
      </w:r>
      <w:r>
        <w:rPr>
          <w:b/>
        </w:rPr>
        <w:t>9</w:t>
      </w:r>
      <w:r>
        <w:rPr>
          <w:b/>
        </w:rPr>
        <w:t>.</w:t>
      </w:r>
      <w:r>
        <w:t xml:space="preserve"> Studies with cancer (A) (ATC class L) and nervous system drugs (B) (ATC class N), organized by drug and study sex breakdown. </w:t>
      </w:r>
    </w:p>
    <w:p w14:paraId="4C5B40F8" w14:textId="77777777" w:rsidR="00141712" w:rsidRDefault="00141712"/>
    <w:p w14:paraId="63D85324" w14:textId="68E1766F" w:rsidR="00141712" w:rsidRDefault="00CD71B3">
      <w:r>
        <w:t>Supplementary Table 10. Counts by sample source type</w:t>
      </w:r>
      <w:r>
        <w:t>, organized by t</w:t>
      </w:r>
      <w:r>
        <w:t xml:space="preserve">he </w:t>
      </w:r>
      <w:proofErr w:type="gramStart"/>
      <w:r>
        <w:t>number</w:t>
      </w:r>
      <w:proofErr w:type="gramEnd"/>
      <w:r>
        <w:t xml:space="preserve"> of samples</w:t>
      </w:r>
      <w:r>
        <w:t xml:space="preserve"> assigned to each source type. </w:t>
      </w:r>
    </w:p>
    <w:p w14:paraId="7CFA7F3D" w14:textId="77777777" w:rsidR="00141712" w:rsidRDefault="00141712"/>
    <w:p w14:paraId="30F04E55" w14:textId="77777777" w:rsidR="00141712" w:rsidRDefault="00141712"/>
    <w:p w14:paraId="0DF9E06F" w14:textId="77777777" w:rsidR="00141712" w:rsidRDefault="00141712"/>
    <w:p w14:paraId="4623B5BA" w14:textId="77777777" w:rsidR="00141712" w:rsidRDefault="00CD71B3">
      <w:pPr>
        <w:rPr>
          <w:b/>
          <w:u w:val="single"/>
        </w:rPr>
      </w:pPr>
      <w:r>
        <w:br w:type="page"/>
      </w:r>
    </w:p>
    <w:p w14:paraId="62FF6B46" w14:textId="77777777" w:rsidR="00141712" w:rsidRDefault="00CD71B3">
      <w:pPr>
        <w:rPr>
          <w:b/>
          <w:u w:val="single"/>
        </w:rPr>
      </w:pPr>
      <w:r>
        <w:rPr>
          <w:b/>
          <w:u w:val="single"/>
        </w:rPr>
        <w:lastRenderedPageBreak/>
        <w:t>SUPPLEMENTAL FIGURES</w:t>
      </w:r>
    </w:p>
    <w:p w14:paraId="7BC339F0" w14:textId="77777777" w:rsidR="00141712" w:rsidRDefault="00CD71B3">
      <w:r>
        <w:rPr>
          <w:noProof/>
        </w:rPr>
        <w:drawing>
          <wp:inline distT="114300" distB="114300" distL="114300" distR="114300" wp14:anchorId="198A5B69" wp14:editId="6BE19326">
            <wp:extent cx="5329238" cy="4330005"/>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5329238" cy="4330005"/>
                    </a:xfrm>
                    <a:prstGeom prst="rect">
                      <a:avLst/>
                    </a:prstGeom>
                    <a:ln/>
                  </pic:spPr>
                </pic:pic>
              </a:graphicData>
            </a:graphic>
          </wp:inline>
        </w:drawing>
      </w:r>
    </w:p>
    <w:p w14:paraId="0B92A068" w14:textId="3187CA0E" w:rsidR="00141712" w:rsidRDefault="00CD71B3">
      <w:r>
        <w:rPr>
          <w:b/>
        </w:rPr>
        <w:t xml:space="preserve">Supplementary Figure 1. </w:t>
      </w:r>
      <w:r w:rsidRPr="0029259E">
        <w:t>B</w:t>
      </w:r>
      <w:r w:rsidRPr="0029259E">
        <w:t>r</w:t>
      </w:r>
      <w:r>
        <w:t>eakdown</w:t>
      </w:r>
      <w:r>
        <w:t xml:space="preserve"> of sample sex labels</w:t>
      </w:r>
      <w:r>
        <w:t xml:space="preserve">. Same as Figure </w:t>
      </w:r>
      <w:r>
        <w:t>2</w:t>
      </w:r>
      <w:r>
        <w:t xml:space="preserve"> but at a sample rather than study level.</w:t>
      </w:r>
    </w:p>
    <w:p w14:paraId="13205EC5" w14:textId="77777777" w:rsidR="00141712" w:rsidRDefault="00CD71B3">
      <w:r>
        <w:rPr>
          <w:noProof/>
        </w:rPr>
        <w:lastRenderedPageBreak/>
        <w:drawing>
          <wp:inline distT="114300" distB="114300" distL="114300" distR="114300" wp14:anchorId="47D70800" wp14:editId="1F5AB0C2">
            <wp:extent cx="3557588" cy="4425098"/>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3557588" cy="4425098"/>
                    </a:xfrm>
                    <a:prstGeom prst="rect">
                      <a:avLst/>
                    </a:prstGeom>
                    <a:ln/>
                  </pic:spPr>
                </pic:pic>
              </a:graphicData>
            </a:graphic>
          </wp:inline>
        </w:drawing>
      </w:r>
    </w:p>
    <w:p w14:paraId="5BE06CC1" w14:textId="77777777" w:rsidR="00141712" w:rsidRDefault="00CD71B3">
      <w:r w:rsidRPr="0029259E">
        <w:rPr>
          <w:b/>
        </w:rPr>
        <w:t>Supplementary Figure 2.</w:t>
      </w:r>
      <w:r>
        <w:t xml:space="preserve"> </w:t>
      </w:r>
      <w:r>
        <w:t>Comparison across machine learning methods. Accuracy across six-fold cross-validation using the training set.</w:t>
      </w:r>
    </w:p>
    <w:p w14:paraId="4BB90300" w14:textId="77777777" w:rsidR="00141712" w:rsidRDefault="00141712"/>
    <w:p w14:paraId="13B4FD81" w14:textId="77777777" w:rsidR="00141712" w:rsidRDefault="00141712"/>
    <w:p w14:paraId="216E03EC" w14:textId="77777777" w:rsidR="00141712" w:rsidRDefault="00141712"/>
    <w:p w14:paraId="14994835" w14:textId="77777777" w:rsidR="00141712" w:rsidRDefault="00CD71B3">
      <w:r>
        <w:rPr>
          <w:noProof/>
        </w:rPr>
        <w:lastRenderedPageBreak/>
        <w:drawing>
          <wp:inline distT="114300" distB="114300" distL="114300" distR="114300" wp14:anchorId="753BC443" wp14:editId="10E52A9D">
            <wp:extent cx="5397269" cy="4281488"/>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5397269" cy="4281488"/>
                    </a:xfrm>
                    <a:prstGeom prst="rect">
                      <a:avLst/>
                    </a:prstGeom>
                    <a:ln/>
                  </pic:spPr>
                </pic:pic>
              </a:graphicData>
            </a:graphic>
          </wp:inline>
        </w:drawing>
      </w:r>
    </w:p>
    <w:p w14:paraId="5773DA11" w14:textId="5B7AC5AD" w:rsidR="00141712" w:rsidRDefault="00CD71B3">
      <w:r>
        <w:rPr>
          <w:b/>
        </w:rPr>
        <w:t xml:space="preserve">Supplementary Figure </w:t>
      </w:r>
      <w:r>
        <w:rPr>
          <w:b/>
        </w:rPr>
        <w:t>3</w:t>
      </w:r>
      <w:r>
        <w:rPr>
          <w:b/>
        </w:rPr>
        <w:t xml:space="preserve">. </w:t>
      </w:r>
      <w:r>
        <w:t xml:space="preserve"> Accuracy and fraction of data labeled at certain sample sex score cutoffs. Each color is a different sample sex sco</w:t>
      </w:r>
      <w:r>
        <w:t xml:space="preserve">re cutoff, the shape of the point indicates the accuracy and fraction labeled on the dataset it is being evaluated on. Gray lines highlight the 0.9, 0.95, 0.98 accuracy cutoffs and 0.7, 0.8, and 0.9 data fractions. </w:t>
      </w:r>
    </w:p>
    <w:p w14:paraId="12819C97" w14:textId="77777777" w:rsidR="00141712" w:rsidRDefault="00141712"/>
    <w:p w14:paraId="1160FB3D" w14:textId="77777777" w:rsidR="00141712" w:rsidRDefault="00141712"/>
    <w:p w14:paraId="50931758" w14:textId="77777777" w:rsidR="00141712" w:rsidRDefault="00CD71B3">
      <w:r>
        <w:lastRenderedPageBreak/>
        <w:t>A)</w:t>
      </w:r>
      <w:commentRangeStart w:id="0"/>
      <w:r>
        <w:rPr>
          <w:noProof/>
        </w:rPr>
        <w:drawing>
          <wp:inline distT="114300" distB="114300" distL="114300" distR="114300" wp14:anchorId="42A08EA5" wp14:editId="248D1FF8">
            <wp:extent cx="5637179" cy="3564976"/>
            <wp:effectExtent l="0" t="0" r="0" b="0"/>
            <wp:docPr id="1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
                    <a:srcRect r="11007"/>
                    <a:stretch>
                      <a:fillRect/>
                    </a:stretch>
                  </pic:blipFill>
                  <pic:spPr>
                    <a:xfrm>
                      <a:off x="0" y="0"/>
                      <a:ext cx="5637179" cy="3564976"/>
                    </a:xfrm>
                    <a:prstGeom prst="rect">
                      <a:avLst/>
                    </a:prstGeom>
                    <a:ln/>
                  </pic:spPr>
                </pic:pic>
              </a:graphicData>
            </a:graphic>
          </wp:inline>
        </w:drawing>
      </w:r>
      <w:commentRangeEnd w:id="0"/>
      <w:r>
        <w:commentReference w:id="0"/>
      </w:r>
      <w:r>
        <w:t xml:space="preserve">B) </w:t>
      </w:r>
      <w:r>
        <w:rPr>
          <w:noProof/>
        </w:rPr>
        <w:drawing>
          <wp:inline distT="114300" distB="114300" distL="114300" distR="114300" wp14:anchorId="55102045" wp14:editId="66B2D33A">
            <wp:extent cx="5472762" cy="3281363"/>
            <wp:effectExtent l="0" t="0" r="0" b="0"/>
            <wp:docPr id="2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5472762" cy="3281363"/>
                    </a:xfrm>
                    <a:prstGeom prst="rect">
                      <a:avLst/>
                    </a:prstGeom>
                    <a:ln/>
                  </pic:spPr>
                </pic:pic>
              </a:graphicData>
            </a:graphic>
          </wp:inline>
        </w:drawing>
      </w:r>
    </w:p>
    <w:p w14:paraId="35F3700C" w14:textId="2D4597CA" w:rsidR="00141712" w:rsidRDefault="00CD71B3">
      <w:r>
        <w:rPr>
          <w:b/>
        </w:rPr>
        <w:t xml:space="preserve">Supplementary Figure </w:t>
      </w:r>
      <w:r>
        <w:rPr>
          <w:b/>
        </w:rPr>
        <w:t>4</w:t>
      </w:r>
      <w:r>
        <w:rPr>
          <w:b/>
        </w:rPr>
        <w:t xml:space="preserve">. </w:t>
      </w:r>
      <w:r>
        <w:t xml:space="preserve"> A</w:t>
      </w:r>
      <w:r>
        <w:t>) Accuracy across platforms.</w:t>
      </w:r>
      <w:r>
        <w:t xml:space="preserve"> Platform (Illumina MouseRef8 Ver1.1) which has 0% accuracy in the extended test set is not shown in these plots. </w:t>
      </w:r>
      <w:r>
        <w:t xml:space="preserve"> B) Platform accuracy in the </w:t>
      </w:r>
      <w:r>
        <w:t xml:space="preserve">extended </w:t>
      </w:r>
      <w:r>
        <w:t>test set versus the fraction of all samples in that platform, where each poi</w:t>
      </w:r>
      <w:r>
        <w:t>nt is a platform. Bars and points are colored by the number of samples in that platform.</w:t>
      </w:r>
      <w:r>
        <w:br/>
      </w:r>
      <w:r>
        <w:lastRenderedPageBreak/>
        <w:br/>
      </w:r>
      <w:r>
        <w:t xml:space="preserve">A) </w:t>
      </w:r>
      <w:r>
        <w:rPr>
          <w:noProof/>
        </w:rPr>
        <w:drawing>
          <wp:inline distT="114300" distB="114300" distL="114300" distR="114300" wp14:anchorId="755E41F1" wp14:editId="3C14ADA4">
            <wp:extent cx="1685925" cy="1647825"/>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r="11940"/>
                    <a:stretch>
                      <a:fillRect/>
                    </a:stretch>
                  </pic:blipFill>
                  <pic:spPr>
                    <a:xfrm>
                      <a:off x="0" y="0"/>
                      <a:ext cx="1685925" cy="1647825"/>
                    </a:xfrm>
                    <a:prstGeom prst="rect">
                      <a:avLst/>
                    </a:prstGeom>
                    <a:ln/>
                  </pic:spPr>
                </pic:pic>
              </a:graphicData>
            </a:graphic>
          </wp:inline>
        </w:drawing>
      </w:r>
      <w:r>
        <w:rPr>
          <w:noProof/>
        </w:rPr>
        <w:drawing>
          <wp:inline distT="114300" distB="114300" distL="114300" distR="114300" wp14:anchorId="0056466C" wp14:editId="08D8488C">
            <wp:extent cx="1909763" cy="1650649"/>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1909763" cy="1650649"/>
                    </a:xfrm>
                    <a:prstGeom prst="rect">
                      <a:avLst/>
                    </a:prstGeom>
                    <a:ln/>
                  </pic:spPr>
                </pic:pic>
              </a:graphicData>
            </a:graphic>
          </wp:inline>
        </w:drawing>
      </w:r>
    </w:p>
    <w:p w14:paraId="571E5779" w14:textId="77777777" w:rsidR="00141712" w:rsidRDefault="00CD71B3">
      <w:r>
        <w:t xml:space="preserve">B) </w:t>
      </w:r>
      <w:r>
        <w:rPr>
          <w:noProof/>
        </w:rPr>
        <w:drawing>
          <wp:inline distT="114300" distB="114300" distL="114300" distR="114300" wp14:anchorId="6C63D5E2" wp14:editId="4D114211">
            <wp:extent cx="1700213" cy="1771479"/>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r="17326"/>
                    <a:stretch>
                      <a:fillRect/>
                    </a:stretch>
                  </pic:blipFill>
                  <pic:spPr>
                    <a:xfrm>
                      <a:off x="0" y="0"/>
                      <a:ext cx="1700213" cy="1771479"/>
                    </a:xfrm>
                    <a:prstGeom prst="rect">
                      <a:avLst/>
                    </a:prstGeom>
                    <a:ln/>
                  </pic:spPr>
                </pic:pic>
              </a:graphicData>
            </a:graphic>
          </wp:inline>
        </w:drawing>
      </w:r>
      <w:r>
        <w:rPr>
          <w:noProof/>
        </w:rPr>
        <w:drawing>
          <wp:inline distT="114300" distB="114300" distL="114300" distR="114300" wp14:anchorId="2A20645D" wp14:editId="37B703A0">
            <wp:extent cx="2048984" cy="1776413"/>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2048984" cy="1776413"/>
                    </a:xfrm>
                    <a:prstGeom prst="rect">
                      <a:avLst/>
                    </a:prstGeom>
                    <a:ln/>
                  </pic:spPr>
                </pic:pic>
              </a:graphicData>
            </a:graphic>
          </wp:inline>
        </w:drawing>
      </w:r>
    </w:p>
    <w:p w14:paraId="420E9200" w14:textId="77777777" w:rsidR="00141712" w:rsidRDefault="00141712"/>
    <w:p w14:paraId="4403EA0F" w14:textId="5961734E" w:rsidR="00141712" w:rsidRDefault="00CD71B3">
      <w:r w:rsidRPr="0029259E">
        <w:rPr>
          <w:b/>
        </w:rPr>
        <w:t>Supplementary Figure 5.</w:t>
      </w:r>
      <w:r>
        <w:t xml:space="preserve"> RNA-</w:t>
      </w:r>
      <w:proofErr w:type="spellStart"/>
      <w:r>
        <w:t>seq</w:t>
      </w:r>
      <w:proofErr w:type="spellEnd"/>
      <w:r>
        <w:t xml:space="preserve"> counts and labeling. A) Our RNA-</w:t>
      </w:r>
      <w:proofErr w:type="spellStart"/>
      <w:r>
        <w:t>seq</w:t>
      </w:r>
      <w:proofErr w:type="spellEnd"/>
      <w:r>
        <w:t xml:space="preserve"> models label a larger fraction of RNA-</w:t>
      </w:r>
      <w:proofErr w:type="spellStart"/>
      <w:r>
        <w:t>seq</w:t>
      </w:r>
      <w:proofErr w:type="spellEnd"/>
      <w:r>
        <w:t xml:space="preserve"> samples with more reads (blue indicates lab</w:t>
      </w:r>
      <w:r>
        <w:t>eled samples, gray indicates unlabeled samples). B) For samples with metadata labels, we see a limited relationship between number of reads and agreement of expression and metadata labels (correct labeling turquoise, incorrect labeling in red). Both the nu</w:t>
      </w:r>
      <w:r>
        <w:t xml:space="preserve">mbers of samples (left) </w:t>
      </w:r>
      <w:r>
        <w:t>and fraction of samples (right) in each category are shown.</w:t>
      </w:r>
    </w:p>
    <w:p w14:paraId="6537160B" w14:textId="77777777" w:rsidR="00141712" w:rsidRDefault="00CD71B3">
      <w:r>
        <w:lastRenderedPageBreak/>
        <w:t xml:space="preserve">A) </w:t>
      </w:r>
      <w:r>
        <w:rPr>
          <w:noProof/>
        </w:rPr>
        <w:drawing>
          <wp:inline distT="114300" distB="114300" distL="114300" distR="114300" wp14:anchorId="0312E1AD" wp14:editId="06686771">
            <wp:extent cx="2845594" cy="2048827"/>
            <wp:effectExtent l="0" t="0" r="0" b="0"/>
            <wp:docPr id="2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8"/>
                    <a:srcRect/>
                    <a:stretch>
                      <a:fillRect/>
                    </a:stretch>
                  </pic:blipFill>
                  <pic:spPr>
                    <a:xfrm>
                      <a:off x="0" y="0"/>
                      <a:ext cx="2845594" cy="2048827"/>
                    </a:xfrm>
                    <a:prstGeom prst="rect">
                      <a:avLst/>
                    </a:prstGeom>
                    <a:ln/>
                  </pic:spPr>
                </pic:pic>
              </a:graphicData>
            </a:graphic>
          </wp:inline>
        </w:drawing>
      </w:r>
      <w:r>
        <w:t xml:space="preserve">B) </w:t>
      </w:r>
      <w:r>
        <w:rPr>
          <w:noProof/>
        </w:rPr>
        <w:drawing>
          <wp:inline distT="114300" distB="114300" distL="114300" distR="114300" wp14:anchorId="6E55195D" wp14:editId="51BB0846">
            <wp:extent cx="2576513" cy="2568201"/>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9"/>
                    <a:srcRect/>
                    <a:stretch>
                      <a:fillRect/>
                    </a:stretch>
                  </pic:blipFill>
                  <pic:spPr>
                    <a:xfrm>
                      <a:off x="0" y="0"/>
                      <a:ext cx="2576513" cy="2568201"/>
                    </a:xfrm>
                    <a:prstGeom prst="rect">
                      <a:avLst/>
                    </a:prstGeom>
                    <a:ln/>
                  </pic:spPr>
                </pic:pic>
              </a:graphicData>
            </a:graphic>
          </wp:inline>
        </w:drawing>
      </w:r>
      <w:r>
        <w:br/>
        <w:t>C)</w:t>
      </w:r>
      <w:r>
        <w:rPr>
          <w:noProof/>
        </w:rPr>
        <w:drawing>
          <wp:inline distT="114300" distB="114300" distL="114300" distR="114300" wp14:anchorId="0F394DF5" wp14:editId="24707264">
            <wp:extent cx="2667238" cy="2310997"/>
            <wp:effectExtent l="0" t="0" r="0" b="0"/>
            <wp:docPr id="2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2667238" cy="2310997"/>
                    </a:xfrm>
                    <a:prstGeom prst="rect">
                      <a:avLst/>
                    </a:prstGeom>
                    <a:ln/>
                  </pic:spPr>
                </pic:pic>
              </a:graphicData>
            </a:graphic>
          </wp:inline>
        </w:drawing>
      </w:r>
      <w:r>
        <w:t>D)</w:t>
      </w:r>
      <w:r>
        <w:rPr>
          <w:noProof/>
        </w:rPr>
        <w:drawing>
          <wp:inline distT="114300" distB="114300" distL="114300" distR="114300" wp14:anchorId="08E13DA0" wp14:editId="4405C7B1">
            <wp:extent cx="2552938" cy="2537965"/>
            <wp:effectExtent l="0" t="0" r="0" b="0"/>
            <wp:docPr id="2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1"/>
                    <a:srcRect/>
                    <a:stretch>
                      <a:fillRect/>
                    </a:stretch>
                  </pic:blipFill>
                  <pic:spPr>
                    <a:xfrm>
                      <a:off x="0" y="0"/>
                      <a:ext cx="2552938" cy="2537965"/>
                    </a:xfrm>
                    <a:prstGeom prst="rect">
                      <a:avLst/>
                    </a:prstGeom>
                    <a:ln/>
                  </pic:spPr>
                </pic:pic>
              </a:graphicData>
            </a:graphic>
          </wp:inline>
        </w:drawing>
      </w:r>
    </w:p>
    <w:p w14:paraId="0D55809C" w14:textId="03730686" w:rsidR="00141712" w:rsidRDefault="00CD71B3">
      <w:r w:rsidRPr="0029259E">
        <w:rPr>
          <w:b/>
        </w:rPr>
        <w:t>Supplementary Figure 6.</w:t>
      </w:r>
      <w:r>
        <w:t xml:space="preserve"> </w:t>
      </w:r>
      <w:r>
        <w:t>Model coefficients and X inactivation status in human microarray (A), human RNA-</w:t>
      </w:r>
      <w:proofErr w:type="spellStart"/>
      <w:r>
        <w:t>seq</w:t>
      </w:r>
      <w:proofErr w:type="spellEnd"/>
      <w:r>
        <w:t xml:space="preserve"> (B), mouse microarray (C), and mouse RNA-</w:t>
      </w:r>
      <w:proofErr w:type="spellStart"/>
      <w:r>
        <w:t>seq</w:t>
      </w:r>
      <w:proofErr w:type="spellEnd"/>
      <w:r>
        <w:t xml:space="preserve"> (D) models. The values of the coefficients are plotted, colored by the literature X inactivation status </w:t>
      </w:r>
      <w:r>
        <w:fldChar w:fldCharType="begin"/>
      </w:r>
      <w:r>
        <w:instrText>HYPERLINK "https://pape</w:instrText>
      </w:r>
      <w:r>
        <w:instrText>rpile.com/c/g7uvfG/Acqb+QfEn"</w:instrText>
      </w:r>
      <w:r>
        <w:fldChar w:fldCharType="separate"/>
      </w:r>
      <w:r>
        <w:t xml:space="preserve">(from Yang et al. 2010 and </w:t>
      </w:r>
      <w:proofErr w:type="spellStart"/>
      <w:r>
        <w:t>Berletch</w:t>
      </w:r>
      <w:proofErr w:type="spellEnd"/>
      <w:r>
        <w:t xml:space="preserve"> et al. 2015 for mouse; </w:t>
      </w:r>
      <w:r>
        <w:fldChar w:fldCharType="end"/>
      </w:r>
      <w:hyperlink r:id="rId22" w:history="1">
        <w:proofErr w:type="spellStart"/>
        <w:r>
          <w:t>Tukiainen</w:t>
        </w:r>
        <w:proofErr w:type="spellEnd"/>
        <w:r>
          <w:t xml:space="preserve"> et al. 2017 for human)</w:t>
        </w:r>
      </w:hyperlink>
      <w:r>
        <w:t>, where blue is escape from inactivation, pink is inactivat</w:t>
      </w:r>
      <w:r>
        <w:t>ion</w:t>
      </w:r>
      <w:r>
        <w:t>, purple is variabl</w:t>
      </w:r>
      <w:r>
        <w:t xml:space="preserve">e inactivation, and gray is unknown. Y chromosome genes are highlighted in green. </w:t>
      </w:r>
    </w:p>
    <w:p w14:paraId="2433A7A2" w14:textId="77777777" w:rsidR="00141712" w:rsidRDefault="00CD71B3">
      <w:r>
        <w:rPr>
          <w:noProof/>
        </w:rPr>
        <w:lastRenderedPageBreak/>
        <w:drawing>
          <wp:inline distT="114300" distB="114300" distL="114300" distR="114300" wp14:anchorId="2CCA9D5B" wp14:editId="74036D8B">
            <wp:extent cx="4924562" cy="4948238"/>
            <wp:effectExtent l="0" t="0" r="0" b="0"/>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3"/>
                    <a:srcRect/>
                    <a:stretch>
                      <a:fillRect/>
                    </a:stretch>
                  </pic:blipFill>
                  <pic:spPr>
                    <a:xfrm>
                      <a:off x="0" y="0"/>
                      <a:ext cx="4924562" cy="4948238"/>
                    </a:xfrm>
                    <a:prstGeom prst="rect">
                      <a:avLst/>
                    </a:prstGeom>
                    <a:ln/>
                  </pic:spPr>
                </pic:pic>
              </a:graphicData>
            </a:graphic>
          </wp:inline>
        </w:drawing>
      </w:r>
    </w:p>
    <w:p w14:paraId="6CB2A5D9" w14:textId="6ECDE5F8" w:rsidR="00141712" w:rsidRDefault="00CD71B3">
      <w:r>
        <w:rPr>
          <w:b/>
        </w:rPr>
        <w:t xml:space="preserve">Supplementary Figure </w:t>
      </w:r>
      <w:r>
        <w:rPr>
          <w:b/>
        </w:rPr>
        <w:t>7</w:t>
      </w:r>
      <w:r>
        <w:rPr>
          <w:b/>
        </w:rPr>
        <w:t xml:space="preserve">. </w:t>
      </w:r>
      <w:r>
        <w:t xml:space="preserve">Sample sex score distributions of female, male, and pooled samples by organism and technology type. </w:t>
      </w:r>
      <w:r>
        <w:br/>
      </w:r>
      <w:r>
        <w:br/>
      </w:r>
    </w:p>
    <w:p w14:paraId="1C917849" w14:textId="77777777" w:rsidR="00141712" w:rsidRDefault="00141712"/>
    <w:p w14:paraId="13C04524" w14:textId="77777777" w:rsidR="00141712" w:rsidRDefault="00141712"/>
    <w:p w14:paraId="52292788" w14:textId="77777777" w:rsidR="00141712" w:rsidRDefault="00CD71B3">
      <w:r>
        <w:rPr>
          <w:noProof/>
        </w:rPr>
        <w:lastRenderedPageBreak/>
        <w:drawing>
          <wp:inline distT="114300" distB="114300" distL="114300" distR="114300" wp14:anchorId="428E6442" wp14:editId="6BA90E11">
            <wp:extent cx="5943600" cy="2349500"/>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5943600" cy="2349500"/>
                    </a:xfrm>
                    <a:prstGeom prst="rect">
                      <a:avLst/>
                    </a:prstGeom>
                    <a:ln/>
                  </pic:spPr>
                </pic:pic>
              </a:graphicData>
            </a:graphic>
          </wp:inline>
        </w:drawing>
      </w:r>
    </w:p>
    <w:p w14:paraId="0FDE61C1" w14:textId="6BFC4A23" w:rsidR="00141712" w:rsidRDefault="00CD71B3">
      <w:r>
        <w:rPr>
          <w:b/>
        </w:rPr>
        <w:t xml:space="preserve">Supplementary Figure </w:t>
      </w:r>
      <w:r>
        <w:rPr>
          <w:b/>
        </w:rPr>
        <w:t>8</w:t>
      </w:r>
      <w:r>
        <w:rPr>
          <w:b/>
        </w:rPr>
        <w:t>.</w:t>
      </w:r>
      <w:r>
        <w:t xml:space="preserve"> Sex breakdown </w:t>
      </w:r>
      <w:r>
        <w:t xml:space="preserve">over time, by organism and data type. The top panel shows the fraction of studies with either missing sex labels (gray), or imputed female-only (blue), male-only (orange), or mixed sex (pink) samples.  The bottom panel provides the total number of studies </w:t>
      </w:r>
      <w:r>
        <w:t>over time. Data were smoothed using a three-month window.</w:t>
      </w:r>
    </w:p>
    <w:p w14:paraId="6158D851" w14:textId="77777777" w:rsidR="00141712" w:rsidRDefault="00141712"/>
    <w:p w14:paraId="286F85E7" w14:textId="77777777" w:rsidR="00141712" w:rsidRDefault="00CD71B3">
      <w:r>
        <w:rPr>
          <w:noProof/>
        </w:rPr>
        <w:drawing>
          <wp:inline distT="114300" distB="114300" distL="114300" distR="114300" wp14:anchorId="4F8D9710" wp14:editId="05E92871">
            <wp:extent cx="5943600" cy="2768600"/>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5943600" cy="2768600"/>
                    </a:xfrm>
                    <a:prstGeom prst="rect">
                      <a:avLst/>
                    </a:prstGeom>
                    <a:ln/>
                  </pic:spPr>
                </pic:pic>
              </a:graphicData>
            </a:graphic>
          </wp:inline>
        </w:drawing>
      </w:r>
    </w:p>
    <w:p w14:paraId="5970A6AA" w14:textId="48B5020C" w:rsidR="00141712" w:rsidRDefault="00CD71B3">
      <w:r>
        <w:rPr>
          <w:b/>
        </w:rPr>
        <w:t xml:space="preserve">Supplementary Figure </w:t>
      </w:r>
      <w:r>
        <w:rPr>
          <w:b/>
        </w:rPr>
        <w:t>9</w:t>
      </w:r>
      <w:r>
        <w:rPr>
          <w:b/>
        </w:rPr>
        <w:t xml:space="preserve">. </w:t>
      </w:r>
      <w:r>
        <w:t>Alluvial diagram showing cell line sex label “switching” and comparison of expression imputed sex labels to annotations of donor and recorded sex for that cell line.</w:t>
      </w:r>
      <w:r>
        <w:br/>
      </w:r>
    </w:p>
    <w:p w14:paraId="51B6A6FE" w14:textId="77777777" w:rsidR="00141712" w:rsidRDefault="00141712"/>
    <w:p w14:paraId="673132F1" w14:textId="77777777" w:rsidR="00141712" w:rsidRDefault="00141712"/>
    <w:p w14:paraId="657C2B21" w14:textId="77777777" w:rsidR="00141712" w:rsidRDefault="00141712"/>
    <w:p w14:paraId="678F7A2F" w14:textId="77777777" w:rsidR="00141712" w:rsidRDefault="00CD71B3">
      <w:r>
        <w:lastRenderedPageBreak/>
        <w:t>A)</w:t>
      </w:r>
      <w:r>
        <w:rPr>
          <w:noProof/>
        </w:rPr>
        <w:drawing>
          <wp:inline distT="114300" distB="114300" distL="114300" distR="114300" wp14:anchorId="5CC1328B" wp14:editId="7ABCE0E0">
            <wp:extent cx="5943600" cy="1930400"/>
            <wp:effectExtent l="0" t="0" r="0" b="0"/>
            <wp:docPr id="2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943600" cy="1930400"/>
                    </a:xfrm>
                    <a:prstGeom prst="rect">
                      <a:avLst/>
                    </a:prstGeom>
                    <a:ln/>
                  </pic:spPr>
                </pic:pic>
              </a:graphicData>
            </a:graphic>
          </wp:inline>
        </w:drawing>
      </w:r>
    </w:p>
    <w:p w14:paraId="064F5E2E" w14:textId="77777777" w:rsidR="00141712" w:rsidRDefault="00CD71B3">
      <w:r>
        <w:t>B)</w:t>
      </w:r>
    </w:p>
    <w:p w14:paraId="2DDCBCEA" w14:textId="77777777" w:rsidR="00141712" w:rsidRDefault="00CD71B3">
      <w:r>
        <w:rPr>
          <w:noProof/>
        </w:rPr>
        <w:drawing>
          <wp:inline distT="114300" distB="114300" distL="114300" distR="114300" wp14:anchorId="3B0BDE2C" wp14:editId="51570DEF">
            <wp:extent cx="5943600" cy="4025900"/>
            <wp:effectExtent l="0" t="0" r="0" b="0"/>
            <wp:docPr id="1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
                    <a:srcRect/>
                    <a:stretch>
                      <a:fillRect/>
                    </a:stretch>
                  </pic:blipFill>
                  <pic:spPr>
                    <a:xfrm>
                      <a:off x="0" y="0"/>
                      <a:ext cx="5943600" cy="4025900"/>
                    </a:xfrm>
                    <a:prstGeom prst="rect">
                      <a:avLst/>
                    </a:prstGeom>
                    <a:ln/>
                  </pic:spPr>
                </pic:pic>
              </a:graphicData>
            </a:graphic>
          </wp:inline>
        </w:drawing>
      </w:r>
    </w:p>
    <w:p w14:paraId="08482B50" w14:textId="77777777" w:rsidR="00141712" w:rsidRDefault="00CD71B3">
      <w:r w:rsidRPr="0029259E">
        <w:rPr>
          <w:b/>
        </w:rPr>
        <w:t>Supplementary Figure 10.</w:t>
      </w:r>
      <w:r>
        <w:t xml:space="preserve"> A) Sex breakdown overall and in cell line versus tissue data. Bars are colored female (dark blue) or male (orange) to indicate the fraction (top row) or count (bottom row) of samples of that sex. B) Distribution of sample </w:t>
      </w:r>
      <w:r>
        <w:t>sex scores in cancer (red), cell line (yellow), primary cell (green), stem cell (blue), and tissue (purple) samples; separated by metadata sex (rows), and organism/data source (columns).</w:t>
      </w:r>
    </w:p>
    <w:p w14:paraId="53B2486B" w14:textId="77777777" w:rsidR="00141712" w:rsidRDefault="00141712"/>
    <w:p w14:paraId="79911F16" w14:textId="77777777" w:rsidR="00141712" w:rsidRDefault="00141712"/>
    <w:p w14:paraId="4F62969D" w14:textId="77777777" w:rsidR="00141712" w:rsidRDefault="00141712"/>
    <w:p w14:paraId="1438D62F" w14:textId="77777777" w:rsidR="00141712" w:rsidRDefault="00141712"/>
    <w:p w14:paraId="637D980C" w14:textId="77777777" w:rsidR="00141712" w:rsidRDefault="00141712"/>
    <w:p w14:paraId="643EEF6E" w14:textId="77777777" w:rsidR="00141712" w:rsidRDefault="00141712"/>
    <w:p w14:paraId="5D743E74" w14:textId="77777777" w:rsidR="00141712" w:rsidRDefault="00141712"/>
    <w:p w14:paraId="4F8CCCC5" w14:textId="77777777" w:rsidR="00141712" w:rsidRDefault="00141712"/>
    <w:p w14:paraId="6798793B" w14:textId="77777777" w:rsidR="00141712" w:rsidRDefault="00141712"/>
    <w:p w14:paraId="5F6FBA34" w14:textId="77777777" w:rsidR="00141712" w:rsidRDefault="00CD71B3">
      <w:r>
        <w:t>A)</w:t>
      </w:r>
      <w:r>
        <w:rPr>
          <w:noProof/>
        </w:rPr>
        <w:drawing>
          <wp:inline distT="114300" distB="114300" distL="114300" distR="114300" wp14:anchorId="13BE5C66" wp14:editId="08EB6EFA">
            <wp:extent cx="3960733" cy="2804199"/>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3960733" cy="2804199"/>
                    </a:xfrm>
                    <a:prstGeom prst="rect">
                      <a:avLst/>
                    </a:prstGeom>
                    <a:ln/>
                  </pic:spPr>
                </pic:pic>
              </a:graphicData>
            </a:graphic>
          </wp:inline>
        </w:drawing>
      </w:r>
      <w:r>
        <w:t xml:space="preserve"> </w:t>
      </w:r>
    </w:p>
    <w:p w14:paraId="5C473AB3" w14:textId="77777777" w:rsidR="00141712" w:rsidRDefault="00CD71B3">
      <w:r>
        <w:t xml:space="preserve">  B) </w:t>
      </w:r>
      <w:r>
        <w:rPr>
          <w:noProof/>
        </w:rPr>
        <w:drawing>
          <wp:inline distT="114300" distB="114300" distL="114300" distR="114300" wp14:anchorId="4B0D2FF5" wp14:editId="53F59A40">
            <wp:extent cx="3672840" cy="2680489"/>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3672840" cy="2680489"/>
                    </a:xfrm>
                    <a:prstGeom prst="rect">
                      <a:avLst/>
                    </a:prstGeom>
                    <a:ln/>
                  </pic:spPr>
                </pic:pic>
              </a:graphicData>
            </a:graphic>
          </wp:inline>
        </w:drawing>
      </w:r>
    </w:p>
    <w:p w14:paraId="33A3CEC1" w14:textId="2F6D63A4" w:rsidR="00141712" w:rsidRDefault="00CD71B3">
      <w:r>
        <w:rPr>
          <w:b/>
        </w:rPr>
        <w:t xml:space="preserve">Supplementary Figure </w:t>
      </w:r>
      <w:r>
        <w:rPr>
          <w:b/>
        </w:rPr>
        <w:t>11</w:t>
      </w:r>
      <w:r>
        <w:rPr>
          <w:b/>
        </w:rPr>
        <w:t>.</w:t>
      </w:r>
      <w:r>
        <w:t xml:space="preserve"> Sex breakdown of drug </w:t>
      </w:r>
      <w:r>
        <w:t>samples (A) and studies (B) for</w:t>
      </w:r>
      <w:r>
        <w:rPr>
          <w:i/>
        </w:rPr>
        <w:t xml:space="preserve"> drug mention </w:t>
      </w:r>
      <w:r>
        <w:t>data (</w:t>
      </w:r>
      <w:proofErr w:type="gramStart"/>
      <w:r>
        <w:t xml:space="preserve">see  </w:t>
      </w:r>
      <w:r>
        <w:rPr>
          <w:color w:val="0000FF"/>
        </w:rPr>
        <w:t>Methods</w:t>
      </w:r>
      <w:proofErr w:type="gramEnd"/>
      <w:r>
        <w:rPr>
          <w:color w:val="0000FF"/>
        </w:rPr>
        <w:t xml:space="preserve"> 5-1</w:t>
      </w:r>
      <w:r>
        <w:t xml:space="preserve">). </w:t>
      </w:r>
    </w:p>
    <w:p w14:paraId="2E3F80E8" w14:textId="77777777" w:rsidR="00141712" w:rsidRDefault="00141712"/>
    <w:p w14:paraId="55410000" w14:textId="77777777" w:rsidR="00141712" w:rsidRDefault="00CD71B3">
      <w:r>
        <w:lastRenderedPageBreak/>
        <w:t>A)</w:t>
      </w:r>
      <w:r>
        <w:rPr>
          <w:noProof/>
        </w:rPr>
        <w:drawing>
          <wp:inline distT="114300" distB="114300" distL="114300" distR="114300" wp14:anchorId="102B77B3" wp14:editId="6E9BB776">
            <wp:extent cx="1896188" cy="2100263"/>
            <wp:effectExtent l="0" t="0" r="0" b="0"/>
            <wp:docPr id="3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0"/>
                    <a:srcRect r="24455"/>
                    <a:stretch>
                      <a:fillRect/>
                    </a:stretch>
                  </pic:blipFill>
                  <pic:spPr>
                    <a:xfrm>
                      <a:off x="0" y="0"/>
                      <a:ext cx="1896188" cy="2100263"/>
                    </a:xfrm>
                    <a:prstGeom prst="rect">
                      <a:avLst/>
                    </a:prstGeom>
                    <a:ln/>
                  </pic:spPr>
                </pic:pic>
              </a:graphicData>
            </a:graphic>
          </wp:inline>
        </w:drawing>
      </w:r>
      <w:r>
        <w:t xml:space="preserve">B)  </w:t>
      </w:r>
      <w:r>
        <w:rPr>
          <w:noProof/>
        </w:rPr>
        <w:drawing>
          <wp:inline distT="114300" distB="114300" distL="114300" distR="114300" wp14:anchorId="66DA14DD" wp14:editId="575F4ACF">
            <wp:extent cx="2381250" cy="2202879"/>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1"/>
                    <a:srcRect/>
                    <a:stretch>
                      <a:fillRect/>
                    </a:stretch>
                  </pic:blipFill>
                  <pic:spPr>
                    <a:xfrm>
                      <a:off x="0" y="0"/>
                      <a:ext cx="2381250" cy="2202879"/>
                    </a:xfrm>
                    <a:prstGeom prst="rect">
                      <a:avLst/>
                    </a:prstGeom>
                    <a:ln/>
                  </pic:spPr>
                </pic:pic>
              </a:graphicData>
            </a:graphic>
          </wp:inline>
        </w:drawing>
      </w:r>
    </w:p>
    <w:p w14:paraId="39A9D0EC" w14:textId="77777777" w:rsidR="00141712" w:rsidRDefault="00CD71B3">
      <w:r>
        <w:t xml:space="preserve">C) </w:t>
      </w:r>
      <w:r>
        <w:rPr>
          <w:noProof/>
        </w:rPr>
        <w:drawing>
          <wp:inline distT="114300" distB="114300" distL="114300" distR="114300" wp14:anchorId="7DC5CFF2" wp14:editId="28C77492">
            <wp:extent cx="3201898" cy="2243138"/>
            <wp:effectExtent l="0" t="0" r="0" b="0"/>
            <wp:docPr id="2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r="43447"/>
                    <a:stretch>
                      <a:fillRect/>
                    </a:stretch>
                  </pic:blipFill>
                  <pic:spPr>
                    <a:xfrm>
                      <a:off x="0" y="0"/>
                      <a:ext cx="3201898" cy="2243138"/>
                    </a:xfrm>
                    <a:prstGeom prst="rect">
                      <a:avLst/>
                    </a:prstGeom>
                    <a:ln/>
                  </pic:spPr>
                </pic:pic>
              </a:graphicData>
            </a:graphic>
          </wp:inline>
        </w:drawing>
      </w:r>
    </w:p>
    <w:p w14:paraId="42C0CE2B" w14:textId="77777777" w:rsidR="00141712" w:rsidRDefault="00CD71B3">
      <w:r>
        <w:t>D)</w:t>
      </w:r>
      <w:r>
        <w:rPr>
          <w:noProof/>
        </w:rPr>
        <w:drawing>
          <wp:inline distT="114300" distB="114300" distL="114300" distR="114300" wp14:anchorId="06CFD00C" wp14:editId="6D6D0904">
            <wp:extent cx="4467463" cy="2353741"/>
            <wp:effectExtent l="0" t="0" r="0" b="0"/>
            <wp:docPr id="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3"/>
                    <a:srcRect/>
                    <a:stretch>
                      <a:fillRect/>
                    </a:stretch>
                  </pic:blipFill>
                  <pic:spPr>
                    <a:xfrm>
                      <a:off x="0" y="0"/>
                      <a:ext cx="4467463" cy="2353741"/>
                    </a:xfrm>
                    <a:prstGeom prst="rect">
                      <a:avLst/>
                    </a:prstGeom>
                    <a:ln/>
                  </pic:spPr>
                </pic:pic>
              </a:graphicData>
            </a:graphic>
          </wp:inline>
        </w:drawing>
      </w:r>
    </w:p>
    <w:p w14:paraId="79B218B1" w14:textId="77777777" w:rsidR="00141712" w:rsidRDefault="00141712"/>
    <w:p w14:paraId="406A2CAC" w14:textId="12945D3A" w:rsidR="00141712" w:rsidRDefault="00CD71B3">
      <w:r>
        <w:rPr>
          <w:b/>
        </w:rPr>
        <w:t>Supplementary Figure 1</w:t>
      </w:r>
      <w:r>
        <w:rPr>
          <w:b/>
        </w:rPr>
        <w:t>2</w:t>
      </w:r>
      <w:r>
        <w:rPr>
          <w:b/>
        </w:rPr>
        <w:t>.</w:t>
      </w:r>
      <w:r>
        <w:t xml:space="preserve"> Sex breakdown of samples directly mapping to drugs (</w:t>
      </w:r>
      <w:r>
        <w:rPr>
          <w:i/>
        </w:rPr>
        <w:t>drug exposure studies</w:t>
      </w:r>
      <w:r>
        <w:t xml:space="preserve"> - see </w:t>
      </w:r>
      <w:r>
        <w:rPr>
          <w:color w:val="0000FF"/>
        </w:rPr>
        <w:t>Methods 5-1</w:t>
      </w:r>
      <w:r>
        <w:t>)</w:t>
      </w:r>
      <w:r>
        <w:t xml:space="preserve"> and manually curated drug data from Wang et al. </w:t>
      </w:r>
      <w:hyperlink r:id="rId34">
        <w:r>
          <w:rPr>
            <w:color w:val="1155CC"/>
            <w:u w:val="single"/>
          </w:rPr>
          <w:t>(Wang et al. 2016)</w:t>
        </w:r>
      </w:hyperlink>
      <w:r>
        <w:t xml:space="preserve"> matches patterns seen in drug breakdown data in terms of overall study sex breakdown (A,B) and ATC class breakdown (C, D for drug exp</w:t>
      </w:r>
      <w:r>
        <w:t xml:space="preserve">osure studies and Wang et al respectively). </w:t>
      </w:r>
    </w:p>
    <w:p w14:paraId="44408B64" w14:textId="77777777" w:rsidR="00141712" w:rsidRDefault="00141712"/>
    <w:p w14:paraId="7B304B0C" w14:textId="77777777" w:rsidR="00141712" w:rsidRDefault="00141712"/>
    <w:p w14:paraId="06BC15C1" w14:textId="77777777" w:rsidR="00141712" w:rsidRDefault="00141712"/>
    <w:p w14:paraId="789B5378" w14:textId="77777777" w:rsidR="00141712" w:rsidRDefault="00141712"/>
    <w:p w14:paraId="79DE11EF" w14:textId="77777777" w:rsidR="00141712" w:rsidRDefault="00CD71B3">
      <w:r>
        <w:t>A)</w:t>
      </w:r>
      <w:r>
        <w:t xml:space="preserve"> </w:t>
      </w:r>
      <w:r>
        <w:rPr>
          <w:noProof/>
        </w:rPr>
        <w:drawing>
          <wp:inline distT="114300" distB="114300" distL="114300" distR="114300" wp14:anchorId="0AFFC230" wp14:editId="10C955ED">
            <wp:extent cx="2018584" cy="1728788"/>
            <wp:effectExtent l="0" t="0" r="0" b="0"/>
            <wp:docPr id="2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2018584" cy="1728788"/>
                    </a:xfrm>
                    <a:prstGeom prst="rect">
                      <a:avLst/>
                    </a:prstGeom>
                    <a:ln/>
                  </pic:spPr>
                </pic:pic>
              </a:graphicData>
            </a:graphic>
          </wp:inline>
        </w:drawing>
      </w:r>
      <w:r>
        <w:t xml:space="preserve"> B)</w:t>
      </w:r>
      <w:r>
        <w:t xml:space="preserve"> </w:t>
      </w:r>
      <w:r>
        <w:rPr>
          <w:noProof/>
        </w:rPr>
        <w:drawing>
          <wp:inline distT="114300" distB="114300" distL="114300" distR="114300" wp14:anchorId="16F21834" wp14:editId="609731B8">
            <wp:extent cx="2033270" cy="1745844"/>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6"/>
                    <a:srcRect/>
                    <a:stretch>
                      <a:fillRect/>
                    </a:stretch>
                  </pic:blipFill>
                  <pic:spPr>
                    <a:xfrm>
                      <a:off x="0" y="0"/>
                      <a:ext cx="2033270" cy="1745844"/>
                    </a:xfrm>
                    <a:prstGeom prst="rect">
                      <a:avLst/>
                    </a:prstGeom>
                    <a:ln/>
                  </pic:spPr>
                </pic:pic>
              </a:graphicData>
            </a:graphic>
          </wp:inline>
        </w:drawing>
      </w:r>
      <w:r>
        <w:rPr>
          <w:noProof/>
        </w:rPr>
        <w:drawing>
          <wp:inline distT="114300" distB="114300" distL="114300" distR="114300" wp14:anchorId="235B4DD7" wp14:editId="00C5FD76">
            <wp:extent cx="286068" cy="1838325"/>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l="87538"/>
                    <a:stretch>
                      <a:fillRect/>
                    </a:stretch>
                  </pic:blipFill>
                  <pic:spPr>
                    <a:xfrm>
                      <a:off x="0" y="0"/>
                      <a:ext cx="286068" cy="1838325"/>
                    </a:xfrm>
                    <a:prstGeom prst="rect">
                      <a:avLst/>
                    </a:prstGeom>
                    <a:ln/>
                  </pic:spPr>
                </pic:pic>
              </a:graphicData>
            </a:graphic>
          </wp:inline>
        </w:drawing>
      </w:r>
    </w:p>
    <w:p w14:paraId="5762FB07" w14:textId="77777777" w:rsidR="00141712" w:rsidRDefault="00CD71B3">
      <w:r w:rsidRPr="0029259E">
        <w:rPr>
          <w:b/>
        </w:rPr>
        <w:t>Supplementary Figure 13.</w:t>
      </w:r>
      <w:r>
        <w:t xml:space="preserve"> Distributions of study sex breakdown </w:t>
      </w:r>
      <w:proofErr w:type="gramStart"/>
      <w:r>
        <w:t>For</w:t>
      </w:r>
      <w:proofErr w:type="gramEnd"/>
      <w:r>
        <w:t xml:space="preserve"> studies that are not designated as “unlabeled”, we show the proportions female (purple) and male (orange) based on metadata (A) and expression (B) labels, We include dotted gray lines at 0.2 and 0.8 to show the cut</w:t>
      </w:r>
      <w:r>
        <w:t>offs we selected for identifying studies that are mostly- male or mostly- female. Data from human and mouse and microarray and RNA-</w:t>
      </w:r>
      <w:proofErr w:type="spellStart"/>
      <w:r>
        <w:t>seq</w:t>
      </w:r>
      <w:proofErr w:type="spellEnd"/>
      <w:r>
        <w:t xml:space="preserve"> are plotted separately.  </w:t>
      </w:r>
      <w:r>
        <w:br/>
      </w:r>
    </w:p>
    <w:p w14:paraId="0B452977" w14:textId="77777777" w:rsidR="00141712" w:rsidRDefault="00CD71B3">
      <w:r>
        <w:t xml:space="preserve">A) </w:t>
      </w:r>
      <w:r>
        <w:rPr>
          <w:noProof/>
        </w:rPr>
        <w:drawing>
          <wp:inline distT="114300" distB="114300" distL="114300" distR="114300" wp14:anchorId="46994EDD" wp14:editId="02735A91">
            <wp:extent cx="2367912" cy="2052638"/>
            <wp:effectExtent l="0" t="0" r="0" b="0"/>
            <wp:docPr id="1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8"/>
                    <a:srcRect/>
                    <a:stretch>
                      <a:fillRect/>
                    </a:stretch>
                  </pic:blipFill>
                  <pic:spPr>
                    <a:xfrm>
                      <a:off x="0" y="0"/>
                      <a:ext cx="2367912" cy="2052638"/>
                    </a:xfrm>
                    <a:prstGeom prst="rect">
                      <a:avLst/>
                    </a:prstGeom>
                    <a:ln/>
                  </pic:spPr>
                </pic:pic>
              </a:graphicData>
            </a:graphic>
          </wp:inline>
        </w:drawing>
      </w:r>
      <w:r>
        <w:t xml:space="preserve"> B) </w:t>
      </w:r>
      <w:r>
        <w:rPr>
          <w:noProof/>
        </w:rPr>
        <w:drawing>
          <wp:inline distT="114300" distB="114300" distL="114300" distR="114300" wp14:anchorId="1E66294C" wp14:editId="504AFA10">
            <wp:extent cx="3036389" cy="2624138"/>
            <wp:effectExtent l="0" t="0" r="0" b="0"/>
            <wp:docPr id="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9"/>
                    <a:srcRect/>
                    <a:stretch>
                      <a:fillRect/>
                    </a:stretch>
                  </pic:blipFill>
                  <pic:spPr>
                    <a:xfrm>
                      <a:off x="0" y="0"/>
                      <a:ext cx="3036389" cy="2624138"/>
                    </a:xfrm>
                    <a:prstGeom prst="rect">
                      <a:avLst/>
                    </a:prstGeom>
                    <a:ln/>
                  </pic:spPr>
                </pic:pic>
              </a:graphicData>
            </a:graphic>
          </wp:inline>
        </w:drawing>
      </w:r>
    </w:p>
    <w:p w14:paraId="77547F9C" w14:textId="77777777" w:rsidR="00141712" w:rsidRDefault="00CD71B3">
      <w:r w:rsidRPr="0029259E">
        <w:rPr>
          <w:b/>
        </w:rPr>
        <w:t>Supplementary Figure 14.</w:t>
      </w:r>
      <w:r>
        <w:t xml:space="preserve"> Distribution of Y chromosome read counts in males and femal</w:t>
      </w:r>
      <w:r>
        <w:t>es in human training data. A) Overall counts per sample (in TPM). B) Base pair location of counts across the Y chromosome. For males (orange) and females (purple) separately, the median counts (in TPM) across the training data is shown with a solid line an</w:t>
      </w:r>
      <w:r>
        <w:t xml:space="preserve">d the 95 </w:t>
      </w:r>
      <w:proofErr w:type="gramStart"/>
      <w:r>
        <w:t>percentile</w:t>
      </w:r>
      <w:proofErr w:type="gramEnd"/>
      <w:r>
        <w:t xml:space="preserve"> across samples is shown as a dotted gray line.</w:t>
      </w:r>
    </w:p>
    <w:p w14:paraId="7FB08B83" w14:textId="77777777" w:rsidR="00141712" w:rsidRDefault="00CD71B3">
      <w:r>
        <w:lastRenderedPageBreak/>
        <w:br/>
      </w:r>
      <w:r>
        <w:rPr>
          <w:noProof/>
        </w:rPr>
        <w:drawing>
          <wp:inline distT="114300" distB="114300" distL="114300" distR="114300" wp14:anchorId="67682428" wp14:editId="21400566">
            <wp:extent cx="5943600" cy="197167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0"/>
                    <a:srcRect t="15669" b="25356"/>
                    <a:stretch>
                      <a:fillRect/>
                    </a:stretch>
                  </pic:blipFill>
                  <pic:spPr>
                    <a:xfrm>
                      <a:off x="0" y="0"/>
                      <a:ext cx="5943600" cy="1971675"/>
                    </a:xfrm>
                    <a:prstGeom prst="rect">
                      <a:avLst/>
                    </a:prstGeom>
                    <a:ln/>
                  </pic:spPr>
                </pic:pic>
              </a:graphicData>
            </a:graphic>
          </wp:inline>
        </w:drawing>
      </w:r>
    </w:p>
    <w:p w14:paraId="32E52CEF" w14:textId="77777777" w:rsidR="00141712" w:rsidRDefault="00CD71B3">
      <w:r w:rsidRPr="0029259E">
        <w:rPr>
          <w:b/>
        </w:rPr>
        <w:t>Supplementary Figure 15.</w:t>
      </w:r>
      <w:r>
        <w:t xml:space="preserve"> Sample source assignment. Diagram showing logic of how samples were assigned to a sample source type based on metadata. </w:t>
      </w:r>
    </w:p>
    <w:p w14:paraId="1CF9888B" w14:textId="77777777" w:rsidR="00141712" w:rsidRDefault="00141712"/>
    <w:p w14:paraId="2BF80D6C" w14:textId="77777777" w:rsidR="00141712" w:rsidRDefault="00141712"/>
    <w:p w14:paraId="6627A24D" w14:textId="77777777" w:rsidR="00141712" w:rsidRDefault="00141712"/>
    <w:sectPr w:rsidR="00141712" w:rsidSect="006A479F">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lnNumType w:countBy="1" w:restart="continuous"/>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tte Chang" w:date="2021-02-15T21:29:00Z" w:initials="">
    <w:p w14:paraId="301BDEFD" w14:textId="77777777" w:rsidR="00141712" w:rsidRDefault="00CD71B3">
      <w:pPr>
        <w:widowControl w:val="0"/>
        <w:pBdr>
          <w:top w:val="nil"/>
          <w:left w:val="nil"/>
          <w:bottom w:val="nil"/>
          <w:right w:val="nil"/>
          <w:between w:val="nil"/>
        </w:pBdr>
        <w:spacing w:line="240" w:lineRule="auto"/>
        <w:rPr>
          <w:color w:val="000000"/>
        </w:rPr>
      </w:pPr>
      <w:r>
        <w:rPr>
          <w:color w:val="000000"/>
        </w:rPr>
        <w:t>The only thing with this figure is th</w:t>
      </w:r>
      <w:r>
        <w:rPr>
          <w:color w:val="000000"/>
        </w:rPr>
        <w:t>at it's hard to read the x-axis, I wonder if we may get comments about readability/size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1BDE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1BDEFD" w16cid:durableId="23D624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35222" w14:textId="77777777" w:rsidR="00CD71B3" w:rsidRDefault="00CD71B3" w:rsidP="006A479F">
      <w:pPr>
        <w:spacing w:line="240" w:lineRule="auto"/>
      </w:pPr>
      <w:r>
        <w:separator/>
      </w:r>
    </w:p>
  </w:endnote>
  <w:endnote w:type="continuationSeparator" w:id="0">
    <w:p w14:paraId="1085BF0C" w14:textId="77777777" w:rsidR="00CD71B3" w:rsidRDefault="00CD71B3" w:rsidP="006A47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06923168"/>
      <w:docPartObj>
        <w:docPartGallery w:val="Page Numbers (Bottom of Page)"/>
        <w:docPartUnique/>
      </w:docPartObj>
    </w:sdtPr>
    <w:sdtContent>
      <w:p w14:paraId="30719DC4" w14:textId="4A1DFB7F" w:rsidR="006A479F" w:rsidRDefault="006A479F" w:rsidP="005A02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4829A0" w14:textId="77777777" w:rsidR="006A479F" w:rsidRDefault="006A479F" w:rsidP="006A47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5945518"/>
      <w:docPartObj>
        <w:docPartGallery w:val="Page Numbers (Bottom of Page)"/>
        <w:docPartUnique/>
      </w:docPartObj>
    </w:sdtPr>
    <w:sdtContent>
      <w:p w14:paraId="4151FEF9" w14:textId="70DE0BCA" w:rsidR="006A479F" w:rsidRDefault="006A479F" w:rsidP="005A02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BE4B0E" w14:textId="77777777" w:rsidR="006A479F" w:rsidRDefault="006A479F" w:rsidP="006A479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78C24" w14:textId="77777777" w:rsidR="006A479F" w:rsidRDefault="006A4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AFF59" w14:textId="77777777" w:rsidR="00CD71B3" w:rsidRDefault="00CD71B3" w:rsidP="006A479F">
      <w:pPr>
        <w:spacing w:line="240" w:lineRule="auto"/>
      </w:pPr>
      <w:r>
        <w:separator/>
      </w:r>
    </w:p>
  </w:footnote>
  <w:footnote w:type="continuationSeparator" w:id="0">
    <w:p w14:paraId="1FD7D69C" w14:textId="77777777" w:rsidR="00CD71B3" w:rsidRDefault="00CD71B3" w:rsidP="006A47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1193D" w14:textId="77777777" w:rsidR="006A479F" w:rsidRDefault="006A4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4BBB7" w14:textId="77777777" w:rsidR="006A479F" w:rsidRDefault="006A479F">
    <w:pPr>
      <w:pStyle w:val="Header"/>
    </w:pP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B3CD" w14:textId="77777777" w:rsidR="006A479F" w:rsidRDefault="006A47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712"/>
    <w:rsid w:val="00141712"/>
    <w:rsid w:val="0029259E"/>
    <w:rsid w:val="004E3F19"/>
    <w:rsid w:val="006A479F"/>
    <w:rsid w:val="00B041F8"/>
    <w:rsid w:val="00B407EE"/>
    <w:rsid w:val="00CD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D77E80"/>
  <w15:docId w15:val="{426885EE-C260-8B4E-A499-C6A09126A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407E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07EE"/>
    <w:rPr>
      <w:rFonts w:ascii="Times New Roman" w:hAnsi="Times New Roman" w:cs="Times New Roman"/>
      <w:sz w:val="18"/>
      <w:szCs w:val="18"/>
    </w:rPr>
  </w:style>
  <w:style w:type="character" w:styleId="LineNumber">
    <w:name w:val="line number"/>
    <w:basedOn w:val="DefaultParagraphFont"/>
    <w:uiPriority w:val="99"/>
    <w:semiHidden/>
    <w:unhideWhenUsed/>
    <w:rsid w:val="006A479F"/>
  </w:style>
  <w:style w:type="paragraph" w:styleId="Footer">
    <w:name w:val="footer"/>
    <w:basedOn w:val="Normal"/>
    <w:link w:val="FooterChar"/>
    <w:uiPriority w:val="99"/>
    <w:unhideWhenUsed/>
    <w:rsid w:val="006A479F"/>
    <w:pPr>
      <w:tabs>
        <w:tab w:val="center" w:pos="4680"/>
        <w:tab w:val="right" w:pos="9360"/>
      </w:tabs>
      <w:spacing w:line="240" w:lineRule="auto"/>
    </w:pPr>
  </w:style>
  <w:style w:type="character" w:customStyle="1" w:styleId="FooterChar">
    <w:name w:val="Footer Char"/>
    <w:basedOn w:val="DefaultParagraphFont"/>
    <w:link w:val="Footer"/>
    <w:uiPriority w:val="99"/>
    <w:rsid w:val="006A479F"/>
  </w:style>
  <w:style w:type="character" w:styleId="PageNumber">
    <w:name w:val="page number"/>
    <w:basedOn w:val="DefaultParagraphFont"/>
    <w:uiPriority w:val="99"/>
    <w:semiHidden/>
    <w:unhideWhenUsed/>
    <w:rsid w:val="006A479F"/>
  </w:style>
  <w:style w:type="paragraph" w:styleId="Header">
    <w:name w:val="header"/>
    <w:basedOn w:val="Normal"/>
    <w:link w:val="HeaderChar"/>
    <w:uiPriority w:val="99"/>
    <w:unhideWhenUsed/>
    <w:rsid w:val="006A479F"/>
    <w:pPr>
      <w:tabs>
        <w:tab w:val="center" w:pos="4680"/>
        <w:tab w:val="right" w:pos="9360"/>
      </w:tabs>
      <w:spacing w:line="240" w:lineRule="auto"/>
    </w:pPr>
  </w:style>
  <w:style w:type="character" w:customStyle="1" w:styleId="HeaderChar">
    <w:name w:val="Header Char"/>
    <w:basedOn w:val="DefaultParagraphFont"/>
    <w:link w:val="Header"/>
    <w:uiPriority w:val="99"/>
    <w:rsid w:val="006A4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hyperlink" Target="https://paperpile.com/c/F5x4Ty/wK0t"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0.png"/><Relationship Id="rId1" Type="http://schemas.openxmlformats.org/officeDocument/2006/relationships/styles" Target="styles.xml"/><Relationship Id="rId6" Type="http://schemas.openxmlformats.org/officeDocument/2006/relationships/image" Target="media/image1.png"/><Relationship Id="rId11" Type="http://schemas.microsoft.com/office/2011/relationships/commentsExtended" Target="commentsExtended.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comments" Target="comments.xml"/><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hyperlink" Target="https://paperpile.com/c/g7uvfG/OKY1" TargetMode="External"/><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footer" Target="footer3.xml"/><Relationship Id="rId20" Type="http://schemas.openxmlformats.org/officeDocument/2006/relationships/image" Target="media/image12.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 Flynn</cp:lastModifiedBy>
  <cp:revision>3</cp:revision>
  <dcterms:created xsi:type="dcterms:W3CDTF">2021-02-16T21:35:00Z</dcterms:created>
  <dcterms:modified xsi:type="dcterms:W3CDTF">2021-02-16T21:38:00Z</dcterms:modified>
</cp:coreProperties>
</file>