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rPr>
      </w:pPr>
      <w:r>
        <w:rPr>
          <w:b/>
          <w:bCs/>
        </w:rPr>
        <w:t>Supplementary Figures</w:t>
      </w:r>
    </w:p>
    <w:p/>
    <w:p>
      <w:r>
        <w:t>Supplementary Figure 1. Comparison of framework of different diploid assemblers.</w:t>
      </w:r>
    </w:p>
    <w:p>
      <w:r>
        <w:t xml:space="preserve">Supplementary Figure 2. </w:t>
      </w:r>
      <w:r>
        <w:rPr>
          <w:rFonts w:eastAsia="宋体"/>
        </w:rPr>
        <w:t>The a</w:t>
      </w:r>
      <w:r>
        <w:t>nalysis workflow of gcaPDA.</w:t>
      </w:r>
    </w:p>
    <w:p>
      <w:r>
        <w:t>Supplementary Figure 3. Genome survey of the SK x B73 F</w:t>
      </w:r>
      <w:r>
        <w:rPr>
          <w:vertAlign w:val="subscript"/>
        </w:rPr>
        <w:t xml:space="preserve">1 </w:t>
      </w:r>
      <w:r>
        <w:t>hybrid.</w:t>
      </w:r>
    </w:p>
    <w:p>
      <w:r>
        <w:t>Supplementary Figure 4. Quality control of gamete cells based on SNP statistics.</w:t>
      </w:r>
    </w:p>
    <w:p>
      <w:pPr>
        <w:rPr>
          <w:rFonts w:hint="eastAsia"/>
        </w:rPr>
      </w:pPr>
      <w:r>
        <w:t>Supplementary Figure 5. Distribution of distance between adjacent SNPs in the reconstructed haplotypes.</w:t>
      </w:r>
    </w:p>
    <w:p>
      <w:r>
        <w:t>Supplementary Figure 6. Visualization of haplotype blocks of gamete cell S2.</w:t>
      </w:r>
    </w:p>
    <w:p>
      <w:r>
        <w:t>Supplementary Figure 7. K-mer distribution of haplotype reads before and after normalization.</w:t>
      </w:r>
    </w:p>
    <w:p>
      <w:r>
        <w:t>Supplementary Figure 8. Comparison of phasing accuracy of contigs of different assemblies for rice.</w:t>
      </w:r>
    </w:p>
    <w:p>
      <w:r>
        <w:t>Supplementary Figure 9. Visualization of sequence alignments between gcaDPA assembly and parental genomes.</w:t>
      </w:r>
    </w:p>
    <w:p>
      <w:r>
        <w:t>Supplementary Figure 10. Accumulated percentage of genomic k-mers covered in gamete cells reads.</w:t>
      </w:r>
    </w:p>
    <w:p>
      <w:pPr>
        <w:rPr>
          <w:b/>
          <w:bCs/>
        </w:rPr>
      </w:pPr>
      <w:r>
        <w:rPr>
          <w:b/>
          <w:bCs/>
        </w:rPr>
        <w:t>Supplementary Tables</w:t>
      </w:r>
    </w:p>
    <w:p/>
    <w:p>
      <w:pPr>
        <w:rPr>
          <w:sz w:val="21"/>
          <w:szCs w:val="21"/>
        </w:rPr>
      </w:pPr>
      <w:r>
        <w:t>Supplementary Table 1. Statistics of simulated reads.</w:t>
      </w:r>
    </w:p>
    <w:p>
      <w:r>
        <w:t>Supplementary Table 2. Statistics of sequencing reads of gamete cells.</w:t>
      </w:r>
    </w:p>
    <w:p>
      <w:pPr>
        <w:rPr>
          <w:sz w:val="21"/>
          <w:szCs w:val="21"/>
        </w:rPr>
      </w:pPr>
      <w:r>
        <w:t>Supplementary Table 3. Statistics of Hi-C sequencing reads.</w:t>
      </w:r>
    </w:p>
    <w:p>
      <w:pPr>
        <w:rPr>
          <w:sz w:val="21"/>
          <w:szCs w:val="21"/>
        </w:rPr>
      </w:pPr>
      <w:r>
        <w:t xml:space="preserve">Supplementary Table 4. Purge haplotigs from FALCON </w:t>
      </w:r>
      <w:r>
        <w:rPr>
          <w:rFonts w:hint="eastAsia"/>
        </w:rPr>
        <w:t>primary</w:t>
      </w:r>
      <w:r>
        <w:t xml:space="preserve"> contigs.</w:t>
      </w:r>
    </w:p>
    <w:p>
      <w:pPr>
        <w:rPr>
          <w:sz w:val="21"/>
          <w:szCs w:val="21"/>
        </w:rPr>
      </w:pPr>
      <w:r>
        <w:t>Supplementary Table 5. Statistics of SNPs identified for gamete cells.</w:t>
      </w:r>
    </w:p>
    <w:p>
      <w:r>
        <w:t>Supplementary Table 6. The statistic of HiFi reads of the MH63×ZS97 hybrid.</w:t>
      </w:r>
    </w:p>
    <w:p>
      <w:r>
        <w:t>Supplementary Table 7. The statistic of single cell sequencing data of the tetrads of MH63×ZS97 hybrid.</w:t>
      </w:r>
    </w:p>
    <w:p>
      <w:r>
        <w:t>Supplementary Table 8. The statistic of Hi-C reads of the MH63×ZS97 hybrid.</w:t>
      </w:r>
    </w:p>
    <w:p>
      <w:r>
        <w:t>Supplementary Table 9. Evaluation of Hifiasm assembly, Trio assembly and gcaPDA assembly.</w:t>
      </w:r>
    </w:p>
    <w:p>
      <w:r>
        <w:t>Supplementary Table 10. Statistics of haplotype blocks from the other haplotype.</w:t>
      </w:r>
    </w:p>
    <w:p>
      <w:r>
        <w:t>Supplementary Table 11. Statistics of whole genome sequence comparison between haplotype assemblies and reference assemblies.</w:t>
      </w:r>
    </w:p>
    <w:p>
      <w:r>
        <w:t>Supplementary Table 12. The computing resources used by differnet methods for rice F1.</w:t>
      </w:r>
    </w:p>
    <w:p>
      <w:r>
        <w:t>Supplementary Table 13. The computing resources used by differnet methods for maize F1.</w:t>
      </w:r>
    </w:p>
    <w:p/>
    <w:p>
      <w:pPr>
        <w:rPr>
          <w:rFonts w:ascii="Arial" w:hAnsi="Arial" w:cs="Arial"/>
        </w:rPr>
      </w:pPr>
    </w:p>
    <w:p>
      <w:pPr>
        <w:rPr>
          <w:rFonts w:ascii="Arial" w:hAnsi="Arial" w:cs="Arial"/>
        </w:rPr>
      </w:pPr>
      <w:r>
        <w:rPr>
          <w:rFonts w:ascii="Arial" w:hAnsi="Arial" w:cs="Arial"/>
        </w:rPr>
        <w:t xml:space="preserve"> </w:t>
      </w:r>
    </w:p>
    <w:p>
      <w:pPr>
        <w:rPr>
          <w:rFonts w:ascii="Arial" w:hAnsi="Arial" w:cs="Arial"/>
        </w:rPr>
      </w:pPr>
      <w:r>
        <w:rPr>
          <w:rFonts w:ascii="Arial" w:hAnsi="Arial" w:cs="Arial"/>
        </w:rPr>
        <w:br w:type="page"/>
      </w:r>
    </w:p>
    <w:p>
      <w:pPr>
        <w:rPr>
          <w:rFonts w:ascii="Arial" w:hAnsi="Arial" w:cs="Arial"/>
        </w:rPr>
      </w:pPr>
      <w:r>
        <w:rPr>
          <w:rFonts w:ascii="Arial" w:hAnsi="Arial" w:cs="Arial"/>
        </w:rPr>
        <w:drawing>
          <wp:inline distT="0" distB="0" distL="0" distR="0">
            <wp:extent cx="5727700" cy="44818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4"/>
                    <a:stretch>
                      <a:fillRect/>
                    </a:stretch>
                  </pic:blipFill>
                  <pic:spPr>
                    <a:xfrm>
                      <a:off x="0" y="0"/>
                      <a:ext cx="5727700" cy="4481830"/>
                    </a:xfrm>
                    <a:prstGeom prst="rect">
                      <a:avLst/>
                    </a:prstGeom>
                  </pic:spPr>
                </pic:pic>
              </a:graphicData>
            </a:graphic>
          </wp:inline>
        </w:drawing>
      </w:r>
      <w:r>
        <w:rPr>
          <w:rFonts w:ascii="Arial" w:hAnsi="Arial" w:cs="Arial"/>
        </w:rPr>
        <w:t xml:space="preserve"> </w:t>
      </w:r>
    </w:p>
    <w:p>
      <w:pPr>
        <w:jc w:val="both"/>
      </w:pPr>
      <w:r>
        <w:rPr>
          <w:b/>
          <w:bCs/>
        </w:rPr>
        <w:t>Supplementary Figure 1.</w:t>
      </w:r>
      <w:r>
        <w:t xml:space="preserve"> </w:t>
      </w:r>
      <w:r>
        <w:rPr>
          <w:b/>
          <w:bCs/>
        </w:rPr>
        <w:t xml:space="preserve">Comparison of framework of different diploid assemblers. </w:t>
      </w:r>
      <w:r>
        <w:rPr>
          <w:rFonts w:hint="eastAsia" w:eastAsia="宋体"/>
        </w:rPr>
        <w:t>DipAsm</w:t>
      </w:r>
      <w:r>
        <w:rPr>
          <w:rFonts w:eastAsia="宋体"/>
        </w:rPr>
        <w:t xml:space="preserve">, PGAS, Gamete-binning and </w:t>
      </w:r>
      <w:r>
        <w:t xml:space="preserve">gcaPDA starts with assembling long reads into primary contigs and scaffolding contigs into superscaffolds (initial assembly). Reads data was then mapped to the initial assembly to identify and phase variations into haplotype blocks. In DipAsm, gamete binning and PGAS, long reads were partitioned into haplotypes based on variations and each haplotype was assembled from partitioned long reads, respectively. In trio binning method, long reads were partitioned into haplotypes based on hapmers derived from parental WGS data and each haplotype was assembled from partitioned long reads, respectively. In contrast, gcaPDA partitioned gamete cell reads based on haplotype blocks to and generated hapmers. In gcaPDA, unpartitioned long reads and hapmers were used to assemble both haplotypes simultaneously. Data and analysis steps used in gcaPDA </w:t>
      </w:r>
      <w:r>
        <w:rPr>
          <w:rFonts w:eastAsia="宋体"/>
        </w:rPr>
        <w:t xml:space="preserve">were </w:t>
      </w:r>
      <w:r>
        <w:t>indicated by green stars, while data and analysis steps used in DipAsm, gamete binning, PGAS and trio binning were indicated by orange, brown, deep blue and light blue cubes, respectively.</w:t>
      </w:r>
    </w:p>
    <w:p>
      <w:pPr>
        <w:rPr>
          <w:rFonts w:ascii="Arial" w:hAnsi="Arial" w:cs="Arial"/>
        </w:rPr>
      </w:pPr>
      <w:r>
        <w:rPr>
          <w:rFonts w:ascii="Arial" w:hAnsi="Arial" w:cs="Arial"/>
        </w:rPr>
        <w:br w:type="page"/>
      </w:r>
      <w:r>
        <w:rPr>
          <w:rFonts w:ascii="Arial" w:hAnsi="Arial" w:cs="Arial"/>
        </w:rPr>
        <w:drawing>
          <wp:inline distT="0" distB="0" distL="0" distR="0">
            <wp:extent cx="5422900" cy="6616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422900" cy="6616700"/>
                    </a:xfrm>
                    <a:prstGeom prst="rect">
                      <a:avLst/>
                    </a:prstGeom>
                  </pic:spPr>
                </pic:pic>
              </a:graphicData>
            </a:graphic>
          </wp:inline>
        </w:drawing>
      </w:r>
      <w:r>
        <w:rPr>
          <w:rFonts w:ascii="Arial" w:hAnsi="Arial" w:cs="Arial"/>
        </w:rPr>
        <w:br w:type="textWrapping" w:clear="all"/>
      </w:r>
    </w:p>
    <w:p>
      <w:pPr>
        <w:rPr>
          <w:rFonts w:ascii="Arial" w:hAnsi="Arial" w:cs="Arial"/>
        </w:rPr>
      </w:pPr>
    </w:p>
    <w:p>
      <w:pPr>
        <w:rPr>
          <w:rFonts w:ascii="Arial" w:hAnsi="Arial" w:cs="Arial"/>
        </w:rPr>
      </w:pPr>
    </w:p>
    <w:p>
      <w:pPr>
        <w:jc w:val="both"/>
      </w:pPr>
      <w:r>
        <w:rPr>
          <w:b/>
          <w:bCs/>
        </w:rPr>
        <w:t>Supplementary Figure 2</w:t>
      </w:r>
      <w:r>
        <w:t xml:space="preserve">. </w:t>
      </w:r>
      <w:r>
        <w:rPr>
          <w:rFonts w:eastAsia="宋体"/>
          <w:b/>
          <w:bCs/>
        </w:rPr>
        <w:t>The a</w:t>
      </w:r>
      <w:r>
        <w:rPr>
          <w:b/>
          <w:bCs/>
        </w:rPr>
        <w:t>nalysis workflow of gcaPDA.</w:t>
      </w:r>
      <w:r>
        <w:t xml:space="preserve"> gcaPDA consists of 4 major steps: 1) building an initial assembly; 2) reconstruction of haplotypes; 3) partition and normalization of gamete cell reads and 4) generating chromosome-scale phased diploid assembly. Data are shown in round rectangles</w:t>
      </w:r>
      <w:r>
        <w:rPr>
          <w:rFonts w:eastAsia="宋体"/>
        </w:rPr>
        <w:t>.</w:t>
      </w:r>
      <w:r>
        <w:t xml:space="preserve"> Input data set (HiFi reads, Hi-C reads, gamete cell reads) highlighted in blue and result of each major step is highlighted in green. Software used at each analysis step is shown on the top/right.</w:t>
      </w:r>
    </w:p>
    <w:p>
      <w:pPr>
        <w:rPr>
          <w:rFonts w:ascii="Arial" w:hAnsi="Arial" w:cs="Arial"/>
        </w:rPr>
      </w:pPr>
    </w:p>
    <w:p>
      <w:pPr>
        <w:jc w:val="center"/>
        <w:rPr>
          <w:rFonts w:ascii="Arial" w:hAnsi="Arial" w:cs="Arial"/>
        </w:rPr>
      </w:pPr>
      <w:r>
        <w:rPr>
          <w:rFonts w:ascii="Arial" w:hAnsi="Arial" w:cs="Arial"/>
        </w:rPr>
        <w:drawing>
          <wp:inline distT="0" distB="0" distL="0" distR="0">
            <wp:extent cx="4673600" cy="42659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6" cstate="print">
                      <a:extLst>
                        <a:ext uri="{28A0092B-C50C-407E-A947-70E740481C1C}">
                          <a14:useLocalDpi xmlns:a14="http://schemas.microsoft.com/office/drawing/2010/main" val="0"/>
                        </a:ext>
                      </a:extLst>
                    </a:blip>
                    <a:srcRect t="8721"/>
                    <a:stretch>
                      <a:fillRect/>
                    </a:stretch>
                  </pic:blipFill>
                  <pic:spPr>
                    <a:xfrm>
                      <a:off x="0" y="0"/>
                      <a:ext cx="4678408" cy="4270387"/>
                    </a:xfrm>
                    <a:prstGeom prst="rect">
                      <a:avLst/>
                    </a:prstGeom>
                    <a:ln>
                      <a:noFill/>
                    </a:ln>
                  </pic:spPr>
                </pic:pic>
              </a:graphicData>
            </a:graphic>
          </wp:inline>
        </w:drawing>
      </w:r>
    </w:p>
    <w:p>
      <w:pPr>
        <w:jc w:val="center"/>
        <w:rPr>
          <w:rFonts w:ascii="Arial" w:hAnsi="Arial" w:cs="Arial"/>
        </w:rPr>
      </w:pPr>
      <w:r>
        <w:rPr>
          <w:rFonts w:ascii="Arial" w:hAnsi="Arial" w:cs="Arial"/>
        </w:rPr>
        <w:drawing>
          <wp:inline distT="0" distB="0" distL="0" distR="0">
            <wp:extent cx="4105275" cy="111379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7"/>
                    <a:stretch>
                      <a:fillRect/>
                    </a:stretch>
                  </pic:blipFill>
                  <pic:spPr>
                    <a:xfrm>
                      <a:off x="0" y="0"/>
                      <a:ext cx="4145420" cy="1125054"/>
                    </a:xfrm>
                    <a:prstGeom prst="rect">
                      <a:avLst/>
                    </a:prstGeom>
                  </pic:spPr>
                </pic:pic>
              </a:graphicData>
            </a:graphic>
          </wp:inline>
        </w:drawing>
      </w:r>
    </w:p>
    <w:p>
      <w:pPr>
        <w:jc w:val="both"/>
      </w:pPr>
      <w:r>
        <w:rPr>
          <w:b/>
          <w:bCs/>
        </w:rPr>
        <w:t>Supplementary Figure 3.</w:t>
      </w:r>
      <w:r>
        <w:t xml:space="preserve"> </w:t>
      </w:r>
      <w:r>
        <w:rPr>
          <w:b/>
          <w:bCs/>
        </w:rPr>
        <w:t>Genome survey of the SK x B73 F</w:t>
      </w:r>
      <w:r>
        <w:rPr>
          <w:b/>
          <w:bCs/>
          <w:vertAlign w:val="subscript"/>
        </w:rPr>
        <w:t>1</w:t>
      </w:r>
      <w:r>
        <w:rPr>
          <w:b/>
          <w:bCs/>
        </w:rPr>
        <w:t xml:space="preserve"> hybrid.</w:t>
      </w:r>
      <w:r>
        <w:t xml:space="preserve"> Simulated HiFi reads were used for this analysis (k-mer size =21). Haploid genome size and heterozygosity of F</w:t>
      </w:r>
      <w:r>
        <w:rPr>
          <w:vertAlign w:val="subscript"/>
        </w:rPr>
        <w:t>1</w:t>
      </w:r>
      <w:r>
        <w:rPr>
          <w:rFonts w:eastAsia="宋体"/>
        </w:rPr>
        <w:t xml:space="preserve"> </w:t>
      </w:r>
      <w:r>
        <w:t>hybrid was estimated as 2.16 Gb and 1.98%, respectively.</w:t>
      </w:r>
    </w:p>
    <w:p>
      <w:pPr>
        <w:rPr>
          <w:rFonts w:ascii="Arial" w:hAnsi="Arial" w:cs="Arial"/>
        </w:rPr>
      </w:pPr>
      <w:r>
        <w:rPr>
          <w:rFonts w:ascii="Arial" w:hAnsi="Arial" w:cs="Arial"/>
        </w:rPr>
        <w:br w:type="page"/>
      </w:r>
    </w:p>
    <w:p>
      <w:pPr>
        <w:rPr>
          <w:rFonts w:ascii="Arial" w:hAnsi="Arial" w:cs="Arial"/>
        </w:rPr>
      </w:pPr>
    </w:p>
    <w:p>
      <w:pPr>
        <w:rPr>
          <w:rFonts w:ascii="Arial" w:hAnsi="Arial" w:cs="Arial"/>
        </w:rPr>
      </w:pPr>
    </w:p>
    <w:p>
      <w:pPr>
        <w:rPr>
          <w:rFonts w:ascii="Arial" w:hAnsi="Arial" w:cs="Arial"/>
        </w:rPr>
      </w:pPr>
      <w:r>
        <w:rPr>
          <w:rFonts w:ascii="Arial" w:hAnsi="Arial" w:cs="Arial"/>
        </w:rPr>
        <w:drawing>
          <wp:inline distT="0" distB="0" distL="0" distR="0">
            <wp:extent cx="5727700" cy="469582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727700" cy="4695825"/>
                    </a:xfrm>
                    <a:prstGeom prst="rect">
                      <a:avLst/>
                    </a:prstGeom>
                  </pic:spPr>
                </pic:pic>
              </a:graphicData>
            </a:graphic>
          </wp:inline>
        </w:drawing>
      </w:r>
    </w:p>
    <w:p>
      <w:pPr>
        <w:rPr>
          <w:rFonts w:ascii="Arial" w:hAnsi="Arial" w:cs="Arial"/>
        </w:rPr>
      </w:pPr>
    </w:p>
    <w:p>
      <w:pPr>
        <w:rPr>
          <w:rFonts w:ascii="Arial" w:hAnsi="Arial" w:cs="Arial"/>
        </w:rPr>
      </w:pPr>
    </w:p>
    <w:p>
      <w:pPr>
        <w:jc w:val="both"/>
      </w:pPr>
      <w:r>
        <w:rPr>
          <w:b/>
          <w:bCs/>
        </w:rPr>
        <w:t>Supplementary Figure 4</w:t>
      </w:r>
      <w:r>
        <w:t xml:space="preserve">. </w:t>
      </w:r>
      <w:r>
        <w:rPr>
          <w:b/>
          <w:bCs/>
        </w:rPr>
        <w:t>Quality control of gamete cells based on SNP statistics</w:t>
      </w:r>
      <w:r>
        <w:t xml:space="preserve">. </w:t>
      </w:r>
      <w:r>
        <w:rPr>
          <w:b/>
          <w:bCs/>
        </w:rPr>
        <w:t>a</w:t>
      </w:r>
      <w:r>
        <w:t xml:space="preserve">), heterozygous rate of SNPs of gamete cells. Gamete cell with heterozygous rate higher that 5% (cutoff indicated by red line) were considered as contaminated and excluded from downstream analysis. </w:t>
      </w:r>
      <w:r>
        <w:rPr>
          <w:b/>
          <w:bCs/>
        </w:rPr>
        <w:t>b</w:t>
      </w:r>
      <w:r>
        <w:t>),</w:t>
      </w:r>
      <w:r>
        <w:rPr>
          <w:b/>
          <w:bCs/>
        </w:rPr>
        <w:t xml:space="preserve"> </w:t>
      </w:r>
      <w:r>
        <w:t>SNP</w:t>
      </w:r>
      <w:r>
        <w:rPr>
          <w:b/>
          <w:bCs/>
        </w:rPr>
        <w:t xml:space="preserve"> </w:t>
      </w:r>
      <w:r>
        <w:t>missing rate of gamete cells. Gamete cells with SNP missing rate &gt;70% or &lt;30% were considered as low-quality cells and excluded from downstream analysis.</w:t>
      </w:r>
    </w:p>
    <w:p>
      <w:r>
        <w:br w:type="page"/>
      </w:r>
    </w:p>
    <w:p>
      <w:pPr>
        <w:jc w:val="both"/>
      </w:pPr>
      <w:r>
        <w:drawing>
          <wp:inline distT="0" distB="0" distL="0" distR="0">
            <wp:extent cx="5727700" cy="50736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5073650"/>
                    </a:xfrm>
                    <a:prstGeom prst="rect">
                      <a:avLst/>
                    </a:prstGeom>
                  </pic:spPr>
                </pic:pic>
              </a:graphicData>
            </a:graphic>
          </wp:inline>
        </w:drawing>
      </w:r>
    </w:p>
    <w:p>
      <w:pPr>
        <w:jc w:val="both"/>
      </w:pPr>
    </w:p>
    <w:p>
      <w:pPr>
        <w:rPr>
          <w:rFonts w:ascii="Arial" w:hAnsi="Arial" w:cs="Arial"/>
        </w:rPr>
      </w:pPr>
      <w:r>
        <w:rPr>
          <w:b/>
          <w:bCs/>
        </w:rPr>
        <w:t>Supplementary Figure 5.</w:t>
      </w:r>
      <w:r>
        <w:t xml:space="preserve"> </w:t>
      </w:r>
      <w:r>
        <w:rPr>
          <w:b/>
          <w:bCs/>
        </w:rPr>
        <w:t>Distribution of distance between adjacent SNPs in the reconstructed haplotypes.</w:t>
      </w:r>
      <w:r>
        <w:t xml:space="preserve"> </w:t>
      </w:r>
    </w:p>
    <w:p>
      <w:pPr>
        <w:rPr>
          <w:rFonts w:ascii="Arial" w:hAnsi="Arial" w:cs="Arial"/>
        </w:rPr>
      </w:pPr>
    </w:p>
    <w:p>
      <w:pPr>
        <w:jc w:val="center"/>
        <w:rPr>
          <w:rFonts w:ascii="Arial" w:hAnsi="Arial" w:cs="Arial"/>
        </w:rPr>
      </w:pPr>
      <w:r>
        <w:rPr>
          <w:rFonts w:ascii="Arial" w:hAnsi="Arial" w:cs="Arial"/>
        </w:rPr>
        <w:drawing>
          <wp:inline distT="0" distB="0" distL="0" distR="0">
            <wp:extent cx="4414520" cy="4396105"/>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0"/>
                    <a:stretch>
                      <a:fillRect/>
                    </a:stretch>
                  </pic:blipFill>
                  <pic:spPr>
                    <a:xfrm>
                      <a:off x="0" y="0"/>
                      <a:ext cx="4425722" cy="4407077"/>
                    </a:xfrm>
                    <a:prstGeom prst="rect">
                      <a:avLst/>
                    </a:prstGeom>
                  </pic:spPr>
                </pic:pic>
              </a:graphicData>
            </a:graphic>
          </wp:inline>
        </w:drawing>
      </w:r>
    </w:p>
    <w:p>
      <w:pPr>
        <w:jc w:val="both"/>
        <w:rPr>
          <w:rFonts w:ascii="Arial" w:hAnsi="Arial" w:cs="Arial"/>
        </w:rPr>
      </w:pPr>
      <w:r>
        <w:rPr>
          <w:b/>
          <w:bCs/>
        </w:rPr>
        <w:t>Supplementary Figure 6.</w:t>
      </w:r>
      <w:r>
        <w:t xml:space="preserve"> </w:t>
      </w:r>
      <w:r>
        <w:rPr>
          <w:b/>
          <w:bCs/>
        </w:rPr>
        <w:t>Visualization of haplotype blocks of gamete cell S2.</w:t>
      </w:r>
      <w:r>
        <w:t xml:space="preserve"> Chromosomes of the initial assembly was depicted with black rectangles. </w:t>
      </w:r>
      <w:r>
        <w:rPr>
          <w:rFonts w:eastAsia="宋体"/>
        </w:rPr>
        <w:t>The g</w:t>
      </w:r>
      <w:r>
        <w:t xml:space="preserve">enotype of gamete cell S2 at each SNP locus was compared with the reconstructed haplotype. SNP </w:t>
      </w:r>
      <w:r>
        <w:rPr>
          <w:rFonts w:eastAsia="宋体"/>
        </w:rPr>
        <w:t xml:space="preserve">loci </w:t>
      </w:r>
      <w:r>
        <w:t xml:space="preserve">with identical genotype to hapSK were depicted with blue line, while SNP </w:t>
      </w:r>
      <w:r>
        <w:rPr>
          <w:rFonts w:eastAsia="宋体"/>
        </w:rPr>
        <w:t xml:space="preserve">loci </w:t>
      </w:r>
      <w:r>
        <w:t>with identical</w:t>
      </w:r>
      <w:r>
        <w:rPr>
          <w:rFonts w:eastAsia="宋体"/>
        </w:rPr>
        <w:t xml:space="preserve"> </w:t>
      </w:r>
      <w:r>
        <w:t xml:space="preserve">genotype to hapB73 were depicted with orange line. </w:t>
      </w:r>
      <w:r>
        <w:rPr>
          <w:rFonts w:ascii="Arial" w:hAnsi="Arial" w:cs="Arial"/>
        </w:rPr>
        <w:br w:type="page"/>
      </w:r>
    </w:p>
    <w:p>
      <w:pPr>
        <w:jc w:val="center"/>
        <w:rPr>
          <w:rFonts w:ascii="Arial" w:hAnsi="Arial" w:cs="Arial"/>
        </w:rPr>
      </w:pPr>
    </w:p>
    <w:p>
      <w:pPr>
        <w:jc w:val="center"/>
      </w:pPr>
      <w:r>
        <w:t xml:space="preserve"> </w:t>
      </w:r>
    </w:p>
    <w:p>
      <w:pPr>
        <w:jc w:val="center"/>
        <w:rPr>
          <w:rFonts w:ascii="Arial" w:hAnsi="Arial" w:cs="Arial"/>
        </w:rPr>
      </w:pPr>
      <w:r>
        <w:rPr>
          <w:rFonts w:ascii="Arial" w:hAnsi="Arial" w:cs="Arial"/>
        </w:rPr>
        <w:drawing>
          <wp:inline distT="0" distB="0" distL="0" distR="0">
            <wp:extent cx="4851400" cy="6261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851400" cy="6261100"/>
                    </a:xfrm>
                    <a:prstGeom prst="rect">
                      <a:avLst/>
                    </a:prstGeom>
                  </pic:spPr>
                </pic:pic>
              </a:graphicData>
            </a:graphic>
          </wp:inline>
        </w:drawing>
      </w:r>
    </w:p>
    <w:p>
      <w:r>
        <w:rPr>
          <w:b/>
          <w:bCs/>
        </w:rPr>
        <w:t>Supplementary Figure 7</w:t>
      </w:r>
      <w:r>
        <w:t xml:space="preserve">. K-mer distribution of haplotype reads before </w:t>
      </w:r>
      <w:r>
        <w:rPr>
          <w:b/>
          <w:bCs/>
        </w:rPr>
        <w:t>a</w:t>
      </w:r>
      <w:r>
        <w:t xml:space="preserve">) and after normalization </w:t>
      </w:r>
      <w:r>
        <w:rPr>
          <w:b/>
          <w:bCs/>
        </w:rPr>
        <w:t>b</w:t>
      </w:r>
      <w:r>
        <w:t>).</w:t>
      </w:r>
      <w:r>
        <w:rPr>
          <w:rFonts w:eastAsia="宋体"/>
        </w:rPr>
        <w:t xml:space="preserve"> We used k</w:t>
      </w:r>
      <w:r>
        <w:t>-mer size</w:t>
      </w:r>
      <w:r>
        <w:rPr>
          <w:rFonts w:eastAsia="宋体"/>
        </w:rPr>
        <w:t xml:space="preserve"> of length 31</w:t>
      </w:r>
      <w:r>
        <w:t xml:space="preserve"> for this analysis.</w:t>
      </w:r>
    </w:p>
    <w:p>
      <w:r>
        <w:drawing>
          <wp:inline distT="0" distB="0" distL="114300" distR="114300">
            <wp:extent cx="5725795" cy="4980305"/>
            <wp:effectExtent l="0" t="0" r="8255" b="1079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725795" cy="4980305"/>
                    </a:xfrm>
                    <a:prstGeom prst="rect">
                      <a:avLst/>
                    </a:prstGeom>
                    <a:noFill/>
                    <a:ln>
                      <a:noFill/>
                    </a:ln>
                  </pic:spPr>
                </pic:pic>
              </a:graphicData>
            </a:graphic>
          </wp:inline>
        </w:drawing>
      </w:r>
    </w:p>
    <w:p>
      <w:pPr>
        <w:spacing w:line="360" w:lineRule="auto"/>
        <w:jc w:val="both"/>
        <w:rPr>
          <w:sz w:val="28"/>
          <w:szCs w:val="28"/>
        </w:rPr>
      </w:pPr>
      <w:r>
        <w:rPr>
          <w:b/>
          <w:bCs/>
        </w:rPr>
        <w:t xml:space="preserve">Supplementary Figure </w:t>
      </w:r>
      <w:r>
        <w:rPr>
          <w:rFonts w:hint="eastAsia" w:eastAsia="宋体"/>
          <w:b/>
          <w:bCs/>
        </w:rPr>
        <w:t>8</w:t>
      </w:r>
      <w:r>
        <w:rPr>
          <w:b/>
          <w:bCs/>
          <w:sz w:val="28"/>
          <w:szCs w:val="28"/>
        </w:rPr>
        <w:t>.</w:t>
      </w:r>
      <w:r>
        <w:rPr>
          <w:sz w:val="28"/>
          <w:szCs w:val="28"/>
        </w:rPr>
        <w:t xml:space="preserve"> </w:t>
      </w:r>
      <w:r>
        <w:rPr>
          <w:b w:val="0"/>
          <w:bCs w:val="0"/>
          <w:sz w:val="28"/>
          <w:szCs w:val="28"/>
        </w:rPr>
        <w:t>Comparison of phasing accuracy of contigs of different assemblies</w:t>
      </w:r>
      <w:r>
        <w:rPr>
          <w:rFonts w:hint="eastAsia" w:eastAsia="宋体"/>
          <w:b w:val="0"/>
          <w:bCs w:val="0"/>
          <w:sz w:val="28"/>
          <w:szCs w:val="28"/>
        </w:rPr>
        <w:t xml:space="preserve"> for rice</w:t>
      </w:r>
      <w:r>
        <w:rPr>
          <w:b w:val="0"/>
          <w:bCs w:val="0"/>
          <w:sz w:val="28"/>
          <w:szCs w:val="28"/>
        </w:rPr>
        <w:t>.</w:t>
      </w:r>
      <w:r>
        <w:rPr>
          <w:b/>
          <w:bCs/>
          <w:sz w:val="28"/>
          <w:szCs w:val="28"/>
        </w:rPr>
        <w:t xml:space="preserve"> </w:t>
      </w:r>
      <w:r>
        <w:rPr>
          <w:sz w:val="28"/>
          <w:szCs w:val="28"/>
        </w:rPr>
        <w:t>Each contig is represented by a circle, with circles of primary/hap</w:t>
      </w:r>
      <w:r>
        <w:rPr>
          <w:rFonts w:hint="eastAsia" w:eastAsia="宋体"/>
          <w:sz w:val="28"/>
          <w:szCs w:val="28"/>
        </w:rPr>
        <w:t>MH63</w:t>
      </w:r>
      <w:r>
        <w:rPr>
          <w:sz w:val="28"/>
          <w:szCs w:val="28"/>
        </w:rPr>
        <w:t xml:space="preserve"> contigs filled red and alternative/hap</w:t>
      </w:r>
      <w:r>
        <w:rPr>
          <w:rFonts w:hint="eastAsia" w:eastAsia="宋体"/>
          <w:sz w:val="28"/>
          <w:szCs w:val="28"/>
        </w:rPr>
        <w:t>ZS97</w:t>
      </w:r>
      <w:r>
        <w:rPr>
          <w:sz w:val="28"/>
          <w:szCs w:val="28"/>
        </w:rPr>
        <w:t xml:space="preserve"> contigs filled blue. The size of a circle is proportional to the total number of k-mer in the contig. The x and y axes refer to the number of </w:t>
      </w:r>
      <w:r>
        <w:rPr>
          <w:rFonts w:hint="eastAsia" w:eastAsia="宋体"/>
          <w:sz w:val="28"/>
          <w:szCs w:val="28"/>
        </w:rPr>
        <w:t xml:space="preserve">MH63 </w:t>
      </w:r>
      <w:r>
        <w:rPr>
          <w:sz w:val="28"/>
          <w:szCs w:val="28"/>
        </w:rPr>
        <w:t xml:space="preserve">hapmer and </w:t>
      </w:r>
      <w:r>
        <w:rPr>
          <w:rFonts w:hint="eastAsia" w:eastAsia="宋体"/>
          <w:sz w:val="28"/>
          <w:szCs w:val="28"/>
        </w:rPr>
        <w:t xml:space="preserve">ZS97 </w:t>
      </w:r>
      <w:r>
        <w:rPr>
          <w:sz w:val="28"/>
          <w:szCs w:val="28"/>
        </w:rPr>
        <w:t xml:space="preserve">hapmer identified in a contig, respectively. Panel </w:t>
      </w:r>
      <w:r>
        <w:rPr>
          <w:b/>
          <w:bCs/>
          <w:sz w:val="28"/>
          <w:szCs w:val="28"/>
        </w:rPr>
        <w:t>a)</w:t>
      </w:r>
      <w:r>
        <w:rPr>
          <w:sz w:val="28"/>
          <w:szCs w:val="28"/>
        </w:rPr>
        <w:t xml:space="preserve"> </w:t>
      </w:r>
      <w:r>
        <w:rPr>
          <w:rFonts w:hint="eastAsia" w:eastAsia="宋体"/>
          <w:sz w:val="28"/>
          <w:szCs w:val="28"/>
        </w:rPr>
        <w:t>Hifiasm</w:t>
      </w:r>
      <w:r>
        <w:rPr>
          <w:sz w:val="28"/>
          <w:szCs w:val="28"/>
        </w:rPr>
        <w:t xml:space="preserve"> assembly, </w:t>
      </w:r>
      <w:r>
        <w:rPr>
          <w:b/>
          <w:bCs/>
          <w:sz w:val="28"/>
          <w:szCs w:val="28"/>
        </w:rPr>
        <w:t>b)</w:t>
      </w:r>
      <w:r>
        <w:rPr>
          <w:sz w:val="28"/>
          <w:szCs w:val="28"/>
        </w:rPr>
        <w:t xml:space="preserve"> Hifiasm</w:t>
      </w:r>
      <w:r>
        <w:rPr>
          <w:rFonts w:hint="eastAsia" w:eastAsia="宋体"/>
          <w:sz w:val="28"/>
          <w:szCs w:val="28"/>
        </w:rPr>
        <w:t>+Hi-C</w:t>
      </w:r>
      <w:r>
        <w:rPr>
          <w:sz w:val="28"/>
          <w:szCs w:val="28"/>
        </w:rPr>
        <w:t xml:space="preserve"> assembly, </w:t>
      </w:r>
      <w:r>
        <w:rPr>
          <w:b/>
          <w:bCs/>
          <w:sz w:val="28"/>
          <w:szCs w:val="28"/>
        </w:rPr>
        <w:t>c)</w:t>
      </w:r>
      <w:r>
        <w:rPr>
          <w:sz w:val="28"/>
          <w:szCs w:val="28"/>
        </w:rPr>
        <w:t xml:space="preserve"> Trio assembly, </w:t>
      </w:r>
      <w:r>
        <w:rPr>
          <w:b/>
          <w:bCs/>
          <w:sz w:val="28"/>
          <w:szCs w:val="28"/>
        </w:rPr>
        <w:t xml:space="preserve">d) </w:t>
      </w:r>
      <w:r>
        <w:rPr>
          <w:sz w:val="28"/>
          <w:szCs w:val="28"/>
        </w:rPr>
        <w:t>gcaPDA assembly.</w:t>
      </w:r>
    </w:p>
    <w:p/>
    <w:p>
      <w:pPr>
        <w:rPr>
          <w:rFonts w:ascii="Arial" w:hAnsi="Arial" w:cs="Arial"/>
        </w:rPr>
      </w:pPr>
      <w:r>
        <w:rPr>
          <w:rFonts w:ascii="Arial" w:hAnsi="Arial" w:cs="Arial"/>
        </w:rPr>
        <w:br w:type="page"/>
      </w:r>
    </w:p>
    <w:p>
      <w:pPr>
        <w:jc w:val="center"/>
        <w:rPr>
          <w:rFonts w:ascii="Arial" w:hAnsi="Arial" w:cs="Arial"/>
        </w:rPr>
      </w:pPr>
      <w:r>
        <w:rPr>
          <w:rFonts w:ascii="Arial" w:hAnsi="Arial" w:cs="Arial"/>
        </w:rPr>
        <w:drawing>
          <wp:inline distT="0" distB="0" distL="0" distR="0">
            <wp:extent cx="5334635" cy="376618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3"/>
                    <a:stretch>
                      <a:fillRect/>
                    </a:stretch>
                  </pic:blipFill>
                  <pic:spPr>
                    <a:xfrm>
                      <a:off x="0" y="0"/>
                      <a:ext cx="5341707" cy="3771174"/>
                    </a:xfrm>
                    <a:prstGeom prst="rect">
                      <a:avLst/>
                    </a:prstGeom>
                  </pic:spPr>
                </pic:pic>
              </a:graphicData>
            </a:graphic>
          </wp:inline>
        </w:drawing>
      </w:r>
    </w:p>
    <w:p>
      <w:pPr>
        <w:jc w:val="center"/>
        <w:rPr>
          <w:rFonts w:ascii="Arial" w:hAnsi="Arial" w:cs="Arial"/>
        </w:rPr>
      </w:pPr>
      <w:r>
        <w:rPr>
          <w:rFonts w:ascii="Arial" w:hAnsi="Arial" w:cs="Arial"/>
        </w:rPr>
        <w:drawing>
          <wp:inline distT="0" distB="0" distL="0" distR="0">
            <wp:extent cx="5130800" cy="37249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4"/>
                    <a:srcRect t="840" b="-1"/>
                    <a:stretch>
                      <a:fillRect/>
                    </a:stretch>
                  </pic:blipFill>
                  <pic:spPr>
                    <a:xfrm>
                      <a:off x="0" y="0"/>
                      <a:ext cx="5161599" cy="3747036"/>
                    </a:xfrm>
                    <a:prstGeom prst="rect">
                      <a:avLst/>
                    </a:prstGeom>
                    <a:ln>
                      <a:noFill/>
                    </a:ln>
                  </pic:spPr>
                </pic:pic>
              </a:graphicData>
            </a:graphic>
          </wp:inline>
        </w:drawing>
      </w:r>
    </w:p>
    <w:p>
      <w:pPr>
        <w:jc w:val="both"/>
      </w:pPr>
      <w:r>
        <w:rPr>
          <w:b/>
          <w:bCs/>
        </w:rPr>
        <w:t xml:space="preserve">Supplementary Figure </w:t>
      </w:r>
      <w:r>
        <w:rPr>
          <w:rFonts w:hint="eastAsia" w:eastAsia="宋体"/>
          <w:b/>
          <w:bCs/>
        </w:rPr>
        <w:t>9</w:t>
      </w:r>
      <w:r>
        <w:rPr>
          <w:b/>
          <w:bCs/>
        </w:rPr>
        <w:t>.</w:t>
      </w:r>
      <w:r>
        <w:t xml:space="preserve"> </w:t>
      </w:r>
      <w:r>
        <w:rPr>
          <w:b w:val="0"/>
          <w:bCs w:val="0"/>
        </w:rPr>
        <w:t>Visualization of sequence alignments between gcaDPA assembly and parental genomes.</w:t>
      </w:r>
      <w:r>
        <w:t xml:space="preserve"> a) Visualization of alignments between hapSK chromosomes and reference SK chromosomes. b) Visualization of alignments between hapB73 chromosomes and reference B73 chromosomes.</w:t>
      </w:r>
    </w:p>
    <w:p>
      <w:pPr>
        <w:rPr>
          <w:rFonts w:ascii="Arial" w:hAnsi="Arial" w:cs="Arial"/>
        </w:rPr>
      </w:pPr>
      <w:r>
        <w:rPr>
          <w:rFonts w:ascii="Arial" w:hAnsi="Arial" w:cs="Arial"/>
        </w:rPr>
        <w:br w:type="page"/>
      </w:r>
    </w:p>
    <w:p>
      <w:pPr>
        <w:rPr>
          <w:rFonts w:ascii="Arial" w:hAnsi="Arial" w:cs="Arial"/>
        </w:rPr>
      </w:pPr>
    </w:p>
    <w:p>
      <w:pPr>
        <w:rPr>
          <w:rFonts w:ascii="Arial" w:hAnsi="Arial" w:cs="Arial"/>
        </w:rPr>
      </w:pPr>
    </w:p>
    <w:p>
      <w:pPr>
        <w:rPr>
          <w:rFonts w:ascii="Arial" w:hAnsi="Arial" w:cs="Arial"/>
        </w:rPr>
      </w:pPr>
      <w:r>
        <w:drawing>
          <wp:inline distT="0" distB="0" distL="0" distR="0">
            <wp:extent cx="5727700" cy="4865370"/>
            <wp:effectExtent l="0" t="0" r="12700" b="1143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jc w:val="both"/>
      </w:pPr>
      <w:r>
        <w:rPr>
          <w:b/>
          <w:bCs/>
        </w:rPr>
        <w:t xml:space="preserve">Supplementary Figure </w:t>
      </w:r>
      <w:r>
        <w:rPr>
          <w:rFonts w:hint="eastAsia" w:eastAsia="宋体"/>
          <w:b/>
          <w:bCs/>
        </w:rPr>
        <w:t>10</w:t>
      </w:r>
      <w:r>
        <w:rPr>
          <w:b/>
          <w:bCs/>
        </w:rPr>
        <w:t>.</w:t>
      </w:r>
      <w:r>
        <w:t xml:space="preserve"> </w:t>
      </w:r>
      <w:r>
        <w:rPr>
          <w:b w:val="0"/>
          <w:bCs w:val="0"/>
        </w:rPr>
        <w:t>Accumulated percentage of genomic k-mers covered in gamete cells reads</w:t>
      </w:r>
      <w:r>
        <w:t>. Genomic k-mers set were calculated from SK, B73 genome, or both (SK+B73). A genomic k-mer was defined was covered if its frequency in gamete cell reads is &gt;4. A simulated accumulation curve was also plotted, assuming that each gamete cell randomly covered 50% of genomic k-mers.</w:t>
      </w:r>
    </w:p>
    <w:p>
      <w:pPr>
        <w:rPr>
          <w:rFonts w:ascii="Arial" w:hAnsi="Arial" w:cs="Arial"/>
        </w:rPr>
      </w:pPr>
    </w:p>
    <w:p>
      <w:pPr>
        <w:rPr>
          <w:rFonts w:ascii="Arial" w:hAnsi="Arial" w:cs="Arial"/>
        </w:rPr>
      </w:pPr>
    </w:p>
    <w:p>
      <w:pPr>
        <w:rPr>
          <w:rFonts w:ascii="Arial" w:hAnsi="Arial" w:cs="Arial"/>
          <w:b/>
          <w:bCs/>
        </w:rPr>
      </w:pPr>
      <w:r>
        <w:rPr>
          <w:rFonts w:ascii="Arial" w:hAnsi="Arial" w:cs="Arial"/>
          <w:b/>
          <w:bCs/>
        </w:rPr>
        <w:br w:type="page"/>
      </w:r>
    </w:p>
    <w:p>
      <w:pPr>
        <w:rPr>
          <w:b/>
          <w:bCs/>
        </w:rPr>
      </w:pPr>
      <w:r>
        <w:rPr>
          <w:b/>
          <w:bCs/>
        </w:rPr>
        <w:t>Supplementary Tables</w:t>
      </w:r>
    </w:p>
    <w:p/>
    <w:p>
      <w:r>
        <w:rPr>
          <w:b/>
          <w:bCs/>
        </w:rPr>
        <w:t>Supplementary Table 1.</w:t>
      </w:r>
      <w:r>
        <w:t xml:space="preserve"> Statistics of simulated reads.</w:t>
      </w:r>
    </w:p>
    <w:p>
      <w:pPr>
        <w:jc w:val="center"/>
      </w:pPr>
    </w:p>
    <w:tbl>
      <w:tblPr>
        <w:tblStyle w:val="5"/>
        <w:tblW w:w="7980" w:type="dxa"/>
        <w:jc w:val="center"/>
        <w:tblLayout w:type="autofit"/>
        <w:tblCellMar>
          <w:top w:w="0" w:type="dxa"/>
          <w:left w:w="108" w:type="dxa"/>
          <w:bottom w:w="0" w:type="dxa"/>
          <w:right w:w="108" w:type="dxa"/>
        </w:tblCellMar>
      </w:tblPr>
      <w:tblGrid>
        <w:gridCol w:w="2060"/>
        <w:gridCol w:w="1180"/>
        <w:gridCol w:w="1416"/>
        <w:gridCol w:w="1836"/>
        <w:gridCol w:w="1500"/>
      </w:tblGrid>
      <w:tr>
        <w:tblPrEx>
          <w:tblCellMar>
            <w:top w:w="0" w:type="dxa"/>
            <w:left w:w="108" w:type="dxa"/>
            <w:bottom w:w="0" w:type="dxa"/>
            <w:right w:w="108" w:type="dxa"/>
          </w:tblCellMar>
        </w:tblPrEx>
        <w:trPr>
          <w:trHeight w:val="700" w:hRule="atLeast"/>
          <w:jc w:val="center"/>
        </w:trPr>
        <w:tc>
          <w:tcPr>
            <w:tcW w:w="2060" w:type="dxa"/>
            <w:tcBorders>
              <w:top w:val="single" w:color="auto" w:sz="8" w:space="0"/>
              <w:left w:val="nil"/>
              <w:bottom w:val="single" w:color="auto" w:sz="8" w:space="0"/>
              <w:right w:val="nil"/>
            </w:tcBorders>
            <w:shd w:val="clear" w:color="auto" w:fill="auto"/>
            <w:vAlign w:val="center"/>
          </w:tcPr>
          <w:p>
            <w:pPr>
              <w:jc w:val="center"/>
              <w:rPr>
                <w:b/>
                <w:bCs/>
                <w:color w:val="000000"/>
              </w:rPr>
            </w:pPr>
            <w:r>
              <w:rPr>
                <w:b/>
                <w:bCs/>
                <w:color w:val="000000"/>
              </w:rPr>
              <w:t>Simulated data set</w:t>
            </w:r>
          </w:p>
        </w:tc>
        <w:tc>
          <w:tcPr>
            <w:tcW w:w="1180" w:type="dxa"/>
            <w:tcBorders>
              <w:top w:val="single" w:color="auto" w:sz="8" w:space="0"/>
              <w:left w:val="nil"/>
              <w:bottom w:val="single" w:color="auto" w:sz="8" w:space="0"/>
              <w:right w:val="nil"/>
            </w:tcBorders>
            <w:shd w:val="clear" w:color="auto" w:fill="auto"/>
            <w:vAlign w:val="center"/>
          </w:tcPr>
          <w:p>
            <w:pPr>
              <w:jc w:val="center"/>
              <w:rPr>
                <w:b/>
                <w:bCs/>
                <w:color w:val="000000"/>
              </w:rPr>
            </w:pPr>
            <w:r>
              <w:rPr>
                <w:b/>
                <w:bCs/>
                <w:color w:val="000000"/>
              </w:rPr>
              <w:t>Error rate</w:t>
            </w:r>
          </w:p>
        </w:tc>
        <w:tc>
          <w:tcPr>
            <w:tcW w:w="1400" w:type="dxa"/>
            <w:tcBorders>
              <w:top w:val="single" w:color="auto" w:sz="8" w:space="0"/>
              <w:left w:val="nil"/>
              <w:bottom w:val="single" w:color="auto" w:sz="8" w:space="0"/>
              <w:right w:val="nil"/>
            </w:tcBorders>
            <w:shd w:val="clear" w:color="auto" w:fill="auto"/>
            <w:vAlign w:val="center"/>
          </w:tcPr>
          <w:p>
            <w:pPr>
              <w:jc w:val="center"/>
              <w:rPr>
                <w:b/>
                <w:bCs/>
                <w:color w:val="000000"/>
              </w:rPr>
            </w:pPr>
            <w:r>
              <w:rPr>
                <w:b/>
                <w:bCs/>
                <w:color w:val="000000"/>
              </w:rPr>
              <w:t>Read No.</w:t>
            </w:r>
          </w:p>
        </w:tc>
        <w:tc>
          <w:tcPr>
            <w:tcW w:w="1840" w:type="dxa"/>
            <w:tcBorders>
              <w:top w:val="single" w:color="auto" w:sz="8" w:space="0"/>
              <w:left w:val="nil"/>
              <w:bottom w:val="single" w:color="auto" w:sz="8" w:space="0"/>
              <w:right w:val="nil"/>
            </w:tcBorders>
            <w:shd w:val="clear" w:color="auto" w:fill="auto"/>
            <w:vAlign w:val="center"/>
          </w:tcPr>
          <w:p>
            <w:pPr>
              <w:jc w:val="center"/>
              <w:rPr>
                <w:b/>
                <w:bCs/>
                <w:color w:val="000000"/>
              </w:rPr>
            </w:pPr>
            <w:r>
              <w:rPr>
                <w:b/>
                <w:bCs/>
                <w:color w:val="000000"/>
              </w:rPr>
              <w:t>Total read length (bp)</w:t>
            </w:r>
          </w:p>
        </w:tc>
        <w:tc>
          <w:tcPr>
            <w:tcW w:w="1500" w:type="dxa"/>
            <w:tcBorders>
              <w:top w:val="single" w:color="auto" w:sz="8" w:space="0"/>
              <w:left w:val="nil"/>
              <w:bottom w:val="single" w:color="auto" w:sz="8" w:space="0"/>
              <w:right w:val="nil"/>
            </w:tcBorders>
            <w:shd w:val="clear" w:color="auto" w:fill="auto"/>
            <w:vAlign w:val="center"/>
          </w:tcPr>
          <w:p>
            <w:pPr>
              <w:jc w:val="center"/>
              <w:rPr>
                <w:b/>
                <w:bCs/>
                <w:color w:val="000000"/>
              </w:rPr>
            </w:pPr>
            <w:r>
              <w:rPr>
                <w:b/>
                <w:bCs/>
                <w:color w:val="000000"/>
              </w:rPr>
              <w:t>Average read length (bp)</w:t>
            </w:r>
          </w:p>
        </w:tc>
      </w:tr>
      <w:tr>
        <w:tblPrEx>
          <w:tblCellMar>
            <w:top w:w="0" w:type="dxa"/>
            <w:left w:w="108" w:type="dxa"/>
            <w:bottom w:w="0" w:type="dxa"/>
            <w:right w:w="108" w:type="dxa"/>
          </w:tblCellMar>
        </w:tblPrEx>
        <w:trPr>
          <w:trHeight w:val="340" w:hRule="atLeast"/>
          <w:jc w:val="center"/>
        </w:trPr>
        <w:tc>
          <w:tcPr>
            <w:tcW w:w="2060" w:type="dxa"/>
            <w:tcBorders>
              <w:top w:val="nil"/>
              <w:left w:val="nil"/>
              <w:bottom w:val="nil"/>
              <w:right w:val="nil"/>
            </w:tcBorders>
            <w:shd w:val="clear" w:color="auto" w:fill="auto"/>
            <w:vAlign w:val="center"/>
          </w:tcPr>
          <w:p>
            <w:pPr>
              <w:jc w:val="center"/>
              <w:rPr>
                <w:color w:val="000000"/>
              </w:rPr>
            </w:pPr>
            <w:r>
              <w:rPr>
                <w:color w:val="000000"/>
              </w:rPr>
              <w:t>B73 HiFi reads</w:t>
            </w:r>
          </w:p>
        </w:tc>
        <w:tc>
          <w:tcPr>
            <w:tcW w:w="1180" w:type="dxa"/>
            <w:tcBorders>
              <w:top w:val="nil"/>
              <w:left w:val="nil"/>
              <w:bottom w:val="nil"/>
              <w:right w:val="nil"/>
            </w:tcBorders>
            <w:shd w:val="clear" w:color="auto" w:fill="auto"/>
            <w:noWrap/>
            <w:vAlign w:val="bottom"/>
          </w:tcPr>
          <w:p>
            <w:pPr>
              <w:jc w:val="center"/>
              <w:rPr>
                <w:color w:val="000000"/>
              </w:rPr>
            </w:pPr>
            <w:r>
              <w:rPr>
                <w:color w:val="000000"/>
              </w:rPr>
              <w:t>0.002</w:t>
            </w:r>
          </w:p>
        </w:tc>
        <w:tc>
          <w:tcPr>
            <w:tcW w:w="1400" w:type="dxa"/>
            <w:tcBorders>
              <w:top w:val="nil"/>
              <w:left w:val="nil"/>
              <w:bottom w:val="nil"/>
              <w:right w:val="nil"/>
            </w:tcBorders>
            <w:shd w:val="clear" w:color="auto" w:fill="auto"/>
            <w:vAlign w:val="center"/>
          </w:tcPr>
          <w:p>
            <w:pPr>
              <w:jc w:val="center"/>
              <w:rPr>
                <w:color w:val="000000"/>
              </w:rPr>
            </w:pPr>
            <w:r>
              <w:rPr>
                <w:color w:val="000000"/>
              </w:rPr>
              <w:t>9,042,308</w:t>
            </w:r>
          </w:p>
        </w:tc>
        <w:tc>
          <w:tcPr>
            <w:tcW w:w="1840" w:type="dxa"/>
            <w:tcBorders>
              <w:top w:val="nil"/>
              <w:left w:val="nil"/>
              <w:bottom w:val="nil"/>
              <w:right w:val="nil"/>
            </w:tcBorders>
            <w:shd w:val="clear" w:color="auto" w:fill="auto"/>
            <w:vAlign w:val="center"/>
          </w:tcPr>
          <w:p>
            <w:pPr>
              <w:jc w:val="center"/>
              <w:rPr>
                <w:color w:val="000000"/>
              </w:rPr>
            </w:pPr>
            <w:r>
              <w:rPr>
                <w:color w:val="000000"/>
              </w:rPr>
              <w:t>126,261,011,397</w:t>
            </w:r>
          </w:p>
        </w:tc>
        <w:tc>
          <w:tcPr>
            <w:tcW w:w="1500" w:type="dxa"/>
            <w:tcBorders>
              <w:top w:val="nil"/>
              <w:left w:val="nil"/>
              <w:bottom w:val="nil"/>
              <w:right w:val="nil"/>
            </w:tcBorders>
            <w:shd w:val="clear" w:color="auto" w:fill="auto"/>
            <w:vAlign w:val="center"/>
          </w:tcPr>
          <w:p>
            <w:pPr>
              <w:jc w:val="center"/>
              <w:rPr>
                <w:color w:val="000000"/>
              </w:rPr>
            </w:pPr>
            <w:r>
              <w:rPr>
                <w:color w:val="000000"/>
              </w:rPr>
              <w:t>13,963</w:t>
            </w:r>
          </w:p>
        </w:tc>
      </w:tr>
      <w:tr>
        <w:tblPrEx>
          <w:tblCellMar>
            <w:top w:w="0" w:type="dxa"/>
            <w:left w:w="108" w:type="dxa"/>
            <w:bottom w:w="0" w:type="dxa"/>
            <w:right w:w="108" w:type="dxa"/>
          </w:tblCellMar>
        </w:tblPrEx>
        <w:trPr>
          <w:trHeight w:val="340" w:hRule="atLeast"/>
          <w:jc w:val="center"/>
        </w:trPr>
        <w:tc>
          <w:tcPr>
            <w:tcW w:w="2060" w:type="dxa"/>
            <w:tcBorders>
              <w:top w:val="nil"/>
              <w:left w:val="nil"/>
              <w:bottom w:val="nil"/>
              <w:right w:val="nil"/>
            </w:tcBorders>
            <w:shd w:val="clear" w:color="auto" w:fill="auto"/>
            <w:vAlign w:val="center"/>
          </w:tcPr>
          <w:p>
            <w:pPr>
              <w:jc w:val="center"/>
              <w:rPr>
                <w:color w:val="000000"/>
              </w:rPr>
            </w:pPr>
            <w:r>
              <w:rPr>
                <w:color w:val="000000"/>
              </w:rPr>
              <w:t>SK HiFi reads</w:t>
            </w:r>
          </w:p>
        </w:tc>
        <w:tc>
          <w:tcPr>
            <w:tcW w:w="1180" w:type="dxa"/>
            <w:tcBorders>
              <w:top w:val="nil"/>
              <w:left w:val="nil"/>
              <w:bottom w:val="nil"/>
              <w:right w:val="nil"/>
            </w:tcBorders>
            <w:shd w:val="clear" w:color="auto" w:fill="auto"/>
            <w:noWrap/>
            <w:vAlign w:val="bottom"/>
          </w:tcPr>
          <w:p>
            <w:pPr>
              <w:jc w:val="center"/>
              <w:rPr>
                <w:color w:val="000000"/>
              </w:rPr>
            </w:pPr>
            <w:r>
              <w:rPr>
                <w:color w:val="000000"/>
              </w:rPr>
              <w:t>0.002</w:t>
            </w:r>
          </w:p>
        </w:tc>
        <w:tc>
          <w:tcPr>
            <w:tcW w:w="1400" w:type="dxa"/>
            <w:tcBorders>
              <w:top w:val="nil"/>
              <w:left w:val="nil"/>
              <w:bottom w:val="nil"/>
              <w:right w:val="nil"/>
            </w:tcBorders>
            <w:shd w:val="clear" w:color="auto" w:fill="auto"/>
            <w:vAlign w:val="center"/>
          </w:tcPr>
          <w:p>
            <w:pPr>
              <w:jc w:val="center"/>
              <w:rPr>
                <w:color w:val="000000"/>
              </w:rPr>
            </w:pPr>
            <w:r>
              <w:rPr>
                <w:color w:val="000000"/>
              </w:rPr>
              <w:t>9,255,246</w:t>
            </w:r>
          </w:p>
        </w:tc>
        <w:tc>
          <w:tcPr>
            <w:tcW w:w="1840" w:type="dxa"/>
            <w:tcBorders>
              <w:top w:val="nil"/>
              <w:left w:val="nil"/>
              <w:bottom w:val="nil"/>
              <w:right w:val="nil"/>
            </w:tcBorders>
            <w:shd w:val="clear" w:color="auto" w:fill="auto"/>
            <w:vAlign w:val="center"/>
          </w:tcPr>
          <w:p>
            <w:pPr>
              <w:jc w:val="center"/>
              <w:rPr>
                <w:color w:val="000000"/>
              </w:rPr>
            </w:pPr>
            <w:r>
              <w:rPr>
                <w:color w:val="000000"/>
              </w:rPr>
              <w:t>129,233,929,145</w:t>
            </w:r>
          </w:p>
        </w:tc>
        <w:tc>
          <w:tcPr>
            <w:tcW w:w="1500" w:type="dxa"/>
            <w:tcBorders>
              <w:top w:val="nil"/>
              <w:left w:val="nil"/>
              <w:bottom w:val="nil"/>
              <w:right w:val="nil"/>
            </w:tcBorders>
            <w:shd w:val="clear" w:color="auto" w:fill="auto"/>
            <w:vAlign w:val="center"/>
          </w:tcPr>
          <w:p>
            <w:pPr>
              <w:jc w:val="center"/>
              <w:rPr>
                <w:color w:val="000000"/>
              </w:rPr>
            </w:pPr>
            <w:r>
              <w:rPr>
                <w:color w:val="000000"/>
              </w:rPr>
              <w:t>13,963</w:t>
            </w:r>
          </w:p>
        </w:tc>
      </w:tr>
      <w:tr>
        <w:tblPrEx>
          <w:tblCellMar>
            <w:top w:w="0" w:type="dxa"/>
            <w:left w:w="108" w:type="dxa"/>
            <w:bottom w:w="0" w:type="dxa"/>
            <w:right w:w="108" w:type="dxa"/>
          </w:tblCellMar>
        </w:tblPrEx>
        <w:trPr>
          <w:trHeight w:val="320" w:hRule="atLeast"/>
          <w:jc w:val="center"/>
        </w:trPr>
        <w:tc>
          <w:tcPr>
            <w:tcW w:w="2060" w:type="dxa"/>
            <w:tcBorders>
              <w:top w:val="nil"/>
              <w:left w:val="nil"/>
              <w:bottom w:val="nil"/>
              <w:right w:val="nil"/>
            </w:tcBorders>
            <w:shd w:val="clear" w:color="auto" w:fill="auto"/>
            <w:noWrap/>
            <w:vAlign w:val="bottom"/>
          </w:tcPr>
          <w:p>
            <w:pPr>
              <w:jc w:val="center"/>
              <w:rPr>
                <w:color w:val="000000"/>
              </w:rPr>
            </w:pPr>
            <w:r>
              <w:rPr>
                <w:color w:val="000000"/>
              </w:rPr>
              <w:t>B73 short reads</w:t>
            </w:r>
          </w:p>
        </w:tc>
        <w:tc>
          <w:tcPr>
            <w:tcW w:w="1180" w:type="dxa"/>
            <w:tcBorders>
              <w:top w:val="nil"/>
              <w:left w:val="nil"/>
              <w:bottom w:val="nil"/>
              <w:right w:val="nil"/>
            </w:tcBorders>
            <w:shd w:val="clear" w:color="auto" w:fill="auto"/>
            <w:noWrap/>
            <w:vAlign w:val="bottom"/>
          </w:tcPr>
          <w:p>
            <w:pPr>
              <w:jc w:val="center"/>
              <w:rPr>
                <w:color w:val="000000"/>
              </w:rPr>
            </w:pPr>
            <w:r>
              <w:rPr>
                <w:color w:val="000000"/>
              </w:rPr>
              <w:t>0.01</w:t>
            </w:r>
          </w:p>
        </w:tc>
        <w:tc>
          <w:tcPr>
            <w:tcW w:w="1400" w:type="dxa"/>
            <w:tcBorders>
              <w:top w:val="nil"/>
              <w:left w:val="nil"/>
              <w:bottom w:val="nil"/>
              <w:right w:val="nil"/>
            </w:tcBorders>
            <w:shd w:val="clear" w:color="auto" w:fill="auto"/>
            <w:vAlign w:val="center"/>
          </w:tcPr>
          <w:p>
            <w:pPr>
              <w:jc w:val="center"/>
              <w:rPr>
                <w:color w:val="000000"/>
              </w:rPr>
            </w:pPr>
            <w:r>
              <w:rPr>
                <w:color w:val="000000"/>
              </w:rPr>
              <w:t>600,000,000</w:t>
            </w:r>
          </w:p>
        </w:tc>
        <w:tc>
          <w:tcPr>
            <w:tcW w:w="1840" w:type="dxa"/>
            <w:tcBorders>
              <w:top w:val="nil"/>
              <w:left w:val="nil"/>
              <w:bottom w:val="nil"/>
              <w:right w:val="nil"/>
            </w:tcBorders>
            <w:shd w:val="clear" w:color="auto" w:fill="auto"/>
            <w:vAlign w:val="center"/>
          </w:tcPr>
          <w:p>
            <w:pPr>
              <w:jc w:val="center"/>
              <w:rPr>
                <w:color w:val="000000"/>
              </w:rPr>
            </w:pPr>
            <w:r>
              <w:rPr>
                <w:color w:val="000000"/>
              </w:rPr>
              <w:t>90,000,000,000</w:t>
            </w:r>
          </w:p>
        </w:tc>
        <w:tc>
          <w:tcPr>
            <w:tcW w:w="1500" w:type="dxa"/>
            <w:tcBorders>
              <w:top w:val="nil"/>
              <w:left w:val="nil"/>
              <w:bottom w:val="nil"/>
              <w:right w:val="nil"/>
            </w:tcBorders>
            <w:shd w:val="clear" w:color="auto" w:fill="auto"/>
            <w:noWrap/>
            <w:vAlign w:val="bottom"/>
          </w:tcPr>
          <w:p>
            <w:pPr>
              <w:jc w:val="center"/>
              <w:rPr>
                <w:color w:val="000000"/>
              </w:rPr>
            </w:pPr>
            <w:r>
              <w:rPr>
                <w:color w:val="000000"/>
              </w:rPr>
              <w:t>150</w:t>
            </w:r>
          </w:p>
        </w:tc>
      </w:tr>
      <w:tr>
        <w:tblPrEx>
          <w:tblCellMar>
            <w:top w:w="0" w:type="dxa"/>
            <w:left w:w="108" w:type="dxa"/>
            <w:bottom w:w="0" w:type="dxa"/>
            <w:right w:w="108" w:type="dxa"/>
          </w:tblCellMar>
        </w:tblPrEx>
        <w:trPr>
          <w:trHeight w:val="340" w:hRule="atLeast"/>
          <w:jc w:val="center"/>
        </w:trPr>
        <w:tc>
          <w:tcPr>
            <w:tcW w:w="2060" w:type="dxa"/>
            <w:tcBorders>
              <w:top w:val="nil"/>
              <w:left w:val="nil"/>
              <w:bottom w:val="single" w:color="auto" w:sz="8" w:space="0"/>
              <w:right w:val="nil"/>
            </w:tcBorders>
            <w:shd w:val="clear" w:color="auto" w:fill="auto"/>
            <w:noWrap/>
            <w:vAlign w:val="bottom"/>
          </w:tcPr>
          <w:p>
            <w:pPr>
              <w:jc w:val="center"/>
              <w:rPr>
                <w:color w:val="000000"/>
              </w:rPr>
            </w:pPr>
            <w:r>
              <w:rPr>
                <w:color w:val="000000"/>
              </w:rPr>
              <w:t>SK short reads</w:t>
            </w:r>
          </w:p>
        </w:tc>
        <w:tc>
          <w:tcPr>
            <w:tcW w:w="1180" w:type="dxa"/>
            <w:tcBorders>
              <w:top w:val="nil"/>
              <w:left w:val="nil"/>
              <w:bottom w:val="single" w:color="auto" w:sz="8" w:space="0"/>
              <w:right w:val="nil"/>
            </w:tcBorders>
            <w:shd w:val="clear" w:color="auto" w:fill="auto"/>
            <w:noWrap/>
            <w:vAlign w:val="bottom"/>
          </w:tcPr>
          <w:p>
            <w:pPr>
              <w:jc w:val="center"/>
              <w:rPr>
                <w:color w:val="000000"/>
              </w:rPr>
            </w:pPr>
            <w:r>
              <w:rPr>
                <w:color w:val="000000"/>
              </w:rPr>
              <w:t>0.01</w:t>
            </w:r>
          </w:p>
        </w:tc>
        <w:tc>
          <w:tcPr>
            <w:tcW w:w="1400" w:type="dxa"/>
            <w:tcBorders>
              <w:top w:val="nil"/>
              <w:left w:val="nil"/>
              <w:bottom w:val="single" w:color="auto" w:sz="8" w:space="0"/>
              <w:right w:val="nil"/>
            </w:tcBorders>
            <w:shd w:val="clear" w:color="auto" w:fill="auto"/>
            <w:vAlign w:val="center"/>
          </w:tcPr>
          <w:p>
            <w:pPr>
              <w:jc w:val="center"/>
              <w:rPr>
                <w:color w:val="000000"/>
              </w:rPr>
            </w:pPr>
            <w:r>
              <w:rPr>
                <w:color w:val="000000"/>
              </w:rPr>
              <w:t>600,000,000</w:t>
            </w:r>
          </w:p>
        </w:tc>
        <w:tc>
          <w:tcPr>
            <w:tcW w:w="1840" w:type="dxa"/>
            <w:tcBorders>
              <w:top w:val="nil"/>
              <w:left w:val="nil"/>
              <w:bottom w:val="single" w:color="auto" w:sz="8" w:space="0"/>
              <w:right w:val="nil"/>
            </w:tcBorders>
            <w:shd w:val="clear" w:color="auto" w:fill="auto"/>
            <w:vAlign w:val="center"/>
          </w:tcPr>
          <w:p>
            <w:pPr>
              <w:jc w:val="center"/>
              <w:rPr>
                <w:color w:val="000000"/>
              </w:rPr>
            </w:pPr>
            <w:r>
              <w:rPr>
                <w:color w:val="000000"/>
              </w:rPr>
              <w:t>90,000,000,000</w:t>
            </w:r>
          </w:p>
        </w:tc>
        <w:tc>
          <w:tcPr>
            <w:tcW w:w="1500" w:type="dxa"/>
            <w:tcBorders>
              <w:top w:val="nil"/>
              <w:left w:val="nil"/>
              <w:bottom w:val="single" w:color="auto" w:sz="8" w:space="0"/>
              <w:right w:val="nil"/>
            </w:tcBorders>
            <w:shd w:val="clear" w:color="auto" w:fill="auto"/>
            <w:noWrap/>
            <w:vAlign w:val="bottom"/>
          </w:tcPr>
          <w:p>
            <w:pPr>
              <w:jc w:val="center"/>
              <w:rPr>
                <w:color w:val="000000"/>
              </w:rPr>
            </w:pPr>
            <w:r>
              <w:rPr>
                <w:color w:val="000000"/>
              </w:rPr>
              <w:t>150</w:t>
            </w:r>
          </w:p>
        </w:tc>
      </w:tr>
    </w:tbl>
    <w:p>
      <w:pPr>
        <w:jc w:val="center"/>
      </w:pPr>
    </w:p>
    <w:p>
      <w:r>
        <w:br w:type="page"/>
      </w:r>
    </w:p>
    <w:p>
      <w:r>
        <w:rPr>
          <w:b/>
          <w:bCs/>
        </w:rPr>
        <w:t xml:space="preserve">Supplementary Table </w:t>
      </w:r>
      <w:r>
        <w:rPr>
          <w:rFonts w:hint="eastAsia" w:eastAsia="宋体"/>
          <w:b/>
          <w:bCs/>
        </w:rPr>
        <w:t>2</w:t>
      </w:r>
      <w:r>
        <w:rPr>
          <w:b/>
          <w:bCs/>
        </w:rPr>
        <w:t>.</w:t>
      </w:r>
      <w:r>
        <w:t xml:space="preserve"> Statistics of sequencing reads of gamete cells.</w:t>
      </w:r>
    </w:p>
    <w:p>
      <w:pPr>
        <w:jc w:val="center"/>
      </w:pPr>
    </w:p>
    <w:tbl>
      <w:tblPr>
        <w:tblStyle w:val="5"/>
        <w:tblW w:w="7712" w:type="dxa"/>
        <w:jc w:val="center"/>
        <w:tblLayout w:type="autofit"/>
        <w:tblCellMar>
          <w:top w:w="0" w:type="dxa"/>
          <w:left w:w="0" w:type="dxa"/>
          <w:bottom w:w="0" w:type="dxa"/>
          <w:right w:w="0" w:type="dxa"/>
        </w:tblCellMar>
      </w:tblPr>
      <w:tblGrid>
        <w:gridCol w:w="1114"/>
        <w:gridCol w:w="1653"/>
        <w:gridCol w:w="1646"/>
        <w:gridCol w:w="1653"/>
        <w:gridCol w:w="1646"/>
      </w:tblGrid>
      <w:tr>
        <w:tblPrEx>
          <w:tblCellMar>
            <w:top w:w="0" w:type="dxa"/>
            <w:left w:w="0" w:type="dxa"/>
            <w:bottom w:w="0" w:type="dxa"/>
            <w:right w:w="0" w:type="dxa"/>
          </w:tblCellMar>
        </w:tblPrEx>
        <w:trPr>
          <w:trHeight w:val="314" w:hRule="atLeast"/>
          <w:jc w:val="center"/>
        </w:trPr>
        <w:tc>
          <w:tcPr>
            <w:tcW w:w="1114" w:type="dxa"/>
            <w:vMerge w:val="restart"/>
            <w:tcBorders>
              <w:top w:val="single" w:color="auto" w:sz="8" w:space="0"/>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Sample</w:t>
            </w:r>
          </w:p>
        </w:tc>
        <w:tc>
          <w:tcPr>
            <w:tcW w:w="3299" w:type="dxa"/>
            <w:gridSpan w:val="2"/>
            <w:tcBorders>
              <w:top w:val="single" w:color="auto" w:sz="8" w:space="0"/>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Raw reads</w:t>
            </w:r>
          </w:p>
        </w:tc>
        <w:tc>
          <w:tcPr>
            <w:tcW w:w="3299" w:type="dxa"/>
            <w:gridSpan w:val="2"/>
            <w:tcBorders>
              <w:top w:val="single" w:color="auto" w:sz="8" w:space="0"/>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Clean reads</w:t>
            </w:r>
          </w:p>
        </w:tc>
      </w:tr>
      <w:tr>
        <w:tblPrEx>
          <w:tblCellMar>
            <w:top w:w="0" w:type="dxa"/>
            <w:left w:w="0" w:type="dxa"/>
            <w:bottom w:w="0" w:type="dxa"/>
            <w:right w:w="0" w:type="dxa"/>
          </w:tblCellMar>
        </w:tblPrEx>
        <w:trPr>
          <w:trHeight w:val="314" w:hRule="atLeast"/>
          <w:jc w:val="center"/>
        </w:trPr>
        <w:tc>
          <w:tcPr>
            <w:tcW w:w="0" w:type="auto"/>
            <w:vMerge w:val="continue"/>
            <w:tcBorders>
              <w:top w:val="single" w:color="auto" w:sz="8" w:space="0"/>
              <w:left w:val="nil"/>
              <w:bottom w:val="single" w:color="auto" w:sz="8" w:space="0"/>
              <w:right w:val="nil"/>
            </w:tcBorders>
            <w:vAlign w:val="center"/>
          </w:tcPr>
          <w:p>
            <w:pPr>
              <w:jc w:val="center"/>
              <w:rPr>
                <w:color w:val="000000"/>
              </w:rPr>
            </w:pPr>
          </w:p>
        </w:tc>
        <w:tc>
          <w:tcPr>
            <w:tcW w:w="0" w:type="auto"/>
            <w:tcBorders>
              <w:top w:val="nil"/>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Count (million)</w:t>
            </w:r>
          </w:p>
        </w:tc>
        <w:tc>
          <w:tcPr>
            <w:tcW w:w="0" w:type="auto"/>
            <w:tcBorders>
              <w:top w:val="nil"/>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Read base (Gb)</w:t>
            </w:r>
          </w:p>
        </w:tc>
        <w:tc>
          <w:tcPr>
            <w:tcW w:w="0" w:type="auto"/>
            <w:tcBorders>
              <w:top w:val="nil"/>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Count (million)</w:t>
            </w:r>
          </w:p>
        </w:tc>
        <w:tc>
          <w:tcPr>
            <w:tcW w:w="0" w:type="auto"/>
            <w:tcBorders>
              <w:top w:val="nil"/>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Read base (Gb)</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399.1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59.9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375.1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55.2</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415.2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389.8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57.4</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417.6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401.8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59.4</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384.6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56.8</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393.3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59.0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379.4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55.9</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415.1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401.5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59.2</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75.1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488.9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72.5</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494.2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74.1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482.8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71.6</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523.0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78.5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510.8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75.7</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523.9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78.6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512.4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76.0</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493.3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74.0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471.6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69.6</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518.8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77.8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497.9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73.5</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369.4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55.4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344.2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50.5</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380.7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57.1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355.4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52.2</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345.3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51.8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321.3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47.2</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338.0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317.1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46.6</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508.9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76.3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492.2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72.7</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501.0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75.2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487.3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72.1</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S19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457.6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68.6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443.2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65.5</w:t>
            </w:r>
          </w:p>
        </w:tc>
      </w:tr>
      <w:tr>
        <w:tblPrEx>
          <w:tblCellMar>
            <w:top w:w="0" w:type="dxa"/>
            <w:left w:w="0" w:type="dxa"/>
            <w:bottom w:w="0" w:type="dxa"/>
            <w:right w:w="0" w:type="dxa"/>
          </w:tblCellMar>
        </w:tblPrEx>
        <w:trPr>
          <w:trHeight w:val="314"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483.9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469.1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69.3</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437.0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65.5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421.3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62.1</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382.9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57.4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368.3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54.3</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376.6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56.5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364.2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53.7</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443.0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66.5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429.7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63.5</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394.1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59.1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379.6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56.1</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326.3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48.9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314.0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46.4</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482.0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72.3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468.0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69.3</w:t>
            </w:r>
          </w:p>
        </w:tc>
      </w:tr>
      <w:tr>
        <w:tblPrEx>
          <w:tblCellMar>
            <w:top w:w="0" w:type="dxa"/>
            <w:left w:w="0" w:type="dxa"/>
            <w:bottom w:w="0" w:type="dxa"/>
            <w:right w:w="0" w:type="dxa"/>
          </w:tblCellMar>
        </w:tblPrEx>
        <w:trPr>
          <w:trHeight w:val="90"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371.4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55.7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359.8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53.3</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S29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429.3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64.4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415.6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61.5</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413.6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62.0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398.6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58.8</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413.8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62.1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59.2</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463.6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69.5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449.3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66.5</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289.0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43.4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270.9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39.6</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366.5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55.0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346.7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50.7</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307.9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46.2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289.1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42.3</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337.8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319.1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46.7</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404.7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392.1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58.0</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463.8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69.6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448.8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66.3</w:t>
            </w:r>
          </w:p>
        </w:tc>
      </w:tr>
      <w:tr>
        <w:tblPrEx>
          <w:tblCellMar>
            <w:top w:w="0" w:type="dxa"/>
            <w:left w:w="0" w:type="dxa"/>
            <w:bottom w:w="0" w:type="dxa"/>
            <w:right w:w="0" w:type="dxa"/>
          </w:tblCellMar>
        </w:tblPrEx>
        <w:trPr>
          <w:trHeight w:val="295" w:hRule="atLeast"/>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S39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393.2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59.0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379.1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56.0</w:t>
            </w:r>
          </w:p>
        </w:tc>
      </w:tr>
      <w:tr>
        <w:tblPrEx>
          <w:tblCellMar>
            <w:top w:w="0" w:type="dxa"/>
            <w:left w:w="0" w:type="dxa"/>
            <w:bottom w:w="0" w:type="dxa"/>
            <w:right w:w="0" w:type="dxa"/>
          </w:tblCellMar>
        </w:tblPrEx>
        <w:trPr>
          <w:trHeight w:val="314" w:hRule="atLeast"/>
          <w:jc w:val="center"/>
        </w:trPr>
        <w:tc>
          <w:tcPr>
            <w:tcW w:w="0" w:type="auto"/>
            <w:tcBorders>
              <w:top w:val="nil"/>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S40</w:t>
            </w:r>
          </w:p>
        </w:tc>
        <w:tc>
          <w:tcPr>
            <w:tcW w:w="0" w:type="auto"/>
            <w:tcBorders>
              <w:top w:val="nil"/>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455.8</w:t>
            </w:r>
          </w:p>
        </w:tc>
        <w:tc>
          <w:tcPr>
            <w:tcW w:w="0" w:type="auto"/>
            <w:tcBorders>
              <w:top w:val="nil"/>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68.4</w:t>
            </w:r>
          </w:p>
        </w:tc>
        <w:tc>
          <w:tcPr>
            <w:tcW w:w="0" w:type="auto"/>
            <w:tcBorders>
              <w:top w:val="nil"/>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438.4</w:t>
            </w:r>
          </w:p>
        </w:tc>
        <w:tc>
          <w:tcPr>
            <w:tcW w:w="0" w:type="auto"/>
            <w:tcBorders>
              <w:top w:val="nil"/>
              <w:left w:val="nil"/>
              <w:bottom w:val="single" w:color="auto" w:sz="8" w:space="0"/>
              <w:right w:val="nil"/>
            </w:tcBorders>
            <w:shd w:val="clear" w:color="auto" w:fill="auto"/>
            <w:noWrap/>
            <w:tcMar>
              <w:top w:w="15" w:type="dxa"/>
              <w:left w:w="15" w:type="dxa"/>
              <w:bottom w:w="0" w:type="dxa"/>
              <w:right w:w="15" w:type="dxa"/>
            </w:tcMar>
            <w:vAlign w:val="center"/>
          </w:tcPr>
          <w:p>
            <w:pPr>
              <w:jc w:val="center"/>
              <w:rPr>
                <w:color w:val="000000"/>
              </w:rPr>
            </w:pPr>
            <w:r>
              <w:rPr>
                <w:color w:val="000000"/>
              </w:rPr>
              <w:t>64.7</w:t>
            </w:r>
          </w:p>
        </w:tc>
      </w:tr>
    </w:tbl>
    <w:p>
      <w:pPr>
        <w:jc w:val="center"/>
      </w:pPr>
    </w:p>
    <w:p>
      <w:r>
        <w:rPr>
          <w:b/>
          <w:bCs/>
        </w:rPr>
        <w:t xml:space="preserve">Supplementary Table </w:t>
      </w:r>
      <w:r>
        <w:rPr>
          <w:rFonts w:hint="eastAsia" w:eastAsia="宋体"/>
          <w:b/>
          <w:bCs/>
        </w:rPr>
        <w:t>3</w:t>
      </w:r>
      <w:r>
        <w:t>. Statistics of Hi-C sequencing reads.</w:t>
      </w:r>
    </w:p>
    <w:p>
      <w:pPr>
        <w:jc w:val="center"/>
      </w:pPr>
    </w:p>
    <w:tbl>
      <w:tblPr>
        <w:tblStyle w:val="5"/>
        <w:tblW w:w="7371" w:type="dxa"/>
        <w:jc w:val="center"/>
        <w:tblLayout w:type="autofit"/>
        <w:tblCellMar>
          <w:top w:w="0" w:type="dxa"/>
          <w:left w:w="108" w:type="dxa"/>
          <w:bottom w:w="0" w:type="dxa"/>
          <w:right w:w="108" w:type="dxa"/>
        </w:tblCellMar>
      </w:tblPr>
      <w:tblGrid>
        <w:gridCol w:w="2268"/>
        <w:gridCol w:w="2292"/>
        <w:gridCol w:w="2811"/>
      </w:tblGrid>
      <w:tr>
        <w:trPr>
          <w:trHeight w:val="340" w:hRule="atLeast"/>
          <w:jc w:val="center"/>
        </w:trPr>
        <w:tc>
          <w:tcPr>
            <w:tcW w:w="2268" w:type="dxa"/>
            <w:tcBorders>
              <w:top w:val="single" w:color="auto" w:sz="8" w:space="0"/>
              <w:left w:val="nil"/>
              <w:bottom w:val="single" w:color="auto" w:sz="8" w:space="0"/>
              <w:right w:val="nil"/>
            </w:tcBorders>
            <w:shd w:val="clear" w:color="auto" w:fill="auto"/>
            <w:noWrap/>
            <w:vAlign w:val="center"/>
          </w:tcPr>
          <w:p>
            <w:pPr>
              <w:jc w:val="center"/>
              <w:rPr>
                <w:b/>
                <w:bCs/>
                <w:color w:val="000000"/>
              </w:rPr>
            </w:pPr>
            <w:r>
              <w:rPr>
                <w:b/>
                <w:bCs/>
                <w:color w:val="000000"/>
              </w:rPr>
              <w:t>Tissue</w:t>
            </w:r>
          </w:p>
        </w:tc>
        <w:tc>
          <w:tcPr>
            <w:tcW w:w="2292" w:type="dxa"/>
            <w:tcBorders>
              <w:top w:val="single" w:color="auto" w:sz="8" w:space="0"/>
              <w:left w:val="nil"/>
              <w:bottom w:val="single" w:color="auto" w:sz="8" w:space="0"/>
              <w:right w:val="nil"/>
            </w:tcBorders>
            <w:shd w:val="clear" w:color="auto" w:fill="auto"/>
            <w:noWrap/>
            <w:vAlign w:val="center"/>
          </w:tcPr>
          <w:p>
            <w:pPr>
              <w:jc w:val="center"/>
              <w:rPr>
                <w:b/>
                <w:bCs/>
                <w:color w:val="000000"/>
              </w:rPr>
            </w:pPr>
            <w:r>
              <w:rPr>
                <w:b/>
                <w:bCs/>
                <w:color w:val="000000"/>
              </w:rPr>
              <w:t>Total read pair</w:t>
            </w:r>
          </w:p>
        </w:tc>
        <w:tc>
          <w:tcPr>
            <w:tcW w:w="2811" w:type="dxa"/>
            <w:tcBorders>
              <w:top w:val="single" w:color="auto" w:sz="8" w:space="0"/>
              <w:left w:val="nil"/>
              <w:bottom w:val="single" w:color="auto" w:sz="8" w:space="0"/>
              <w:right w:val="nil"/>
            </w:tcBorders>
            <w:shd w:val="clear" w:color="auto" w:fill="auto"/>
            <w:noWrap/>
            <w:vAlign w:val="center"/>
          </w:tcPr>
          <w:p>
            <w:pPr>
              <w:jc w:val="center"/>
              <w:rPr>
                <w:b/>
                <w:bCs/>
                <w:color w:val="000000"/>
              </w:rPr>
            </w:pPr>
            <w:r>
              <w:rPr>
                <w:b/>
                <w:bCs/>
                <w:color w:val="000000"/>
              </w:rPr>
              <w:t>Total read length (bp)</w:t>
            </w:r>
          </w:p>
        </w:tc>
      </w:tr>
      <w:tr>
        <w:tblPrEx>
          <w:tblCellMar>
            <w:top w:w="0" w:type="dxa"/>
            <w:left w:w="108" w:type="dxa"/>
            <w:bottom w:w="0" w:type="dxa"/>
            <w:right w:w="108" w:type="dxa"/>
          </w:tblCellMar>
        </w:tblPrEx>
        <w:trPr>
          <w:trHeight w:val="340" w:hRule="atLeast"/>
          <w:jc w:val="center"/>
        </w:trPr>
        <w:tc>
          <w:tcPr>
            <w:tcW w:w="2268" w:type="dxa"/>
            <w:tcBorders>
              <w:top w:val="nil"/>
              <w:left w:val="nil"/>
              <w:bottom w:val="single" w:color="auto" w:sz="8" w:space="0"/>
              <w:right w:val="nil"/>
            </w:tcBorders>
            <w:shd w:val="clear" w:color="auto" w:fill="auto"/>
            <w:noWrap/>
            <w:vAlign w:val="center"/>
          </w:tcPr>
          <w:p>
            <w:pPr>
              <w:jc w:val="center"/>
              <w:rPr>
                <w:color w:val="000000"/>
              </w:rPr>
            </w:pPr>
            <w:r>
              <w:rPr>
                <w:color w:val="000000"/>
              </w:rPr>
              <w:t>R</w:t>
            </w:r>
            <w:r>
              <w:rPr>
                <w:rFonts w:hint="eastAsia"/>
                <w:color w:val="000000"/>
              </w:rPr>
              <w:t>o</w:t>
            </w:r>
            <w:r>
              <w:rPr>
                <w:color w:val="000000"/>
              </w:rPr>
              <w:t>ots</w:t>
            </w:r>
          </w:p>
        </w:tc>
        <w:tc>
          <w:tcPr>
            <w:tcW w:w="2292" w:type="dxa"/>
            <w:tcBorders>
              <w:top w:val="nil"/>
              <w:left w:val="nil"/>
              <w:bottom w:val="single" w:color="auto" w:sz="8" w:space="0"/>
              <w:right w:val="nil"/>
            </w:tcBorders>
            <w:shd w:val="clear" w:color="auto" w:fill="auto"/>
            <w:noWrap/>
            <w:vAlign w:val="center"/>
          </w:tcPr>
          <w:p>
            <w:pPr>
              <w:jc w:val="center"/>
              <w:rPr>
                <w:color w:val="000000"/>
              </w:rPr>
            </w:pPr>
            <w:r>
              <w:rPr>
                <w:color w:val="000000"/>
              </w:rPr>
              <w:t>1,423,190,273</w:t>
            </w:r>
          </w:p>
        </w:tc>
        <w:tc>
          <w:tcPr>
            <w:tcW w:w="2811" w:type="dxa"/>
            <w:tcBorders>
              <w:top w:val="nil"/>
              <w:left w:val="nil"/>
              <w:bottom w:val="single" w:color="auto" w:sz="8" w:space="0"/>
              <w:right w:val="nil"/>
            </w:tcBorders>
            <w:shd w:val="clear" w:color="auto" w:fill="auto"/>
            <w:noWrap/>
            <w:vAlign w:val="center"/>
          </w:tcPr>
          <w:p>
            <w:pPr>
              <w:jc w:val="center"/>
              <w:rPr>
                <w:color w:val="000000"/>
              </w:rPr>
            </w:pPr>
            <w:r>
              <w:rPr>
                <w:color w:val="000000"/>
              </w:rPr>
              <w:t>426,957,081,900</w:t>
            </w:r>
          </w:p>
        </w:tc>
      </w:tr>
    </w:tbl>
    <w:p>
      <w:pPr>
        <w:jc w:val="center"/>
      </w:pPr>
    </w:p>
    <w:p>
      <w:r>
        <w:rPr>
          <w:b/>
          <w:bCs/>
        </w:rPr>
        <w:t>Supplementary Table 4</w:t>
      </w:r>
      <w:r>
        <w:t xml:space="preserve">. Purge haplotigs </w:t>
      </w:r>
      <w:r>
        <w:rPr>
          <w:rFonts w:hint="eastAsia"/>
        </w:rPr>
        <w:t>from</w:t>
      </w:r>
      <w:r>
        <w:t xml:space="preserve"> FALCON </w:t>
      </w:r>
      <w:r>
        <w:rPr>
          <w:rFonts w:hint="eastAsia"/>
        </w:rPr>
        <w:t>primary</w:t>
      </w:r>
      <w:r>
        <w:t xml:space="preserve"> contigs.</w:t>
      </w:r>
    </w:p>
    <w:p>
      <w:pPr>
        <w:rPr>
          <w:sz w:val="21"/>
          <w:szCs w:val="21"/>
        </w:rPr>
      </w:pPr>
    </w:p>
    <w:tbl>
      <w:tblPr>
        <w:tblStyle w:val="5"/>
        <w:tblW w:w="8505" w:type="dxa"/>
        <w:jc w:val="center"/>
        <w:tblLayout w:type="autofit"/>
        <w:tblCellMar>
          <w:top w:w="0" w:type="dxa"/>
          <w:left w:w="108" w:type="dxa"/>
          <w:bottom w:w="0" w:type="dxa"/>
          <w:right w:w="108" w:type="dxa"/>
        </w:tblCellMar>
      </w:tblPr>
      <w:tblGrid>
        <w:gridCol w:w="1900"/>
        <w:gridCol w:w="2540"/>
        <w:gridCol w:w="1176"/>
        <w:gridCol w:w="1416"/>
        <w:gridCol w:w="1596"/>
      </w:tblGrid>
      <w:tr>
        <w:tblPrEx>
          <w:tblCellMar>
            <w:top w:w="0" w:type="dxa"/>
            <w:left w:w="108" w:type="dxa"/>
            <w:bottom w:w="0" w:type="dxa"/>
            <w:right w:w="108" w:type="dxa"/>
          </w:tblCellMar>
        </w:tblPrEx>
        <w:trPr>
          <w:trHeight w:val="320" w:hRule="atLeast"/>
          <w:jc w:val="center"/>
        </w:trPr>
        <w:tc>
          <w:tcPr>
            <w:tcW w:w="1900" w:type="dxa"/>
            <w:vMerge w:val="restart"/>
            <w:tcBorders>
              <w:top w:val="single" w:color="auto" w:sz="8" w:space="0"/>
              <w:left w:val="nil"/>
              <w:bottom w:val="single" w:color="000000" w:sz="8" w:space="0"/>
              <w:right w:val="nil"/>
            </w:tcBorders>
            <w:shd w:val="clear" w:color="auto" w:fill="auto"/>
            <w:noWrap/>
            <w:vAlign w:val="center"/>
          </w:tcPr>
          <w:p>
            <w:pPr>
              <w:jc w:val="center"/>
              <w:rPr>
                <w:b/>
                <w:bCs/>
                <w:color w:val="000000"/>
              </w:rPr>
            </w:pPr>
            <w:r>
              <w:rPr>
                <w:b/>
                <w:bCs/>
                <w:color w:val="000000"/>
              </w:rPr>
              <w:t>Contigs</w:t>
            </w:r>
          </w:p>
        </w:tc>
        <w:tc>
          <w:tcPr>
            <w:tcW w:w="2540" w:type="dxa"/>
            <w:vMerge w:val="restart"/>
            <w:tcBorders>
              <w:top w:val="single" w:color="auto" w:sz="8" w:space="0"/>
              <w:left w:val="nil"/>
              <w:bottom w:val="single" w:color="000000" w:sz="8" w:space="0"/>
              <w:right w:val="nil"/>
            </w:tcBorders>
            <w:shd w:val="clear" w:color="auto" w:fill="auto"/>
            <w:noWrap/>
            <w:vAlign w:val="center"/>
          </w:tcPr>
          <w:p>
            <w:pPr>
              <w:jc w:val="center"/>
              <w:rPr>
                <w:b/>
                <w:bCs/>
                <w:color w:val="000000"/>
              </w:rPr>
            </w:pPr>
            <w:r>
              <w:rPr>
                <w:rFonts w:hint="eastAsia"/>
                <w:b/>
                <w:bCs/>
                <w:color w:val="000000"/>
              </w:rPr>
              <w:t>P</w:t>
            </w:r>
            <w:r>
              <w:rPr>
                <w:b/>
                <w:bCs/>
                <w:color w:val="000000"/>
              </w:rPr>
              <w:t xml:space="preserve">rimary contigs </w:t>
            </w:r>
          </w:p>
        </w:tc>
        <w:tc>
          <w:tcPr>
            <w:tcW w:w="1176" w:type="dxa"/>
            <w:vMerge w:val="restart"/>
            <w:tcBorders>
              <w:top w:val="single" w:color="auto" w:sz="8" w:space="0"/>
              <w:left w:val="nil"/>
              <w:bottom w:val="single" w:color="000000" w:sz="8" w:space="0"/>
              <w:right w:val="nil"/>
            </w:tcBorders>
            <w:shd w:val="clear" w:color="auto" w:fill="auto"/>
            <w:noWrap/>
            <w:vAlign w:val="center"/>
          </w:tcPr>
          <w:p>
            <w:pPr>
              <w:jc w:val="center"/>
              <w:rPr>
                <w:b/>
                <w:bCs/>
                <w:color w:val="000000"/>
              </w:rPr>
            </w:pPr>
            <w:r>
              <w:rPr>
                <w:b/>
                <w:bCs/>
                <w:color w:val="000000"/>
              </w:rPr>
              <w:t>Artefacts</w:t>
            </w:r>
          </w:p>
        </w:tc>
        <w:tc>
          <w:tcPr>
            <w:tcW w:w="1416" w:type="dxa"/>
            <w:vMerge w:val="restart"/>
            <w:tcBorders>
              <w:top w:val="single" w:color="auto" w:sz="8" w:space="0"/>
              <w:left w:val="nil"/>
              <w:bottom w:val="single" w:color="000000" w:sz="8" w:space="0"/>
              <w:right w:val="nil"/>
            </w:tcBorders>
            <w:shd w:val="clear" w:color="auto" w:fill="auto"/>
            <w:noWrap/>
            <w:vAlign w:val="center"/>
          </w:tcPr>
          <w:p>
            <w:pPr>
              <w:jc w:val="center"/>
              <w:rPr>
                <w:b/>
                <w:bCs/>
                <w:color w:val="000000"/>
              </w:rPr>
            </w:pPr>
            <w:r>
              <w:rPr>
                <w:b/>
                <w:bCs/>
                <w:color w:val="000000"/>
              </w:rPr>
              <w:t>Haplotigs</w:t>
            </w:r>
          </w:p>
        </w:tc>
        <w:tc>
          <w:tcPr>
            <w:tcW w:w="1473" w:type="dxa"/>
            <w:vMerge w:val="restart"/>
            <w:tcBorders>
              <w:top w:val="single" w:color="auto" w:sz="8" w:space="0"/>
              <w:left w:val="nil"/>
              <w:bottom w:val="single" w:color="000000" w:sz="8" w:space="0"/>
              <w:right w:val="nil"/>
            </w:tcBorders>
            <w:shd w:val="clear" w:color="000000" w:fill="auto"/>
            <w:noWrap/>
            <w:vAlign w:val="center"/>
          </w:tcPr>
          <w:p>
            <w:pPr>
              <w:jc w:val="center"/>
              <w:rPr>
                <w:b/>
                <w:bCs/>
                <w:color w:val="000000"/>
              </w:rPr>
            </w:pPr>
            <w:r>
              <w:rPr>
                <w:b/>
                <w:bCs/>
                <w:color w:val="000000"/>
              </w:rPr>
              <w:t>Clean contigs</w:t>
            </w:r>
          </w:p>
        </w:tc>
      </w:tr>
      <w:tr>
        <w:tblPrEx>
          <w:tblCellMar>
            <w:top w:w="0" w:type="dxa"/>
            <w:left w:w="108" w:type="dxa"/>
            <w:bottom w:w="0" w:type="dxa"/>
            <w:right w:w="108" w:type="dxa"/>
          </w:tblCellMar>
        </w:tblPrEx>
        <w:trPr>
          <w:trHeight w:val="340" w:hRule="atLeast"/>
          <w:jc w:val="center"/>
        </w:trPr>
        <w:tc>
          <w:tcPr>
            <w:tcW w:w="1900" w:type="dxa"/>
            <w:vMerge w:val="continue"/>
            <w:tcBorders>
              <w:top w:val="single" w:color="auto" w:sz="8" w:space="0"/>
              <w:left w:val="nil"/>
              <w:bottom w:val="single" w:color="000000" w:sz="8" w:space="0"/>
              <w:right w:val="nil"/>
            </w:tcBorders>
            <w:vAlign w:val="center"/>
          </w:tcPr>
          <w:p>
            <w:pPr>
              <w:rPr>
                <w:color w:val="000000"/>
              </w:rPr>
            </w:pPr>
          </w:p>
        </w:tc>
        <w:tc>
          <w:tcPr>
            <w:tcW w:w="2540" w:type="dxa"/>
            <w:vMerge w:val="continue"/>
            <w:tcBorders>
              <w:top w:val="single" w:color="auto" w:sz="8" w:space="0"/>
              <w:left w:val="nil"/>
              <w:bottom w:val="single" w:color="000000" w:sz="8" w:space="0"/>
              <w:right w:val="nil"/>
            </w:tcBorders>
            <w:vAlign w:val="center"/>
          </w:tcPr>
          <w:p>
            <w:pPr>
              <w:rPr>
                <w:color w:val="000000"/>
              </w:rPr>
            </w:pPr>
          </w:p>
        </w:tc>
        <w:tc>
          <w:tcPr>
            <w:tcW w:w="1176" w:type="dxa"/>
            <w:vMerge w:val="continue"/>
            <w:tcBorders>
              <w:top w:val="single" w:color="auto" w:sz="8" w:space="0"/>
              <w:left w:val="nil"/>
              <w:bottom w:val="single" w:color="000000" w:sz="8" w:space="0"/>
              <w:right w:val="nil"/>
            </w:tcBorders>
            <w:vAlign w:val="center"/>
          </w:tcPr>
          <w:p>
            <w:pPr>
              <w:rPr>
                <w:color w:val="000000"/>
              </w:rPr>
            </w:pPr>
          </w:p>
        </w:tc>
        <w:tc>
          <w:tcPr>
            <w:tcW w:w="1416" w:type="dxa"/>
            <w:vMerge w:val="continue"/>
            <w:tcBorders>
              <w:top w:val="single" w:color="auto" w:sz="8" w:space="0"/>
              <w:left w:val="nil"/>
              <w:bottom w:val="single" w:color="000000" w:sz="8" w:space="0"/>
              <w:right w:val="nil"/>
            </w:tcBorders>
            <w:vAlign w:val="center"/>
          </w:tcPr>
          <w:p>
            <w:pPr>
              <w:rPr>
                <w:color w:val="000000"/>
              </w:rPr>
            </w:pPr>
          </w:p>
        </w:tc>
        <w:tc>
          <w:tcPr>
            <w:tcW w:w="1473" w:type="dxa"/>
            <w:vMerge w:val="continue"/>
            <w:tcBorders>
              <w:top w:val="single" w:color="auto" w:sz="8" w:space="0"/>
              <w:left w:val="nil"/>
              <w:bottom w:val="single" w:color="000000" w:sz="8" w:space="0"/>
              <w:right w:val="nil"/>
            </w:tcBorders>
            <w:shd w:val="clear" w:color="000000" w:fill="auto"/>
            <w:vAlign w:val="center"/>
          </w:tcPr>
          <w:p>
            <w:pPr>
              <w:rPr>
                <w:color w:val="000000"/>
              </w:rPr>
            </w:pPr>
          </w:p>
        </w:tc>
      </w:tr>
      <w:tr>
        <w:tblPrEx>
          <w:tblCellMar>
            <w:top w:w="0" w:type="dxa"/>
            <w:left w:w="108" w:type="dxa"/>
            <w:bottom w:w="0" w:type="dxa"/>
            <w:right w:w="108" w:type="dxa"/>
          </w:tblCellMar>
        </w:tblPrEx>
        <w:trPr>
          <w:trHeight w:val="320" w:hRule="atLeast"/>
          <w:jc w:val="center"/>
        </w:trPr>
        <w:tc>
          <w:tcPr>
            <w:tcW w:w="1900" w:type="dxa"/>
            <w:tcBorders>
              <w:top w:val="nil"/>
              <w:left w:val="nil"/>
              <w:bottom w:val="nil"/>
              <w:right w:val="nil"/>
            </w:tcBorders>
            <w:shd w:val="clear" w:color="auto" w:fill="auto"/>
            <w:noWrap/>
            <w:vAlign w:val="center"/>
          </w:tcPr>
          <w:p>
            <w:pPr>
              <w:jc w:val="center"/>
              <w:rPr>
                <w:color w:val="000000"/>
              </w:rPr>
            </w:pPr>
            <w:r>
              <w:rPr>
                <w:color w:val="000000"/>
              </w:rPr>
              <w:t>Contig No.</w:t>
            </w:r>
          </w:p>
        </w:tc>
        <w:tc>
          <w:tcPr>
            <w:tcW w:w="2540" w:type="dxa"/>
            <w:tcBorders>
              <w:top w:val="nil"/>
              <w:left w:val="nil"/>
              <w:bottom w:val="nil"/>
              <w:right w:val="nil"/>
            </w:tcBorders>
            <w:shd w:val="clear" w:color="auto" w:fill="auto"/>
            <w:noWrap/>
            <w:vAlign w:val="center"/>
          </w:tcPr>
          <w:p>
            <w:pPr>
              <w:jc w:val="center"/>
              <w:rPr>
                <w:color w:val="000000"/>
              </w:rPr>
            </w:pPr>
            <w:r>
              <w:rPr>
                <w:color w:val="000000"/>
              </w:rPr>
              <w:t>5,014</w:t>
            </w:r>
          </w:p>
        </w:tc>
        <w:tc>
          <w:tcPr>
            <w:tcW w:w="1176" w:type="dxa"/>
            <w:tcBorders>
              <w:top w:val="nil"/>
              <w:left w:val="nil"/>
              <w:bottom w:val="nil"/>
              <w:right w:val="nil"/>
            </w:tcBorders>
            <w:shd w:val="clear" w:color="auto" w:fill="auto"/>
            <w:noWrap/>
            <w:vAlign w:val="center"/>
          </w:tcPr>
          <w:p>
            <w:pPr>
              <w:jc w:val="center"/>
              <w:rPr>
                <w:color w:val="000000"/>
              </w:rPr>
            </w:pPr>
            <w:r>
              <w:rPr>
                <w:color w:val="000000"/>
              </w:rPr>
              <w:t>141</w:t>
            </w:r>
          </w:p>
        </w:tc>
        <w:tc>
          <w:tcPr>
            <w:tcW w:w="1416" w:type="dxa"/>
            <w:tcBorders>
              <w:top w:val="nil"/>
              <w:left w:val="nil"/>
              <w:bottom w:val="nil"/>
              <w:right w:val="nil"/>
            </w:tcBorders>
            <w:shd w:val="clear" w:color="auto" w:fill="auto"/>
            <w:noWrap/>
            <w:vAlign w:val="center"/>
          </w:tcPr>
          <w:p>
            <w:pPr>
              <w:jc w:val="center"/>
              <w:rPr>
                <w:color w:val="000000"/>
              </w:rPr>
            </w:pPr>
            <w:r>
              <w:rPr>
                <w:color w:val="000000"/>
              </w:rPr>
              <w:t>2,462</w:t>
            </w:r>
          </w:p>
        </w:tc>
        <w:tc>
          <w:tcPr>
            <w:tcW w:w="1473" w:type="dxa"/>
            <w:tcBorders>
              <w:top w:val="nil"/>
              <w:left w:val="nil"/>
              <w:bottom w:val="nil"/>
              <w:right w:val="nil"/>
            </w:tcBorders>
            <w:shd w:val="clear" w:color="000000" w:fill="auto"/>
            <w:noWrap/>
            <w:vAlign w:val="center"/>
          </w:tcPr>
          <w:p>
            <w:pPr>
              <w:jc w:val="center"/>
              <w:rPr>
                <w:color w:val="000000"/>
              </w:rPr>
            </w:pPr>
            <w:r>
              <w:rPr>
                <w:color w:val="000000"/>
              </w:rPr>
              <w:t>2,411</w:t>
            </w:r>
          </w:p>
        </w:tc>
      </w:tr>
      <w:tr>
        <w:tblPrEx>
          <w:tblCellMar>
            <w:top w:w="0" w:type="dxa"/>
            <w:left w:w="108" w:type="dxa"/>
            <w:bottom w:w="0" w:type="dxa"/>
            <w:right w:w="108" w:type="dxa"/>
          </w:tblCellMar>
        </w:tblPrEx>
        <w:trPr>
          <w:trHeight w:val="320" w:hRule="atLeast"/>
          <w:jc w:val="center"/>
        </w:trPr>
        <w:tc>
          <w:tcPr>
            <w:tcW w:w="1900" w:type="dxa"/>
            <w:tcBorders>
              <w:top w:val="nil"/>
              <w:left w:val="nil"/>
              <w:bottom w:val="nil"/>
              <w:right w:val="nil"/>
            </w:tcBorders>
            <w:shd w:val="clear" w:color="auto" w:fill="auto"/>
            <w:noWrap/>
            <w:vAlign w:val="center"/>
          </w:tcPr>
          <w:p>
            <w:pPr>
              <w:jc w:val="center"/>
              <w:rPr>
                <w:color w:val="000000"/>
              </w:rPr>
            </w:pPr>
            <w:r>
              <w:rPr>
                <w:color w:val="000000"/>
              </w:rPr>
              <w:t>Contig N50 (bp)</w:t>
            </w:r>
          </w:p>
        </w:tc>
        <w:tc>
          <w:tcPr>
            <w:tcW w:w="2540" w:type="dxa"/>
            <w:tcBorders>
              <w:top w:val="nil"/>
              <w:left w:val="nil"/>
              <w:bottom w:val="nil"/>
              <w:right w:val="nil"/>
            </w:tcBorders>
            <w:shd w:val="clear" w:color="auto" w:fill="auto"/>
            <w:noWrap/>
            <w:vAlign w:val="center"/>
          </w:tcPr>
          <w:p>
            <w:pPr>
              <w:jc w:val="center"/>
              <w:rPr>
                <w:color w:val="000000"/>
              </w:rPr>
            </w:pPr>
            <w:r>
              <w:rPr>
                <w:color w:val="000000"/>
              </w:rPr>
              <w:t>1,707,428</w:t>
            </w:r>
          </w:p>
        </w:tc>
        <w:tc>
          <w:tcPr>
            <w:tcW w:w="1176" w:type="dxa"/>
            <w:tcBorders>
              <w:top w:val="nil"/>
              <w:left w:val="nil"/>
              <w:bottom w:val="nil"/>
              <w:right w:val="nil"/>
            </w:tcBorders>
            <w:shd w:val="clear" w:color="auto" w:fill="auto"/>
            <w:noWrap/>
            <w:vAlign w:val="center"/>
          </w:tcPr>
          <w:p>
            <w:pPr>
              <w:jc w:val="center"/>
              <w:rPr>
                <w:color w:val="000000"/>
              </w:rPr>
            </w:pPr>
            <w:r>
              <w:rPr>
                <w:color w:val="000000"/>
              </w:rPr>
              <w:t>24,630</w:t>
            </w:r>
          </w:p>
        </w:tc>
        <w:tc>
          <w:tcPr>
            <w:tcW w:w="1416" w:type="dxa"/>
            <w:tcBorders>
              <w:top w:val="nil"/>
              <w:left w:val="nil"/>
              <w:bottom w:val="nil"/>
              <w:right w:val="nil"/>
            </w:tcBorders>
            <w:shd w:val="clear" w:color="auto" w:fill="auto"/>
            <w:noWrap/>
            <w:vAlign w:val="center"/>
          </w:tcPr>
          <w:p>
            <w:pPr>
              <w:jc w:val="center"/>
              <w:rPr>
                <w:color w:val="000000"/>
              </w:rPr>
            </w:pPr>
            <w:r>
              <w:rPr>
                <w:color w:val="000000"/>
              </w:rPr>
              <w:t>357,307</w:t>
            </w:r>
          </w:p>
        </w:tc>
        <w:tc>
          <w:tcPr>
            <w:tcW w:w="1473" w:type="dxa"/>
            <w:tcBorders>
              <w:top w:val="nil"/>
              <w:left w:val="nil"/>
              <w:bottom w:val="nil"/>
              <w:right w:val="nil"/>
            </w:tcBorders>
            <w:shd w:val="clear" w:color="000000" w:fill="auto"/>
            <w:noWrap/>
            <w:vAlign w:val="center"/>
          </w:tcPr>
          <w:p>
            <w:pPr>
              <w:jc w:val="center"/>
              <w:rPr>
                <w:color w:val="000000"/>
              </w:rPr>
            </w:pPr>
            <w:r>
              <w:rPr>
                <w:color w:val="000000"/>
              </w:rPr>
              <w:t>2,017,689</w:t>
            </w:r>
          </w:p>
        </w:tc>
      </w:tr>
      <w:tr>
        <w:tblPrEx>
          <w:tblCellMar>
            <w:top w:w="0" w:type="dxa"/>
            <w:left w:w="108" w:type="dxa"/>
            <w:bottom w:w="0" w:type="dxa"/>
            <w:right w:w="108" w:type="dxa"/>
          </w:tblCellMar>
        </w:tblPrEx>
        <w:trPr>
          <w:trHeight w:val="340" w:hRule="atLeast"/>
          <w:jc w:val="center"/>
        </w:trPr>
        <w:tc>
          <w:tcPr>
            <w:tcW w:w="1900" w:type="dxa"/>
            <w:tcBorders>
              <w:top w:val="nil"/>
              <w:left w:val="nil"/>
              <w:bottom w:val="single" w:color="auto" w:sz="8" w:space="0"/>
              <w:right w:val="nil"/>
            </w:tcBorders>
            <w:shd w:val="clear" w:color="auto" w:fill="auto"/>
            <w:noWrap/>
            <w:vAlign w:val="center"/>
          </w:tcPr>
          <w:p>
            <w:pPr>
              <w:jc w:val="center"/>
              <w:rPr>
                <w:color w:val="000000"/>
              </w:rPr>
            </w:pPr>
            <w:r>
              <w:rPr>
                <w:color w:val="000000"/>
              </w:rPr>
              <w:t>Contig length (bp)</w:t>
            </w:r>
          </w:p>
        </w:tc>
        <w:tc>
          <w:tcPr>
            <w:tcW w:w="2540" w:type="dxa"/>
            <w:tcBorders>
              <w:top w:val="nil"/>
              <w:left w:val="nil"/>
              <w:bottom w:val="single" w:color="auto" w:sz="8" w:space="0"/>
              <w:right w:val="nil"/>
            </w:tcBorders>
            <w:shd w:val="clear" w:color="auto" w:fill="auto"/>
            <w:noWrap/>
            <w:vAlign w:val="center"/>
          </w:tcPr>
          <w:p>
            <w:pPr>
              <w:jc w:val="center"/>
              <w:rPr>
                <w:color w:val="000000"/>
              </w:rPr>
            </w:pPr>
            <w:r>
              <w:rPr>
                <w:color w:val="000000"/>
              </w:rPr>
              <w:t>2,903,282,308</w:t>
            </w:r>
          </w:p>
        </w:tc>
        <w:tc>
          <w:tcPr>
            <w:tcW w:w="1176" w:type="dxa"/>
            <w:tcBorders>
              <w:top w:val="nil"/>
              <w:left w:val="nil"/>
              <w:bottom w:val="single" w:color="auto" w:sz="8" w:space="0"/>
              <w:right w:val="nil"/>
            </w:tcBorders>
            <w:shd w:val="clear" w:color="auto" w:fill="auto"/>
            <w:noWrap/>
            <w:vAlign w:val="center"/>
          </w:tcPr>
          <w:p>
            <w:pPr>
              <w:jc w:val="center"/>
              <w:rPr>
                <w:color w:val="000000"/>
              </w:rPr>
            </w:pPr>
            <w:r>
              <w:rPr>
                <w:color w:val="000000"/>
              </w:rPr>
              <w:t>2,896,924</w:t>
            </w:r>
          </w:p>
        </w:tc>
        <w:tc>
          <w:tcPr>
            <w:tcW w:w="1416" w:type="dxa"/>
            <w:tcBorders>
              <w:top w:val="nil"/>
              <w:left w:val="nil"/>
              <w:bottom w:val="single" w:color="auto" w:sz="8" w:space="0"/>
              <w:right w:val="nil"/>
            </w:tcBorders>
            <w:shd w:val="clear" w:color="auto" w:fill="auto"/>
            <w:noWrap/>
            <w:vAlign w:val="center"/>
          </w:tcPr>
          <w:p>
            <w:pPr>
              <w:jc w:val="center"/>
              <w:rPr>
                <w:color w:val="000000"/>
              </w:rPr>
            </w:pPr>
            <w:r>
              <w:rPr>
                <w:color w:val="000000"/>
              </w:rPr>
              <w:t>428,970,525</w:t>
            </w:r>
          </w:p>
        </w:tc>
        <w:tc>
          <w:tcPr>
            <w:tcW w:w="1473" w:type="dxa"/>
            <w:tcBorders>
              <w:top w:val="nil"/>
              <w:left w:val="nil"/>
              <w:bottom w:val="single" w:color="auto" w:sz="8" w:space="0"/>
              <w:right w:val="nil"/>
            </w:tcBorders>
            <w:shd w:val="clear" w:color="000000" w:fill="auto"/>
            <w:noWrap/>
            <w:vAlign w:val="center"/>
          </w:tcPr>
          <w:p>
            <w:pPr>
              <w:jc w:val="center"/>
              <w:rPr>
                <w:color w:val="000000"/>
              </w:rPr>
            </w:pPr>
            <w:r>
              <w:rPr>
                <w:color w:val="000000"/>
              </w:rPr>
              <w:t>2,471,414,859</w:t>
            </w:r>
          </w:p>
        </w:tc>
      </w:tr>
    </w:tbl>
    <w:p>
      <w:r>
        <w:br w:type="page"/>
      </w:r>
    </w:p>
    <w:p>
      <w:r>
        <w:rPr>
          <w:b/>
          <w:bCs/>
        </w:rPr>
        <w:t>Supplementary Table 5</w:t>
      </w:r>
      <w:r>
        <w:t>. Statistics of SNPs identified in gamete cells.</w:t>
      </w:r>
    </w:p>
    <w:tbl>
      <w:tblPr>
        <w:tblStyle w:val="5"/>
        <w:tblW w:w="8436" w:type="dxa"/>
        <w:jc w:val="center"/>
        <w:tblLayout w:type="autofit"/>
        <w:tblCellMar>
          <w:top w:w="0" w:type="dxa"/>
          <w:left w:w="108" w:type="dxa"/>
          <w:bottom w:w="0" w:type="dxa"/>
          <w:right w:w="108" w:type="dxa"/>
        </w:tblCellMar>
      </w:tblPr>
      <w:tblGrid>
        <w:gridCol w:w="970"/>
        <w:gridCol w:w="1513"/>
        <w:gridCol w:w="1790"/>
        <w:gridCol w:w="1186"/>
        <w:gridCol w:w="1586"/>
        <w:gridCol w:w="1391"/>
      </w:tblGrid>
      <w:tr>
        <w:tblPrEx>
          <w:tblCellMar>
            <w:top w:w="0" w:type="dxa"/>
            <w:left w:w="108" w:type="dxa"/>
            <w:bottom w:w="0" w:type="dxa"/>
            <w:right w:w="108" w:type="dxa"/>
          </w:tblCellMar>
        </w:tblPrEx>
        <w:trPr>
          <w:trHeight w:val="804" w:hRule="atLeast"/>
          <w:jc w:val="center"/>
        </w:trPr>
        <w:tc>
          <w:tcPr>
            <w:tcW w:w="970" w:type="dxa"/>
            <w:tcBorders>
              <w:top w:val="single" w:color="auto" w:sz="8" w:space="0"/>
              <w:left w:val="nil"/>
              <w:bottom w:val="single" w:color="auto" w:sz="8" w:space="0"/>
              <w:right w:val="nil"/>
            </w:tcBorders>
            <w:shd w:val="clear" w:color="auto" w:fill="auto"/>
            <w:noWrap/>
            <w:vAlign w:val="center"/>
          </w:tcPr>
          <w:p>
            <w:pPr>
              <w:jc w:val="center"/>
              <w:rPr>
                <w:color w:val="000000"/>
              </w:rPr>
            </w:pPr>
            <w:r>
              <w:rPr>
                <w:color w:val="000000"/>
              </w:rPr>
              <w:t>Sample</w:t>
            </w:r>
          </w:p>
        </w:tc>
        <w:tc>
          <w:tcPr>
            <w:tcW w:w="1513" w:type="dxa"/>
            <w:tcBorders>
              <w:top w:val="single" w:color="auto" w:sz="8" w:space="0"/>
              <w:left w:val="nil"/>
              <w:bottom w:val="single" w:color="auto" w:sz="8" w:space="0"/>
              <w:right w:val="nil"/>
            </w:tcBorders>
            <w:shd w:val="clear" w:color="auto" w:fill="auto"/>
            <w:vAlign w:val="center"/>
          </w:tcPr>
          <w:p>
            <w:pPr>
              <w:jc w:val="center"/>
              <w:rPr>
                <w:color w:val="000000"/>
              </w:rPr>
            </w:pPr>
            <w:r>
              <w:rPr>
                <w:color w:val="000000"/>
              </w:rPr>
              <w:t>Homozygous calls</w:t>
            </w:r>
          </w:p>
        </w:tc>
        <w:tc>
          <w:tcPr>
            <w:tcW w:w="1790" w:type="dxa"/>
            <w:tcBorders>
              <w:top w:val="single" w:color="auto" w:sz="8" w:space="0"/>
              <w:left w:val="nil"/>
              <w:bottom w:val="single" w:color="auto" w:sz="8" w:space="0"/>
              <w:right w:val="nil"/>
            </w:tcBorders>
            <w:shd w:val="clear" w:color="auto" w:fill="auto"/>
            <w:vAlign w:val="center"/>
          </w:tcPr>
          <w:p>
            <w:pPr>
              <w:jc w:val="center"/>
              <w:rPr>
                <w:color w:val="000000"/>
              </w:rPr>
            </w:pPr>
            <w:r>
              <w:rPr>
                <w:color w:val="000000"/>
              </w:rPr>
              <w:t>Heterozygous calls</w:t>
            </w:r>
          </w:p>
        </w:tc>
        <w:tc>
          <w:tcPr>
            <w:tcW w:w="1186" w:type="dxa"/>
            <w:tcBorders>
              <w:top w:val="single" w:color="auto" w:sz="8" w:space="0"/>
              <w:left w:val="nil"/>
              <w:bottom w:val="single" w:color="auto" w:sz="8" w:space="0"/>
              <w:right w:val="nil"/>
            </w:tcBorders>
            <w:shd w:val="clear" w:color="auto" w:fill="auto"/>
            <w:vAlign w:val="center"/>
          </w:tcPr>
          <w:p>
            <w:pPr>
              <w:jc w:val="center"/>
              <w:rPr>
                <w:color w:val="000000"/>
              </w:rPr>
            </w:pPr>
            <w:r>
              <w:rPr>
                <w:color w:val="000000"/>
              </w:rPr>
              <w:t>Missing calls</w:t>
            </w:r>
          </w:p>
        </w:tc>
        <w:tc>
          <w:tcPr>
            <w:tcW w:w="1586" w:type="dxa"/>
            <w:tcBorders>
              <w:top w:val="single" w:color="auto" w:sz="8" w:space="0"/>
              <w:left w:val="nil"/>
              <w:bottom w:val="single" w:color="auto" w:sz="4" w:space="0"/>
              <w:right w:val="nil"/>
            </w:tcBorders>
            <w:shd w:val="clear" w:color="auto" w:fill="auto"/>
            <w:vAlign w:val="center"/>
          </w:tcPr>
          <w:p>
            <w:pPr>
              <w:jc w:val="center"/>
              <w:rPr>
                <w:color w:val="000000"/>
              </w:rPr>
            </w:pPr>
            <w:r>
              <w:rPr>
                <w:color w:val="000000"/>
              </w:rPr>
              <w:t>Heterozygous rate (%)</w:t>
            </w:r>
          </w:p>
        </w:tc>
        <w:tc>
          <w:tcPr>
            <w:tcW w:w="1391" w:type="dxa"/>
            <w:tcBorders>
              <w:top w:val="single" w:color="auto" w:sz="8" w:space="0"/>
              <w:left w:val="nil"/>
              <w:bottom w:val="single" w:color="auto" w:sz="8" w:space="0"/>
              <w:right w:val="nil"/>
            </w:tcBorders>
            <w:shd w:val="clear" w:color="auto" w:fill="auto"/>
            <w:vAlign w:val="center"/>
          </w:tcPr>
          <w:p>
            <w:pPr>
              <w:jc w:val="center"/>
              <w:rPr>
                <w:color w:val="000000"/>
              </w:rPr>
            </w:pPr>
            <w:r>
              <w:rPr>
                <w:color w:val="000000"/>
              </w:rPr>
              <w:t>Missing rate (%)</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w:t>
            </w:r>
          </w:p>
        </w:tc>
        <w:tc>
          <w:tcPr>
            <w:tcW w:w="1513" w:type="dxa"/>
            <w:tcBorders>
              <w:top w:val="nil"/>
              <w:left w:val="nil"/>
              <w:bottom w:val="nil"/>
              <w:right w:val="nil"/>
            </w:tcBorders>
            <w:shd w:val="clear" w:color="auto" w:fill="auto"/>
            <w:vAlign w:val="bottom"/>
          </w:tcPr>
          <w:p>
            <w:pPr>
              <w:jc w:val="center"/>
              <w:rPr>
                <w:color w:val="000000"/>
              </w:rPr>
            </w:pPr>
            <w:r>
              <w:rPr>
                <w:color w:val="000000"/>
              </w:rPr>
              <w:t>2,100,669</w:t>
            </w:r>
          </w:p>
        </w:tc>
        <w:tc>
          <w:tcPr>
            <w:tcW w:w="1790" w:type="dxa"/>
            <w:tcBorders>
              <w:top w:val="nil"/>
              <w:left w:val="nil"/>
              <w:bottom w:val="nil"/>
              <w:right w:val="nil"/>
            </w:tcBorders>
            <w:shd w:val="clear" w:color="auto" w:fill="auto"/>
            <w:vAlign w:val="bottom"/>
          </w:tcPr>
          <w:p>
            <w:pPr>
              <w:jc w:val="center"/>
              <w:rPr>
                <w:color w:val="000000"/>
              </w:rPr>
            </w:pPr>
            <w:r>
              <w:rPr>
                <w:color w:val="000000"/>
              </w:rPr>
              <w:t>74,653</w:t>
            </w:r>
          </w:p>
        </w:tc>
        <w:tc>
          <w:tcPr>
            <w:tcW w:w="1186" w:type="dxa"/>
            <w:tcBorders>
              <w:top w:val="nil"/>
              <w:left w:val="nil"/>
              <w:bottom w:val="nil"/>
              <w:right w:val="nil"/>
            </w:tcBorders>
            <w:shd w:val="clear" w:color="auto" w:fill="auto"/>
            <w:vAlign w:val="bottom"/>
          </w:tcPr>
          <w:p>
            <w:pPr>
              <w:jc w:val="center"/>
              <w:rPr>
                <w:color w:val="000000"/>
              </w:rPr>
            </w:pPr>
            <w:r>
              <w:rPr>
                <w:color w:val="000000"/>
              </w:rPr>
              <w:t>1,902,968</w:t>
            </w:r>
          </w:p>
        </w:tc>
        <w:tc>
          <w:tcPr>
            <w:tcW w:w="1586" w:type="dxa"/>
            <w:tcBorders>
              <w:top w:val="nil"/>
              <w:left w:val="nil"/>
              <w:bottom w:val="nil"/>
              <w:right w:val="nil"/>
            </w:tcBorders>
            <w:shd w:val="clear" w:color="auto" w:fill="auto"/>
            <w:vAlign w:val="bottom"/>
          </w:tcPr>
          <w:p>
            <w:pPr>
              <w:jc w:val="center"/>
              <w:rPr>
                <w:color w:val="000000"/>
              </w:rPr>
            </w:pPr>
            <w:r>
              <w:rPr>
                <w:color w:val="000000"/>
              </w:rPr>
              <w:t>3.43</w:t>
            </w:r>
          </w:p>
        </w:tc>
        <w:tc>
          <w:tcPr>
            <w:tcW w:w="1391" w:type="dxa"/>
            <w:tcBorders>
              <w:top w:val="nil"/>
              <w:left w:val="nil"/>
              <w:bottom w:val="nil"/>
              <w:right w:val="nil"/>
            </w:tcBorders>
            <w:shd w:val="clear" w:color="auto" w:fill="auto"/>
            <w:vAlign w:val="bottom"/>
          </w:tcPr>
          <w:p>
            <w:pPr>
              <w:jc w:val="center"/>
              <w:rPr>
                <w:color w:val="000000"/>
              </w:rPr>
            </w:pPr>
            <w:r>
              <w:rPr>
                <w:color w:val="000000"/>
              </w:rPr>
              <w:t>46.66</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w:t>
            </w:r>
          </w:p>
        </w:tc>
        <w:tc>
          <w:tcPr>
            <w:tcW w:w="1513" w:type="dxa"/>
            <w:tcBorders>
              <w:top w:val="nil"/>
              <w:left w:val="nil"/>
              <w:bottom w:val="nil"/>
              <w:right w:val="nil"/>
            </w:tcBorders>
            <w:shd w:val="clear" w:color="auto" w:fill="auto"/>
            <w:vAlign w:val="bottom"/>
          </w:tcPr>
          <w:p>
            <w:pPr>
              <w:jc w:val="center"/>
              <w:rPr>
                <w:color w:val="000000"/>
              </w:rPr>
            </w:pPr>
            <w:r>
              <w:rPr>
                <w:color w:val="000000"/>
              </w:rPr>
              <w:t>1,980,218</w:t>
            </w:r>
          </w:p>
        </w:tc>
        <w:tc>
          <w:tcPr>
            <w:tcW w:w="1790" w:type="dxa"/>
            <w:tcBorders>
              <w:top w:val="nil"/>
              <w:left w:val="nil"/>
              <w:bottom w:val="nil"/>
              <w:right w:val="nil"/>
            </w:tcBorders>
            <w:shd w:val="clear" w:color="auto" w:fill="auto"/>
            <w:vAlign w:val="bottom"/>
          </w:tcPr>
          <w:p>
            <w:pPr>
              <w:jc w:val="center"/>
              <w:rPr>
                <w:color w:val="000000"/>
              </w:rPr>
            </w:pPr>
            <w:r>
              <w:rPr>
                <w:color w:val="000000"/>
              </w:rPr>
              <w:t>50,490</w:t>
            </w:r>
          </w:p>
        </w:tc>
        <w:tc>
          <w:tcPr>
            <w:tcW w:w="1186" w:type="dxa"/>
            <w:tcBorders>
              <w:top w:val="nil"/>
              <w:left w:val="nil"/>
              <w:bottom w:val="nil"/>
              <w:right w:val="nil"/>
            </w:tcBorders>
            <w:shd w:val="clear" w:color="auto" w:fill="auto"/>
            <w:vAlign w:val="bottom"/>
          </w:tcPr>
          <w:p>
            <w:pPr>
              <w:jc w:val="center"/>
              <w:rPr>
                <w:color w:val="000000"/>
              </w:rPr>
            </w:pPr>
            <w:r>
              <w:rPr>
                <w:color w:val="000000"/>
              </w:rPr>
              <w:t>2,047,582</w:t>
            </w:r>
          </w:p>
        </w:tc>
        <w:tc>
          <w:tcPr>
            <w:tcW w:w="1586" w:type="dxa"/>
            <w:tcBorders>
              <w:top w:val="nil"/>
              <w:left w:val="nil"/>
              <w:bottom w:val="nil"/>
              <w:right w:val="nil"/>
            </w:tcBorders>
            <w:shd w:val="clear" w:color="auto" w:fill="auto"/>
            <w:vAlign w:val="bottom"/>
          </w:tcPr>
          <w:p>
            <w:pPr>
              <w:jc w:val="center"/>
              <w:rPr>
                <w:color w:val="000000"/>
              </w:rPr>
            </w:pPr>
            <w:r>
              <w:rPr>
                <w:color w:val="000000"/>
              </w:rPr>
              <w:t>2.49</w:t>
            </w:r>
          </w:p>
        </w:tc>
        <w:tc>
          <w:tcPr>
            <w:tcW w:w="1391" w:type="dxa"/>
            <w:tcBorders>
              <w:top w:val="nil"/>
              <w:left w:val="nil"/>
              <w:bottom w:val="nil"/>
              <w:right w:val="nil"/>
            </w:tcBorders>
            <w:shd w:val="clear" w:color="auto" w:fill="auto"/>
            <w:vAlign w:val="bottom"/>
          </w:tcPr>
          <w:p>
            <w:pPr>
              <w:jc w:val="center"/>
              <w:rPr>
                <w:color w:val="000000"/>
              </w:rPr>
            </w:pPr>
            <w:r>
              <w:rPr>
                <w:color w:val="000000"/>
              </w:rPr>
              <w:t>50.21</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w:t>
            </w:r>
          </w:p>
        </w:tc>
        <w:tc>
          <w:tcPr>
            <w:tcW w:w="1513" w:type="dxa"/>
            <w:tcBorders>
              <w:top w:val="nil"/>
              <w:left w:val="nil"/>
              <w:bottom w:val="nil"/>
              <w:right w:val="nil"/>
            </w:tcBorders>
            <w:shd w:val="clear" w:color="auto" w:fill="auto"/>
            <w:vAlign w:val="bottom"/>
          </w:tcPr>
          <w:p>
            <w:pPr>
              <w:jc w:val="center"/>
              <w:rPr>
                <w:color w:val="000000"/>
              </w:rPr>
            </w:pPr>
            <w:r>
              <w:rPr>
                <w:color w:val="000000"/>
              </w:rPr>
              <w:t>2,280,119</w:t>
            </w:r>
          </w:p>
        </w:tc>
        <w:tc>
          <w:tcPr>
            <w:tcW w:w="1790" w:type="dxa"/>
            <w:tcBorders>
              <w:top w:val="nil"/>
              <w:left w:val="nil"/>
              <w:bottom w:val="nil"/>
              <w:right w:val="nil"/>
            </w:tcBorders>
            <w:shd w:val="clear" w:color="auto" w:fill="auto"/>
            <w:vAlign w:val="bottom"/>
          </w:tcPr>
          <w:p>
            <w:pPr>
              <w:jc w:val="center"/>
              <w:rPr>
                <w:color w:val="000000"/>
              </w:rPr>
            </w:pPr>
            <w:r>
              <w:rPr>
                <w:color w:val="000000"/>
              </w:rPr>
              <w:t>54,649</w:t>
            </w:r>
          </w:p>
        </w:tc>
        <w:tc>
          <w:tcPr>
            <w:tcW w:w="1186" w:type="dxa"/>
            <w:tcBorders>
              <w:top w:val="nil"/>
              <w:left w:val="nil"/>
              <w:bottom w:val="nil"/>
              <w:right w:val="nil"/>
            </w:tcBorders>
            <w:shd w:val="clear" w:color="auto" w:fill="auto"/>
            <w:vAlign w:val="bottom"/>
          </w:tcPr>
          <w:p>
            <w:pPr>
              <w:jc w:val="center"/>
              <w:rPr>
                <w:color w:val="000000"/>
              </w:rPr>
            </w:pPr>
            <w:r>
              <w:rPr>
                <w:color w:val="000000"/>
              </w:rPr>
              <w:t>1,743,522</w:t>
            </w:r>
          </w:p>
        </w:tc>
        <w:tc>
          <w:tcPr>
            <w:tcW w:w="1586" w:type="dxa"/>
            <w:tcBorders>
              <w:top w:val="nil"/>
              <w:left w:val="nil"/>
              <w:bottom w:val="nil"/>
              <w:right w:val="nil"/>
            </w:tcBorders>
            <w:shd w:val="clear" w:color="auto" w:fill="auto"/>
            <w:vAlign w:val="bottom"/>
          </w:tcPr>
          <w:p>
            <w:pPr>
              <w:jc w:val="center"/>
              <w:rPr>
                <w:color w:val="000000"/>
              </w:rPr>
            </w:pPr>
            <w:r>
              <w:rPr>
                <w:color w:val="000000"/>
              </w:rPr>
              <w:t>2.34</w:t>
            </w:r>
          </w:p>
        </w:tc>
        <w:tc>
          <w:tcPr>
            <w:tcW w:w="1391" w:type="dxa"/>
            <w:tcBorders>
              <w:top w:val="nil"/>
              <w:left w:val="nil"/>
              <w:bottom w:val="nil"/>
              <w:right w:val="nil"/>
            </w:tcBorders>
            <w:shd w:val="clear" w:color="auto" w:fill="auto"/>
            <w:vAlign w:val="bottom"/>
          </w:tcPr>
          <w:p>
            <w:pPr>
              <w:jc w:val="center"/>
              <w:rPr>
                <w:color w:val="000000"/>
              </w:rPr>
            </w:pPr>
            <w:r>
              <w:rPr>
                <w:color w:val="000000"/>
              </w:rPr>
              <w:t>42.75</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S4</w:t>
            </w:r>
          </w:p>
        </w:tc>
        <w:tc>
          <w:tcPr>
            <w:tcW w:w="1513" w:type="dxa"/>
            <w:tcBorders>
              <w:top w:val="nil"/>
              <w:left w:val="nil"/>
              <w:bottom w:val="nil"/>
              <w:right w:val="nil"/>
            </w:tcBorders>
            <w:shd w:val="clear" w:color="auto" w:fill="auto"/>
            <w:vAlign w:val="bottom"/>
          </w:tcPr>
          <w:p>
            <w:pPr>
              <w:jc w:val="center"/>
              <w:rPr>
                <w:color w:val="000000"/>
              </w:rPr>
            </w:pPr>
            <w:r>
              <w:rPr>
                <w:color w:val="000000"/>
              </w:rPr>
              <w:t>2,115,073</w:t>
            </w:r>
          </w:p>
        </w:tc>
        <w:tc>
          <w:tcPr>
            <w:tcW w:w="1790" w:type="dxa"/>
            <w:tcBorders>
              <w:top w:val="nil"/>
              <w:left w:val="nil"/>
              <w:bottom w:val="nil"/>
              <w:right w:val="nil"/>
            </w:tcBorders>
            <w:shd w:val="clear" w:color="auto" w:fill="auto"/>
            <w:vAlign w:val="bottom"/>
          </w:tcPr>
          <w:p>
            <w:pPr>
              <w:jc w:val="center"/>
              <w:rPr>
                <w:color w:val="000000"/>
              </w:rPr>
            </w:pPr>
            <w:r>
              <w:rPr>
                <w:color w:val="000000"/>
              </w:rPr>
              <w:t>49,978</w:t>
            </w:r>
          </w:p>
        </w:tc>
        <w:tc>
          <w:tcPr>
            <w:tcW w:w="1186" w:type="dxa"/>
            <w:tcBorders>
              <w:top w:val="nil"/>
              <w:left w:val="nil"/>
              <w:bottom w:val="nil"/>
              <w:right w:val="nil"/>
            </w:tcBorders>
            <w:shd w:val="clear" w:color="auto" w:fill="auto"/>
            <w:vAlign w:val="bottom"/>
          </w:tcPr>
          <w:p>
            <w:pPr>
              <w:jc w:val="center"/>
              <w:rPr>
                <w:color w:val="000000"/>
              </w:rPr>
            </w:pPr>
            <w:r>
              <w:rPr>
                <w:color w:val="000000"/>
              </w:rPr>
              <w:t>1,913,239</w:t>
            </w:r>
          </w:p>
        </w:tc>
        <w:tc>
          <w:tcPr>
            <w:tcW w:w="1586" w:type="dxa"/>
            <w:tcBorders>
              <w:top w:val="nil"/>
              <w:left w:val="nil"/>
              <w:bottom w:val="nil"/>
              <w:right w:val="nil"/>
            </w:tcBorders>
            <w:shd w:val="clear" w:color="auto" w:fill="auto"/>
            <w:vAlign w:val="bottom"/>
          </w:tcPr>
          <w:p>
            <w:pPr>
              <w:jc w:val="center"/>
              <w:rPr>
                <w:color w:val="000000"/>
              </w:rPr>
            </w:pPr>
            <w:r>
              <w:rPr>
                <w:color w:val="000000"/>
              </w:rPr>
              <w:t>2.31</w:t>
            </w:r>
          </w:p>
        </w:tc>
        <w:tc>
          <w:tcPr>
            <w:tcW w:w="1391" w:type="dxa"/>
            <w:tcBorders>
              <w:top w:val="nil"/>
              <w:left w:val="nil"/>
              <w:bottom w:val="nil"/>
              <w:right w:val="nil"/>
            </w:tcBorders>
            <w:shd w:val="clear" w:color="auto" w:fill="auto"/>
            <w:vAlign w:val="bottom"/>
          </w:tcPr>
          <w:p>
            <w:pPr>
              <w:jc w:val="center"/>
              <w:rPr>
                <w:color w:val="000000"/>
              </w:rPr>
            </w:pPr>
            <w:r>
              <w:rPr>
                <w:color w:val="000000"/>
              </w:rPr>
              <w:t>46.91</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S5</w:t>
            </w:r>
            <w:r>
              <w:rPr>
                <w:color w:val="000000"/>
                <w:vertAlign w:val="superscript"/>
              </w:rPr>
              <w:t>*</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1,421,017</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1,620,736</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1,036,537</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53.28</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25.42</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S6</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2,015,379</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50,726</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2,012,185</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2.46</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49.34</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S7</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2,031,329</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42,354</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2,004,607</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2.04</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49.15</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S8</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2,236,783</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46,034</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1,795,473</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2.02</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44.03</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S9</w:t>
            </w:r>
            <w:r>
              <w:rPr>
                <w:color w:val="000000"/>
                <w:vertAlign w:val="superscript"/>
              </w:rPr>
              <w:t>*</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1,964,351</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705,800</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1,408,139</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26.43</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34.53</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S10</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2,307,611</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42,321</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1,728,358</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1.80</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42.38</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S11</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2,155,980</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45,819</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1,876,491</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2.08</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46.01</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S12</w:t>
            </w:r>
            <w:r>
              <w:rPr>
                <w:color w:val="000000"/>
                <w:vertAlign w:val="superscript"/>
              </w:rPr>
              <w:t>*</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2,146,651</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276,147</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1,655,492</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11.40</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40.59</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S13</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2,038,436</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43,255</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1,996,599</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2.08</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48.96</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S14</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2,153,800</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43,283</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1,881,207</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1.97</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46.13</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S15</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1,977,077</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40,646</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2,060,567</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2.01</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50.53</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S16</w:t>
            </w:r>
            <w:r>
              <w:rPr>
                <w:color w:val="000000"/>
                <w:vertAlign w:val="superscript"/>
              </w:rPr>
              <w:t>*</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415,674</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54,632</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3,607,984</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11.62</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88.47</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S17</w:t>
            </w:r>
            <w:r>
              <w:rPr>
                <w:color w:val="000000"/>
                <w:vertAlign w:val="superscript"/>
              </w:rPr>
              <w:t>*</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1,324,847</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2,007,100</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746,343</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60.24</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18.30</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S18</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1,875,931</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33,704</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2,168,655</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1.76</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53.18</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S19</w:t>
            </w:r>
            <w:r>
              <w:rPr>
                <w:color w:val="000000"/>
                <w:vertAlign w:val="superscript"/>
              </w:rPr>
              <w:t>*</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1,022,559</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20,965</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3,034,766</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2.01</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74.41</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S20</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1,899,502</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39,603</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2,139,185</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2.04</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52.45</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S21</w:t>
            </w:r>
            <w:r>
              <w:rPr>
                <w:color w:val="000000"/>
                <w:vertAlign w:val="superscript"/>
              </w:rPr>
              <w:t>*</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1,654,560</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119,133</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2,304,597</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6.72</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56.51</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S22</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1,957,133</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41,323</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2,079,834</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2.07</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51.00</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S23</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1,716,481</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30,664</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2,331,145</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1.76</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57.16</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S24</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1,928,832</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33,566</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2,115,892</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1.71</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51.88</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S25</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1,900,530</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36,837</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2,140,923</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1.90</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52.50</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S26</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1,608,829</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29,059</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2,440,402</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1.77</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59.84</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S27</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1,387,594</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24,601</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2,666,095</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1.74</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65.37</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S28</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1,589,609</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28,721</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2,459,960</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1.77</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60.32</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S29</w:t>
            </w:r>
            <w:r>
              <w:rPr>
                <w:color w:val="000000"/>
                <w:vertAlign w:val="superscript"/>
              </w:rPr>
              <w:t>*</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1,055,719</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14,869</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3,007,702</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1.39</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73.75</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S30</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2,074,821</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39,686</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1,963,783</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1.88</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48.15</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S31</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2,275,225</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53,102</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1,749,963</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2.28</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42.91</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S32</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1,704,902</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31,292</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2,342,096</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1.80</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57.43</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S33</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2,423,031</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65,624</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1,589,635</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2.64</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38.98</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S34</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2,386,849</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51,447</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1,639,994</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2.11</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40.21</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S35</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2,322,732</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49,391</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1,706,167</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2.08</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41.84</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S36</w:t>
            </w:r>
            <w:r>
              <w:rPr>
                <w:color w:val="000000"/>
                <w:vertAlign w:val="superscript"/>
              </w:rPr>
              <w:t>*</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1,018,799</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349,340</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2,710,151</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25.53</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66.45</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S37</w:t>
            </w:r>
          </w:p>
        </w:tc>
        <w:tc>
          <w:tcPr>
            <w:tcW w:w="1513"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1,529,145</w:t>
            </w:r>
          </w:p>
        </w:tc>
        <w:tc>
          <w:tcPr>
            <w:tcW w:w="1790"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29,355</w:t>
            </w:r>
          </w:p>
        </w:tc>
        <w:tc>
          <w:tcPr>
            <w:tcW w:w="11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2,519,790</w:t>
            </w:r>
          </w:p>
        </w:tc>
        <w:tc>
          <w:tcPr>
            <w:tcW w:w="1586"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1.88</w:t>
            </w:r>
          </w:p>
        </w:tc>
        <w:tc>
          <w:tcPr>
            <w:tcW w:w="1391" w:type="dxa"/>
            <w:tcBorders>
              <w:top w:val="nil"/>
              <w:left w:val="nil"/>
              <w:bottom w:val="nil"/>
              <w:right w:val="nil"/>
            </w:tcBorders>
            <w:shd w:val="clear" w:color="auto" w:fill="auto"/>
            <w:vAlign w:val="bottom"/>
          </w:tcPr>
          <w:p>
            <w:pPr>
              <w:jc w:val="center"/>
              <w:rPr>
                <w:color w:val="000000" w:themeColor="text1"/>
                <w14:textFill>
                  <w14:solidFill>
                    <w14:schemeClr w14:val="tx1"/>
                  </w14:solidFill>
                </w14:textFill>
              </w:rPr>
            </w:pPr>
            <w:r>
              <w:rPr>
                <w:color w:val="000000" w:themeColor="text1"/>
                <w14:textFill>
                  <w14:solidFill>
                    <w14:schemeClr w14:val="tx1"/>
                  </w14:solidFill>
                </w14:textFill>
              </w:rPr>
              <w:t>61.79</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S38</w:t>
            </w:r>
          </w:p>
        </w:tc>
        <w:tc>
          <w:tcPr>
            <w:tcW w:w="1513" w:type="dxa"/>
            <w:tcBorders>
              <w:top w:val="nil"/>
              <w:left w:val="nil"/>
              <w:bottom w:val="nil"/>
              <w:right w:val="nil"/>
            </w:tcBorders>
            <w:shd w:val="clear" w:color="auto" w:fill="auto"/>
            <w:vAlign w:val="bottom"/>
          </w:tcPr>
          <w:p>
            <w:pPr>
              <w:jc w:val="center"/>
              <w:rPr>
                <w:color w:val="000000"/>
              </w:rPr>
            </w:pPr>
            <w:r>
              <w:rPr>
                <w:color w:val="000000"/>
              </w:rPr>
              <w:t>1,770,185</w:t>
            </w:r>
          </w:p>
        </w:tc>
        <w:tc>
          <w:tcPr>
            <w:tcW w:w="1790" w:type="dxa"/>
            <w:tcBorders>
              <w:top w:val="nil"/>
              <w:left w:val="nil"/>
              <w:bottom w:val="nil"/>
              <w:right w:val="nil"/>
            </w:tcBorders>
            <w:shd w:val="clear" w:color="auto" w:fill="auto"/>
            <w:vAlign w:val="bottom"/>
          </w:tcPr>
          <w:p>
            <w:pPr>
              <w:jc w:val="center"/>
              <w:rPr>
                <w:color w:val="000000"/>
              </w:rPr>
            </w:pPr>
            <w:r>
              <w:rPr>
                <w:color w:val="000000"/>
              </w:rPr>
              <w:t>37,122</w:t>
            </w:r>
          </w:p>
        </w:tc>
        <w:tc>
          <w:tcPr>
            <w:tcW w:w="1186" w:type="dxa"/>
            <w:tcBorders>
              <w:top w:val="nil"/>
              <w:left w:val="nil"/>
              <w:bottom w:val="nil"/>
              <w:right w:val="nil"/>
            </w:tcBorders>
            <w:shd w:val="clear" w:color="auto" w:fill="auto"/>
            <w:vAlign w:val="bottom"/>
          </w:tcPr>
          <w:p>
            <w:pPr>
              <w:jc w:val="center"/>
              <w:rPr>
                <w:color w:val="000000"/>
              </w:rPr>
            </w:pPr>
            <w:r>
              <w:rPr>
                <w:color w:val="000000"/>
              </w:rPr>
              <w:t>2,270,983</w:t>
            </w:r>
          </w:p>
        </w:tc>
        <w:tc>
          <w:tcPr>
            <w:tcW w:w="1586" w:type="dxa"/>
            <w:tcBorders>
              <w:top w:val="nil"/>
              <w:left w:val="nil"/>
              <w:bottom w:val="nil"/>
              <w:right w:val="nil"/>
            </w:tcBorders>
            <w:shd w:val="clear" w:color="auto" w:fill="auto"/>
            <w:vAlign w:val="bottom"/>
          </w:tcPr>
          <w:p>
            <w:pPr>
              <w:jc w:val="center"/>
              <w:rPr>
                <w:color w:val="000000"/>
              </w:rPr>
            </w:pPr>
            <w:r>
              <w:rPr>
                <w:color w:val="000000"/>
              </w:rPr>
              <w:t>2.05</w:t>
            </w:r>
          </w:p>
        </w:tc>
        <w:tc>
          <w:tcPr>
            <w:tcW w:w="1391" w:type="dxa"/>
            <w:tcBorders>
              <w:top w:val="nil"/>
              <w:left w:val="nil"/>
              <w:bottom w:val="nil"/>
              <w:right w:val="nil"/>
            </w:tcBorders>
            <w:shd w:val="clear" w:color="auto" w:fill="auto"/>
            <w:vAlign w:val="bottom"/>
          </w:tcPr>
          <w:p>
            <w:pPr>
              <w:jc w:val="center"/>
              <w:rPr>
                <w:color w:val="000000"/>
              </w:rPr>
            </w:pPr>
            <w:r>
              <w:rPr>
                <w:color w:val="000000"/>
              </w:rPr>
              <w:t>55.68</w:t>
            </w:r>
          </w:p>
        </w:tc>
      </w:tr>
      <w:tr>
        <w:tblPrEx>
          <w:tblCellMar>
            <w:top w:w="0" w:type="dxa"/>
            <w:left w:w="108" w:type="dxa"/>
            <w:bottom w:w="0" w:type="dxa"/>
            <w:right w:w="108" w:type="dxa"/>
          </w:tblCellMar>
        </w:tblPrEx>
        <w:trPr>
          <w:trHeight w:val="313" w:hRule="atLeast"/>
          <w:jc w:val="center"/>
        </w:trPr>
        <w:tc>
          <w:tcPr>
            <w:tcW w:w="970" w:type="dxa"/>
            <w:tcBorders>
              <w:top w:val="nil"/>
              <w:left w:val="nil"/>
              <w:bottom w:val="nil"/>
              <w:right w:val="nil"/>
            </w:tcBorders>
            <w:shd w:val="clear" w:color="auto" w:fill="auto"/>
            <w:noWrap/>
            <w:vAlign w:val="center"/>
          </w:tcPr>
          <w:p>
            <w:pPr>
              <w:jc w:val="center"/>
              <w:rPr>
                <w:color w:val="000000"/>
              </w:rPr>
            </w:pPr>
            <w:r>
              <w:rPr>
                <w:color w:val="000000"/>
              </w:rPr>
              <w:t>S39</w:t>
            </w:r>
          </w:p>
        </w:tc>
        <w:tc>
          <w:tcPr>
            <w:tcW w:w="1513" w:type="dxa"/>
            <w:tcBorders>
              <w:top w:val="nil"/>
              <w:left w:val="nil"/>
              <w:bottom w:val="nil"/>
              <w:right w:val="nil"/>
            </w:tcBorders>
            <w:shd w:val="clear" w:color="auto" w:fill="auto"/>
            <w:vAlign w:val="bottom"/>
          </w:tcPr>
          <w:p>
            <w:pPr>
              <w:jc w:val="center"/>
              <w:rPr>
                <w:color w:val="000000"/>
              </w:rPr>
            </w:pPr>
            <w:r>
              <w:rPr>
                <w:color w:val="000000"/>
              </w:rPr>
              <w:t>1,615,903</w:t>
            </w:r>
          </w:p>
        </w:tc>
        <w:tc>
          <w:tcPr>
            <w:tcW w:w="1790" w:type="dxa"/>
            <w:tcBorders>
              <w:top w:val="nil"/>
              <w:left w:val="nil"/>
              <w:bottom w:val="nil"/>
              <w:right w:val="nil"/>
            </w:tcBorders>
            <w:shd w:val="clear" w:color="auto" w:fill="auto"/>
            <w:vAlign w:val="bottom"/>
          </w:tcPr>
          <w:p>
            <w:pPr>
              <w:jc w:val="center"/>
              <w:rPr>
                <w:color w:val="000000"/>
              </w:rPr>
            </w:pPr>
            <w:r>
              <w:rPr>
                <w:color w:val="000000"/>
              </w:rPr>
              <w:t>32,695</w:t>
            </w:r>
          </w:p>
        </w:tc>
        <w:tc>
          <w:tcPr>
            <w:tcW w:w="1186" w:type="dxa"/>
            <w:tcBorders>
              <w:top w:val="nil"/>
              <w:left w:val="nil"/>
              <w:bottom w:val="nil"/>
              <w:right w:val="nil"/>
            </w:tcBorders>
            <w:shd w:val="clear" w:color="auto" w:fill="auto"/>
            <w:vAlign w:val="bottom"/>
          </w:tcPr>
          <w:p>
            <w:pPr>
              <w:jc w:val="center"/>
              <w:rPr>
                <w:color w:val="000000"/>
              </w:rPr>
            </w:pPr>
            <w:r>
              <w:rPr>
                <w:color w:val="000000"/>
              </w:rPr>
              <w:t>2,429,692</w:t>
            </w:r>
          </w:p>
        </w:tc>
        <w:tc>
          <w:tcPr>
            <w:tcW w:w="1586" w:type="dxa"/>
            <w:tcBorders>
              <w:top w:val="nil"/>
              <w:left w:val="nil"/>
              <w:bottom w:val="nil"/>
              <w:right w:val="nil"/>
            </w:tcBorders>
            <w:shd w:val="clear" w:color="auto" w:fill="auto"/>
            <w:vAlign w:val="bottom"/>
          </w:tcPr>
          <w:p>
            <w:pPr>
              <w:jc w:val="center"/>
              <w:rPr>
                <w:color w:val="000000"/>
              </w:rPr>
            </w:pPr>
            <w:r>
              <w:rPr>
                <w:color w:val="000000"/>
              </w:rPr>
              <w:t>1.98</w:t>
            </w:r>
          </w:p>
        </w:tc>
        <w:tc>
          <w:tcPr>
            <w:tcW w:w="1391" w:type="dxa"/>
            <w:tcBorders>
              <w:top w:val="nil"/>
              <w:left w:val="nil"/>
              <w:bottom w:val="nil"/>
              <w:right w:val="nil"/>
            </w:tcBorders>
            <w:shd w:val="clear" w:color="auto" w:fill="auto"/>
            <w:vAlign w:val="bottom"/>
          </w:tcPr>
          <w:p>
            <w:pPr>
              <w:jc w:val="center"/>
              <w:rPr>
                <w:color w:val="000000"/>
              </w:rPr>
            </w:pPr>
            <w:r>
              <w:rPr>
                <w:color w:val="000000"/>
              </w:rPr>
              <w:t>59.58</w:t>
            </w:r>
          </w:p>
        </w:tc>
      </w:tr>
      <w:tr>
        <w:tblPrEx>
          <w:tblCellMar>
            <w:top w:w="0" w:type="dxa"/>
            <w:left w:w="108" w:type="dxa"/>
            <w:bottom w:w="0" w:type="dxa"/>
            <w:right w:w="108" w:type="dxa"/>
          </w:tblCellMar>
        </w:tblPrEx>
        <w:trPr>
          <w:trHeight w:val="106" w:hRule="atLeast"/>
          <w:jc w:val="center"/>
        </w:trPr>
        <w:tc>
          <w:tcPr>
            <w:tcW w:w="970" w:type="dxa"/>
            <w:tcBorders>
              <w:top w:val="nil"/>
              <w:left w:val="nil"/>
              <w:bottom w:val="single" w:color="auto" w:sz="8" w:space="0"/>
              <w:right w:val="nil"/>
            </w:tcBorders>
            <w:shd w:val="clear" w:color="auto" w:fill="auto"/>
            <w:noWrap/>
            <w:vAlign w:val="center"/>
          </w:tcPr>
          <w:p>
            <w:pPr>
              <w:jc w:val="center"/>
              <w:rPr>
                <w:color w:val="000000"/>
              </w:rPr>
            </w:pPr>
            <w:r>
              <w:rPr>
                <w:color w:val="000000"/>
              </w:rPr>
              <w:t>S40</w:t>
            </w:r>
          </w:p>
        </w:tc>
        <w:tc>
          <w:tcPr>
            <w:tcW w:w="1513" w:type="dxa"/>
            <w:tcBorders>
              <w:top w:val="nil"/>
              <w:left w:val="nil"/>
              <w:bottom w:val="single" w:color="auto" w:sz="8" w:space="0"/>
              <w:right w:val="nil"/>
            </w:tcBorders>
            <w:shd w:val="clear" w:color="auto" w:fill="auto"/>
            <w:vAlign w:val="bottom"/>
          </w:tcPr>
          <w:p>
            <w:pPr>
              <w:jc w:val="center"/>
              <w:rPr>
                <w:color w:val="000000"/>
              </w:rPr>
            </w:pPr>
            <w:r>
              <w:rPr>
                <w:color w:val="000000"/>
              </w:rPr>
              <w:t>1,770,442</w:t>
            </w:r>
          </w:p>
        </w:tc>
        <w:tc>
          <w:tcPr>
            <w:tcW w:w="1790" w:type="dxa"/>
            <w:tcBorders>
              <w:top w:val="nil"/>
              <w:left w:val="nil"/>
              <w:bottom w:val="single" w:color="auto" w:sz="8" w:space="0"/>
              <w:right w:val="nil"/>
            </w:tcBorders>
            <w:shd w:val="clear" w:color="auto" w:fill="auto"/>
            <w:vAlign w:val="bottom"/>
          </w:tcPr>
          <w:p>
            <w:pPr>
              <w:jc w:val="center"/>
              <w:rPr>
                <w:color w:val="000000"/>
              </w:rPr>
            </w:pPr>
            <w:r>
              <w:rPr>
                <w:color w:val="000000"/>
              </w:rPr>
              <w:t>35,391</w:t>
            </w:r>
          </w:p>
        </w:tc>
        <w:tc>
          <w:tcPr>
            <w:tcW w:w="1186" w:type="dxa"/>
            <w:tcBorders>
              <w:top w:val="nil"/>
              <w:left w:val="nil"/>
              <w:bottom w:val="single" w:color="auto" w:sz="8" w:space="0"/>
              <w:right w:val="nil"/>
            </w:tcBorders>
            <w:shd w:val="clear" w:color="auto" w:fill="auto"/>
            <w:vAlign w:val="bottom"/>
          </w:tcPr>
          <w:p>
            <w:pPr>
              <w:jc w:val="center"/>
              <w:rPr>
                <w:color w:val="000000"/>
              </w:rPr>
            </w:pPr>
            <w:r>
              <w:rPr>
                <w:color w:val="000000"/>
              </w:rPr>
              <w:t>2,272,457</w:t>
            </w:r>
          </w:p>
        </w:tc>
        <w:tc>
          <w:tcPr>
            <w:tcW w:w="1586" w:type="dxa"/>
            <w:tcBorders>
              <w:top w:val="nil"/>
              <w:left w:val="nil"/>
              <w:bottom w:val="single" w:color="auto" w:sz="8" w:space="0"/>
              <w:right w:val="nil"/>
            </w:tcBorders>
            <w:shd w:val="clear" w:color="auto" w:fill="auto"/>
            <w:vAlign w:val="bottom"/>
          </w:tcPr>
          <w:p>
            <w:pPr>
              <w:jc w:val="center"/>
              <w:rPr>
                <w:color w:val="000000"/>
              </w:rPr>
            </w:pPr>
            <w:r>
              <w:rPr>
                <w:color w:val="000000"/>
              </w:rPr>
              <w:t>1.96</w:t>
            </w:r>
          </w:p>
        </w:tc>
        <w:tc>
          <w:tcPr>
            <w:tcW w:w="1391" w:type="dxa"/>
            <w:tcBorders>
              <w:top w:val="nil"/>
              <w:left w:val="nil"/>
              <w:bottom w:val="single" w:color="auto" w:sz="8" w:space="0"/>
              <w:right w:val="nil"/>
            </w:tcBorders>
            <w:shd w:val="clear" w:color="auto" w:fill="auto"/>
            <w:vAlign w:val="bottom"/>
          </w:tcPr>
          <w:p>
            <w:pPr>
              <w:jc w:val="center"/>
              <w:rPr>
                <w:color w:val="000000"/>
              </w:rPr>
            </w:pPr>
            <w:r>
              <w:rPr>
                <w:color w:val="000000"/>
              </w:rPr>
              <w:t>55.72</w:t>
            </w:r>
          </w:p>
        </w:tc>
      </w:tr>
    </w:tbl>
    <w:p>
      <w:r>
        <w:t xml:space="preserve">     </w:t>
      </w:r>
      <w:r>
        <w:rPr>
          <w:vertAlign w:val="superscript"/>
        </w:rPr>
        <w:t>*</w:t>
      </w:r>
      <w:r>
        <w:t>The nine gamete cells that failed quality control were marked with asterisk.</w:t>
      </w:r>
    </w:p>
    <w:p>
      <w:pPr>
        <w:rPr>
          <w:b w:val="0"/>
          <w:bCs w:val="0"/>
          <w:iCs/>
        </w:rPr>
      </w:pPr>
      <w:r>
        <w:rPr>
          <w:b/>
          <w:bCs/>
        </w:rPr>
        <w:t>Supplementary Table 6</w:t>
      </w:r>
      <w:r>
        <w:rPr>
          <w:rFonts w:hint="eastAsia" w:eastAsia="宋体"/>
          <w:b/>
          <w:bCs/>
        </w:rPr>
        <w:t xml:space="preserve">. </w:t>
      </w:r>
      <w:r>
        <w:rPr>
          <w:rFonts w:hint="eastAsia"/>
          <w:b w:val="0"/>
          <w:bCs w:val="0"/>
          <w:iCs/>
        </w:rPr>
        <w:t>The statistic of HiFi reads of the MH63×ZS97 hybrid.</w:t>
      </w:r>
    </w:p>
    <w:p>
      <w:pPr>
        <w:rPr>
          <w:rFonts w:eastAsia="宋体"/>
        </w:rPr>
      </w:pPr>
    </w:p>
    <w:tbl>
      <w:tblPr>
        <w:tblStyle w:val="5"/>
        <w:tblW w:w="9435" w:type="dxa"/>
        <w:tblInd w:w="93" w:type="dxa"/>
        <w:tblLayout w:type="autofit"/>
        <w:tblCellMar>
          <w:top w:w="0" w:type="dxa"/>
          <w:left w:w="108" w:type="dxa"/>
          <w:bottom w:w="0" w:type="dxa"/>
          <w:right w:w="108" w:type="dxa"/>
        </w:tblCellMar>
      </w:tblPr>
      <w:tblGrid>
        <w:gridCol w:w="1300"/>
        <w:gridCol w:w="1260"/>
        <w:gridCol w:w="2265"/>
        <w:gridCol w:w="2565"/>
        <w:gridCol w:w="2055"/>
      </w:tblGrid>
      <w:tr>
        <w:tblPrEx>
          <w:tblCellMar>
            <w:top w:w="0" w:type="dxa"/>
            <w:left w:w="108" w:type="dxa"/>
            <w:bottom w:w="0" w:type="dxa"/>
            <w:right w:w="108" w:type="dxa"/>
          </w:tblCellMar>
        </w:tblPrEx>
        <w:trPr>
          <w:trHeight w:val="330" w:hRule="atLeast"/>
        </w:trPr>
        <w:tc>
          <w:tcPr>
            <w:tcW w:w="1300" w:type="dxa"/>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rPr>
            </w:pPr>
            <w:r>
              <w:rPr>
                <w:rFonts w:eastAsia="等线"/>
                <w:b/>
                <w:bCs/>
                <w:lang w:bidi="ar"/>
              </w:rPr>
              <w:t>Read type</w:t>
            </w:r>
          </w:p>
        </w:tc>
        <w:tc>
          <w:tcPr>
            <w:tcW w:w="1260" w:type="dxa"/>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rPr>
            </w:pPr>
            <w:r>
              <w:rPr>
                <w:rFonts w:eastAsia="等线"/>
                <w:b/>
                <w:bCs/>
                <w:lang w:bidi="ar"/>
              </w:rPr>
              <w:t>Read count</w:t>
            </w:r>
          </w:p>
        </w:tc>
        <w:tc>
          <w:tcPr>
            <w:tcW w:w="2265" w:type="dxa"/>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rPr>
            </w:pPr>
            <w:r>
              <w:rPr>
                <w:rFonts w:eastAsia="等线"/>
                <w:b/>
                <w:bCs/>
                <w:lang w:bidi="ar"/>
              </w:rPr>
              <w:t>Read length N50 (bp)</w:t>
            </w:r>
          </w:p>
        </w:tc>
        <w:tc>
          <w:tcPr>
            <w:tcW w:w="2565" w:type="dxa"/>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rPr>
            </w:pPr>
            <w:r>
              <w:rPr>
                <w:rFonts w:eastAsia="等线"/>
                <w:b/>
                <w:bCs/>
                <w:lang w:bidi="ar"/>
              </w:rPr>
              <w:t>Average read length (bp)</w:t>
            </w:r>
          </w:p>
        </w:tc>
        <w:tc>
          <w:tcPr>
            <w:tcW w:w="2055" w:type="dxa"/>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rPr>
            </w:pPr>
            <w:r>
              <w:rPr>
                <w:rFonts w:eastAsia="等线"/>
                <w:b/>
                <w:bCs/>
                <w:lang w:bidi="ar"/>
              </w:rPr>
              <w:t>Total data (bp)</w:t>
            </w:r>
          </w:p>
        </w:tc>
      </w:tr>
      <w:tr>
        <w:tblPrEx>
          <w:tblCellMar>
            <w:top w:w="0" w:type="dxa"/>
            <w:left w:w="108" w:type="dxa"/>
            <w:bottom w:w="0" w:type="dxa"/>
            <w:right w:w="108" w:type="dxa"/>
          </w:tblCellMar>
        </w:tblPrEx>
        <w:trPr>
          <w:trHeight w:val="330" w:hRule="atLeast"/>
        </w:trPr>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HiFi</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1,576,247</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15,156</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14,937</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23,544,544,010</w:t>
            </w:r>
          </w:p>
        </w:tc>
      </w:tr>
    </w:tbl>
    <w:p/>
    <w:p>
      <w:pPr>
        <w:rPr>
          <w:b/>
          <w:bCs/>
          <w:iCs/>
        </w:rPr>
      </w:pPr>
      <w:r>
        <w:rPr>
          <w:b/>
          <w:bCs/>
        </w:rPr>
        <w:t xml:space="preserve">Supplementary Table </w:t>
      </w:r>
      <w:r>
        <w:rPr>
          <w:rFonts w:hint="eastAsia" w:eastAsia="宋体"/>
          <w:b/>
          <w:bCs/>
        </w:rPr>
        <w:t>7.</w:t>
      </w:r>
      <w:r>
        <w:rPr>
          <w:rFonts w:hint="eastAsia"/>
          <w:b/>
          <w:bCs/>
          <w:iCs/>
        </w:rPr>
        <w:t xml:space="preserve"> </w:t>
      </w:r>
      <w:r>
        <w:rPr>
          <w:rFonts w:hint="eastAsia"/>
          <w:b w:val="0"/>
          <w:bCs w:val="0"/>
          <w:iCs/>
        </w:rPr>
        <w:t>The statistic of single cell sequencing data of the tetrads of MH63×ZS97 hybrid</w:t>
      </w:r>
      <w:r>
        <w:rPr>
          <w:rFonts w:hint="eastAsia"/>
          <w:b/>
          <w:bCs/>
          <w:iCs/>
        </w:rPr>
        <w:t>.</w:t>
      </w:r>
    </w:p>
    <w:tbl>
      <w:tblPr>
        <w:tblStyle w:val="5"/>
        <w:tblW w:w="8160" w:type="dxa"/>
        <w:tblInd w:w="93" w:type="dxa"/>
        <w:tblLayout w:type="autofit"/>
        <w:tblCellMar>
          <w:top w:w="0" w:type="dxa"/>
          <w:left w:w="108" w:type="dxa"/>
          <w:bottom w:w="0" w:type="dxa"/>
          <w:right w:w="108" w:type="dxa"/>
        </w:tblCellMar>
      </w:tblPr>
      <w:tblGrid>
        <w:gridCol w:w="1300"/>
        <w:gridCol w:w="1553"/>
        <w:gridCol w:w="1882"/>
        <w:gridCol w:w="1553"/>
        <w:gridCol w:w="1882"/>
      </w:tblGrid>
      <w:tr>
        <w:tblPrEx>
          <w:tblCellMar>
            <w:top w:w="0" w:type="dxa"/>
            <w:left w:w="108" w:type="dxa"/>
            <w:bottom w:w="0" w:type="dxa"/>
            <w:right w:w="108" w:type="dxa"/>
          </w:tblCellMar>
        </w:tblPrEx>
        <w:trPr>
          <w:trHeight w:val="330" w:hRule="atLeast"/>
        </w:trPr>
        <w:tc>
          <w:tcPr>
            <w:tcW w:w="1300" w:type="dxa"/>
            <w:vMerge w:val="restart"/>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Sample</w:t>
            </w:r>
          </w:p>
        </w:tc>
        <w:tc>
          <w:tcPr>
            <w:tcW w:w="3435" w:type="dxa"/>
            <w:gridSpan w:val="2"/>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Raw reads</w:t>
            </w:r>
          </w:p>
        </w:tc>
        <w:tc>
          <w:tcPr>
            <w:tcW w:w="3435" w:type="dxa"/>
            <w:gridSpan w:val="2"/>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Clean reads</w:t>
            </w:r>
          </w:p>
        </w:tc>
      </w:tr>
      <w:tr>
        <w:tblPrEx>
          <w:tblCellMar>
            <w:top w:w="0" w:type="dxa"/>
            <w:left w:w="108" w:type="dxa"/>
            <w:bottom w:w="0" w:type="dxa"/>
            <w:right w:w="108" w:type="dxa"/>
          </w:tblCellMar>
        </w:tblPrEx>
        <w:trPr>
          <w:trHeight w:val="330" w:hRule="atLeast"/>
        </w:trPr>
        <w:tc>
          <w:tcPr>
            <w:tcW w:w="1300" w:type="dxa"/>
            <w:vMerge w:val="continue"/>
            <w:tcBorders>
              <w:top w:val="single" w:color="000000" w:sz="8" w:space="0"/>
              <w:left w:val="nil"/>
              <w:bottom w:val="single" w:color="000000" w:sz="8" w:space="0"/>
              <w:right w:val="nil"/>
            </w:tcBorders>
            <w:shd w:val="clear" w:color="auto" w:fill="auto"/>
            <w:noWrap/>
            <w:vAlign w:val="center"/>
          </w:tcPr>
          <w:p>
            <w:pPr>
              <w:jc w:val="center"/>
              <w:rPr>
                <w:rFonts w:eastAsia="等线"/>
              </w:rPr>
            </w:pP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Read count</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 xml:space="preserve">Base </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Read count</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 xml:space="preserve">Base </w:t>
            </w:r>
          </w:p>
        </w:tc>
      </w:tr>
      <w:tr>
        <w:tblPrEx>
          <w:tblCellMar>
            <w:top w:w="0" w:type="dxa"/>
            <w:left w:w="108" w:type="dxa"/>
            <w:bottom w:w="0" w:type="dxa"/>
            <w:right w:w="108" w:type="dxa"/>
          </w:tblCellMar>
        </w:tblPrEx>
        <w:trPr>
          <w:trHeight w:val="315" w:hRule="atLeast"/>
        </w:trPr>
        <w:tc>
          <w:tcPr>
            <w:tcW w:w="0" w:type="auto"/>
            <w:tcBorders>
              <w:top w:val="single" w:color="000000" w:sz="8" w:space="0"/>
              <w:left w:val="nil"/>
              <w:bottom w:val="nil"/>
              <w:right w:val="nil"/>
            </w:tcBorders>
            <w:shd w:val="clear" w:color="auto" w:fill="auto"/>
            <w:noWrap/>
            <w:vAlign w:val="center"/>
          </w:tcPr>
          <w:p>
            <w:pPr>
              <w:jc w:val="center"/>
              <w:textAlignment w:val="center"/>
              <w:rPr>
                <w:rFonts w:eastAsia="等线"/>
              </w:rPr>
            </w:pPr>
            <w:r>
              <w:rPr>
                <w:rFonts w:eastAsia="等线"/>
                <w:lang w:bidi="ar"/>
              </w:rPr>
              <w:t>RT41</w:t>
            </w:r>
          </w:p>
        </w:tc>
        <w:tc>
          <w:tcPr>
            <w:tcW w:w="0" w:type="auto"/>
            <w:tcBorders>
              <w:top w:val="single" w:color="000000" w:sz="8" w:space="0"/>
              <w:left w:val="nil"/>
              <w:bottom w:val="nil"/>
              <w:right w:val="nil"/>
            </w:tcBorders>
            <w:shd w:val="clear" w:color="auto" w:fill="auto"/>
            <w:noWrap/>
            <w:vAlign w:val="center"/>
          </w:tcPr>
          <w:p>
            <w:pPr>
              <w:jc w:val="center"/>
              <w:textAlignment w:val="center"/>
              <w:rPr>
                <w:rFonts w:eastAsia="等线"/>
              </w:rPr>
            </w:pPr>
            <w:r>
              <w:rPr>
                <w:rFonts w:eastAsia="等线"/>
                <w:lang w:bidi="ar"/>
              </w:rPr>
              <w:t>58,254,492</w:t>
            </w:r>
          </w:p>
        </w:tc>
        <w:tc>
          <w:tcPr>
            <w:tcW w:w="0" w:type="auto"/>
            <w:tcBorders>
              <w:top w:val="single" w:color="000000" w:sz="8" w:space="0"/>
              <w:left w:val="nil"/>
              <w:bottom w:val="nil"/>
              <w:right w:val="nil"/>
            </w:tcBorders>
            <w:shd w:val="clear" w:color="auto" w:fill="auto"/>
            <w:noWrap/>
            <w:vAlign w:val="center"/>
          </w:tcPr>
          <w:p>
            <w:pPr>
              <w:jc w:val="center"/>
              <w:textAlignment w:val="center"/>
              <w:rPr>
                <w:rFonts w:eastAsia="等线"/>
              </w:rPr>
            </w:pPr>
            <w:r>
              <w:rPr>
                <w:rFonts w:eastAsia="等线"/>
                <w:lang w:bidi="ar"/>
              </w:rPr>
              <w:t>8,759,015,552</w:t>
            </w:r>
          </w:p>
        </w:tc>
        <w:tc>
          <w:tcPr>
            <w:tcW w:w="0" w:type="auto"/>
            <w:tcBorders>
              <w:top w:val="single" w:color="000000" w:sz="8" w:space="0"/>
              <w:left w:val="nil"/>
              <w:bottom w:val="nil"/>
              <w:right w:val="nil"/>
            </w:tcBorders>
            <w:shd w:val="clear" w:color="auto" w:fill="auto"/>
            <w:noWrap/>
            <w:vAlign w:val="center"/>
          </w:tcPr>
          <w:p>
            <w:pPr>
              <w:jc w:val="center"/>
              <w:textAlignment w:val="center"/>
              <w:rPr>
                <w:rFonts w:eastAsia="等线"/>
              </w:rPr>
            </w:pPr>
            <w:r>
              <w:rPr>
                <w:rFonts w:eastAsia="等线"/>
                <w:lang w:bidi="ar"/>
              </w:rPr>
              <w:t>56,287,660</w:t>
            </w:r>
          </w:p>
        </w:tc>
        <w:tc>
          <w:tcPr>
            <w:tcW w:w="0" w:type="auto"/>
            <w:tcBorders>
              <w:top w:val="single" w:color="000000" w:sz="8" w:space="0"/>
              <w:left w:val="nil"/>
              <w:bottom w:val="nil"/>
              <w:right w:val="nil"/>
            </w:tcBorders>
            <w:shd w:val="clear" w:color="auto" w:fill="auto"/>
            <w:noWrap/>
            <w:vAlign w:val="center"/>
          </w:tcPr>
          <w:p>
            <w:pPr>
              <w:jc w:val="center"/>
              <w:textAlignment w:val="center"/>
              <w:rPr>
                <w:rFonts w:eastAsia="等线"/>
              </w:rPr>
            </w:pPr>
            <w:r>
              <w:rPr>
                <w:rFonts w:eastAsia="等线"/>
                <w:lang w:bidi="ar"/>
              </w:rPr>
              <w:t>8,265,514,514</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RT42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83,846,040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12,609,767,193</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81,268,224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11,945,643,467</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RT43</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83,406,624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12,542,300,431</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80,926,474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11,901,761,332</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RT44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100,654,960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15,135,314,658</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97,689,520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14,370,727,281</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RT71</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72,971,540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10,977,960,671</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70,229,432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10,272,436,005</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RT72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72,802,936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10,953,003,560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70,403,962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10,314,726,281</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RT73</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63,509,170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9,555,855,721</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60,300,104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8,778,729,731</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RT74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64,248,898</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9,666,357,008</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61,895,344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9,060,409,870</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SY11-1</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109,967,772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16,495,165,800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109,432,534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16,225,424,636</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SY11-2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86,458,770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12,968,815,500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85,939,628</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12,725,411,365</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SY11-3</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82,510,882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12,376,632,300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82,121,684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12,167,692,258</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SY11-4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39,351,486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5,902,722,900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38,687,906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5,657,186,898</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SY4-1</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72,181,524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10,827,228,600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71,801,426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10,638,655,087</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SY4-2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70,223,826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10,533,573,900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69,889,316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10,366,621,819</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SY4-3</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75,152,336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11,272,850,400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74,723,426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11,048,999,123</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SY4-4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66,906,102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10,035,915,300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66,528,532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9,853,820,997</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SY6-1</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59,872,644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8,980,896,600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59,007,468</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8,641,903,301</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SY6-2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58,286,934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8,743,040,100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57,509,056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8,435,277,259</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SY6-3</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57,722,378</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8,658,356,700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57,005,230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8,368,916,750</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SY6-4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85,273,448</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12,791,017,200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84,831,298</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12,572,792,007</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SY9-1</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53,626,392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8,043,958,800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53,280,868</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7,837,375,791</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hint="eastAsia" w:eastAsia="等线"/>
              </w:rPr>
            </w:pPr>
            <w:r>
              <w:rPr>
                <w:rFonts w:eastAsia="等线"/>
                <w:lang w:bidi="ar"/>
              </w:rPr>
              <w:t>SY9-2</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92,419,054</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13,862,858,100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91,774,086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13,561,021,661</w:t>
            </w:r>
          </w:p>
        </w:tc>
      </w:tr>
      <w:tr>
        <w:tblPrEx>
          <w:tblCellMar>
            <w:top w:w="0" w:type="dxa"/>
            <w:left w:w="108" w:type="dxa"/>
            <w:bottom w:w="0" w:type="dxa"/>
            <w:right w:w="108" w:type="dxa"/>
          </w:tblCellMar>
        </w:tblPrEx>
        <w:trPr>
          <w:trHeight w:val="315" w:hRule="atLeast"/>
        </w:trPr>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SY9-3</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77,274,726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11,591,208,900</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76,593,756</w:t>
            </w:r>
          </w:p>
        </w:tc>
        <w:tc>
          <w:tcPr>
            <w:tcW w:w="0" w:type="auto"/>
            <w:tcBorders>
              <w:top w:val="nil"/>
              <w:left w:val="nil"/>
              <w:bottom w:val="nil"/>
              <w:right w:val="nil"/>
            </w:tcBorders>
            <w:shd w:val="clear" w:color="auto" w:fill="auto"/>
            <w:noWrap/>
            <w:vAlign w:val="center"/>
          </w:tcPr>
          <w:p>
            <w:pPr>
              <w:jc w:val="center"/>
              <w:textAlignment w:val="center"/>
              <w:rPr>
                <w:rFonts w:eastAsia="等线"/>
              </w:rPr>
            </w:pPr>
            <w:r>
              <w:rPr>
                <w:rFonts w:eastAsia="等线"/>
                <w:lang w:bidi="ar"/>
              </w:rPr>
              <w:t>11,297,219,604</w:t>
            </w:r>
          </w:p>
        </w:tc>
      </w:tr>
      <w:tr>
        <w:tblPrEx>
          <w:tblCellMar>
            <w:top w:w="0" w:type="dxa"/>
            <w:left w:w="108" w:type="dxa"/>
            <w:bottom w:w="0" w:type="dxa"/>
            <w:right w:w="108" w:type="dxa"/>
          </w:tblCellMar>
        </w:tblPrEx>
        <w:trPr>
          <w:trHeight w:val="330" w:hRule="atLeast"/>
        </w:trPr>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SY9-4</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76,722,502</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11,508,375,300</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76,273,632</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11,270,407,794</w:t>
            </w:r>
          </w:p>
        </w:tc>
      </w:tr>
    </w:tbl>
    <w:p/>
    <w:p>
      <w:pPr>
        <w:rPr>
          <w:rFonts w:eastAsia="宋体"/>
          <w:b/>
          <w:bCs/>
        </w:rPr>
      </w:pPr>
      <w:r>
        <w:rPr>
          <w:b/>
          <w:bCs/>
        </w:rPr>
        <w:t xml:space="preserve">Supplementary Table </w:t>
      </w:r>
      <w:r>
        <w:rPr>
          <w:rFonts w:hint="eastAsia" w:eastAsia="宋体"/>
          <w:b/>
          <w:bCs/>
        </w:rPr>
        <w:t xml:space="preserve">8. </w:t>
      </w:r>
      <w:r>
        <w:rPr>
          <w:rFonts w:hint="eastAsia"/>
          <w:b w:val="0"/>
          <w:bCs w:val="0"/>
          <w:iCs/>
        </w:rPr>
        <w:t>The statistic of Hi-C reads of the MH63×ZS97 hybrid.</w:t>
      </w:r>
    </w:p>
    <w:tbl>
      <w:tblPr>
        <w:tblStyle w:val="5"/>
        <w:tblW w:w="7530" w:type="dxa"/>
        <w:tblInd w:w="93" w:type="dxa"/>
        <w:tblLayout w:type="autofit"/>
        <w:tblCellMar>
          <w:top w:w="0" w:type="dxa"/>
          <w:left w:w="108" w:type="dxa"/>
          <w:bottom w:w="0" w:type="dxa"/>
          <w:right w:w="108" w:type="dxa"/>
        </w:tblCellMar>
      </w:tblPr>
      <w:tblGrid>
        <w:gridCol w:w="1890"/>
        <w:gridCol w:w="2295"/>
        <w:gridCol w:w="3345"/>
      </w:tblGrid>
      <w:tr>
        <w:tblPrEx>
          <w:tblCellMar>
            <w:top w:w="0" w:type="dxa"/>
            <w:left w:w="108" w:type="dxa"/>
            <w:bottom w:w="0" w:type="dxa"/>
            <w:right w:w="108" w:type="dxa"/>
          </w:tblCellMar>
        </w:tblPrEx>
        <w:trPr>
          <w:trHeight w:val="330" w:hRule="atLeast"/>
        </w:trPr>
        <w:tc>
          <w:tcPr>
            <w:tcW w:w="1890" w:type="dxa"/>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rPr>
            </w:pPr>
            <w:r>
              <w:rPr>
                <w:rFonts w:eastAsia="等线"/>
                <w:b/>
                <w:bCs/>
                <w:lang w:bidi="ar"/>
              </w:rPr>
              <w:t>Tissue</w:t>
            </w:r>
          </w:p>
        </w:tc>
        <w:tc>
          <w:tcPr>
            <w:tcW w:w="2295" w:type="dxa"/>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rPr>
            </w:pPr>
            <w:r>
              <w:rPr>
                <w:rFonts w:eastAsia="等线"/>
                <w:b/>
                <w:bCs/>
                <w:lang w:bidi="ar"/>
              </w:rPr>
              <w:t>Total read pair</w:t>
            </w:r>
          </w:p>
        </w:tc>
        <w:tc>
          <w:tcPr>
            <w:tcW w:w="3345" w:type="dxa"/>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rPr>
            </w:pPr>
            <w:r>
              <w:rPr>
                <w:rFonts w:eastAsia="等线"/>
                <w:b/>
                <w:bCs/>
                <w:lang w:bidi="ar"/>
              </w:rPr>
              <w:t>Total read length (bp)</w:t>
            </w:r>
          </w:p>
        </w:tc>
      </w:tr>
      <w:tr>
        <w:tblPrEx>
          <w:tblCellMar>
            <w:top w:w="0" w:type="dxa"/>
            <w:left w:w="108" w:type="dxa"/>
            <w:bottom w:w="0" w:type="dxa"/>
            <w:right w:w="108" w:type="dxa"/>
          </w:tblCellMar>
        </w:tblPrEx>
        <w:trPr>
          <w:trHeight w:val="330" w:hRule="atLeast"/>
        </w:trPr>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 xml:space="preserve"> </w:t>
            </w:r>
            <w:r>
              <w:rPr>
                <w:rFonts w:hint="eastAsia" w:eastAsia="等线"/>
                <w:lang w:bidi="ar"/>
              </w:rPr>
              <w:t>R</w:t>
            </w:r>
            <w:r>
              <w:rPr>
                <w:rFonts w:eastAsia="等线"/>
                <w:lang w:bidi="ar"/>
              </w:rPr>
              <w:t>oot of rice F1</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677,267,436</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rPr>
            </w:pPr>
            <w:r>
              <w:rPr>
                <w:rFonts w:eastAsia="等线"/>
                <w:lang w:bidi="ar"/>
              </w:rPr>
              <w:t>101,590,115,400</w:t>
            </w:r>
          </w:p>
        </w:tc>
      </w:tr>
    </w:tbl>
    <w:p/>
    <w:p>
      <w:pPr>
        <w:rPr>
          <w:rFonts w:ascii="Arial" w:hAnsi="Arial" w:cs="Arial"/>
        </w:rPr>
      </w:pPr>
    </w:p>
    <w:p/>
    <w:p>
      <w:pPr>
        <w:rPr>
          <w:rFonts w:eastAsia="宋体"/>
          <w:b/>
          <w:bCs/>
        </w:rPr>
      </w:pPr>
      <w:r>
        <w:rPr>
          <w:b/>
          <w:bCs/>
        </w:rPr>
        <w:t xml:space="preserve">Supplementary Table </w:t>
      </w:r>
      <w:r>
        <w:rPr>
          <w:rFonts w:hint="eastAsia" w:eastAsia="宋体"/>
          <w:b/>
          <w:bCs/>
        </w:rPr>
        <w:t xml:space="preserve">9. </w:t>
      </w:r>
      <w:r>
        <w:rPr>
          <w:rFonts w:hint="eastAsia" w:eastAsia="宋体"/>
          <w:b w:val="0"/>
          <w:bCs w:val="0"/>
        </w:rPr>
        <w:t>Evaluation of Hifiasm assembly, Trio assembly and gcaPDA assembly.</w:t>
      </w:r>
    </w:p>
    <w:tbl>
      <w:tblPr>
        <w:tblStyle w:val="5"/>
        <w:tblW w:w="7530" w:type="dxa"/>
        <w:tblInd w:w="93" w:type="dxa"/>
        <w:tblLayout w:type="autofit"/>
        <w:tblCellMar>
          <w:top w:w="0" w:type="dxa"/>
          <w:left w:w="108" w:type="dxa"/>
          <w:bottom w:w="0" w:type="dxa"/>
          <w:right w:w="108" w:type="dxa"/>
        </w:tblCellMar>
      </w:tblPr>
      <w:tblGrid>
        <w:gridCol w:w="1147"/>
        <w:gridCol w:w="780"/>
        <w:gridCol w:w="733"/>
        <w:gridCol w:w="713"/>
        <w:gridCol w:w="486"/>
        <w:gridCol w:w="793"/>
        <w:gridCol w:w="733"/>
        <w:gridCol w:w="486"/>
        <w:gridCol w:w="530"/>
        <w:gridCol w:w="467"/>
        <w:gridCol w:w="493"/>
        <w:gridCol w:w="440"/>
      </w:tblGrid>
      <w:tr>
        <w:tblPrEx>
          <w:tblCellMar>
            <w:top w:w="0" w:type="dxa"/>
            <w:left w:w="108" w:type="dxa"/>
            <w:bottom w:w="0" w:type="dxa"/>
            <w:right w:w="108" w:type="dxa"/>
          </w:tblCellMar>
        </w:tblPrEx>
        <w:trPr>
          <w:trHeight w:val="285" w:hRule="atLeast"/>
        </w:trPr>
        <w:tc>
          <w:tcPr>
            <w:tcW w:w="1620" w:type="dxa"/>
            <w:vMerge w:val="restart"/>
            <w:tcBorders>
              <w:top w:val="single" w:color="000000" w:sz="8" w:space="0"/>
              <w:left w:val="single" w:color="000000" w:sz="8" w:space="0"/>
              <w:bottom w:val="single" w:color="000000" w:sz="8" w:space="0"/>
              <w:right w:val="nil"/>
            </w:tcBorders>
            <w:shd w:val="clear" w:color="auto" w:fill="auto"/>
            <w:vAlign w:val="center"/>
          </w:tcPr>
          <w:p>
            <w:pPr>
              <w:jc w:val="center"/>
              <w:textAlignment w:val="center"/>
              <w:rPr>
                <w:rFonts w:eastAsia="等线"/>
                <w:b/>
                <w:bCs/>
                <w:sz w:val="12"/>
                <w:szCs w:val="12"/>
              </w:rPr>
            </w:pPr>
            <w:r>
              <w:rPr>
                <w:rFonts w:eastAsia="等线"/>
                <w:b/>
                <w:bCs/>
                <w:sz w:val="12"/>
                <w:szCs w:val="12"/>
                <w:lang w:bidi="ar"/>
              </w:rPr>
              <w:t>Assembly</w:t>
            </w:r>
          </w:p>
        </w:tc>
        <w:tc>
          <w:tcPr>
            <w:tcW w:w="2070" w:type="dxa"/>
            <w:gridSpan w:val="3"/>
            <w:tcBorders>
              <w:top w:val="single" w:color="000000" w:sz="8" w:space="0"/>
              <w:left w:val="single" w:color="000000" w:sz="8" w:space="0"/>
              <w:bottom w:val="single" w:color="000000" w:sz="8" w:space="0"/>
              <w:right w:val="single" w:color="000000" w:sz="8" w:space="0"/>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Contigs</w:t>
            </w:r>
          </w:p>
        </w:tc>
        <w:tc>
          <w:tcPr>
            <w:tcW w:w="2175" w:type="dxa"/>
            <w:gridSpan w:val="4"/>
            <w:tcBorders>
              <w:top w:val="single" w:color="000000" w:sz="8" w:space="0"/>
              <w:left w:val="single" w:color="000000" w:sz="8" w:space="0"/>
              <w:bottom w:val="single" w:color="000000" w:sz="8" w:space="0"/>
              <w:right w:val="single" w:color="000000" w:sz="8" w:space="0"/>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Kmer completeness (%)</w:t>
            </w:r>
          </w:p>
        </w:tc>
        <w:tc>
          <w:tcPr>
            <w:tcW w:w="1665" w:type="dxa"/>
            <w:gridSpan w:val="4"/>
            <w:tcBorders>
              <w:top w:val="single" w:color="000000" w:sz="8" w:space="0"/>
              <w:left w:val="single" w:color="000000" w:sz="8" w:space="0"/>
              <w:bottom w:val="single" w:color="000000" w:sz="8" w:space="0"/>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Gene completeness (%)</w:t>
            </w:r>
          </w:p>
        </w:tc>
      </w:tr>
      <w:tr>
        <w:tblPrEx>
          <w:tblCellMar>
            <w:top w:w="0" w:type="dxa"/>
            <w:left w:w="108" w:type="dxa"/>
            <w:bottom w:w="0" w:type="dxa"/>
            <w:right w:w="108" w:type="dxa"/>
          </w:tblCellMar>
        </w:tblPrEx>
        <w:trPr>
          <w:trHeight w:val="285" w:hRule="atLeast"/>
        </w:trPr>
        <w:tc>
          <w:tcPr>
            <w:tcW w:w="1620" w:type="dxa"/>
            <w:vMerge w:val="continue"/>
            <w:tcBorders>
              <w:top w:val="single" w:color="000000" w:sz="8" w:space="0"/>
              <w:left w:val="single" w:color="000000" w:sz="8" w:space="0"/>
              <w:bottom w:val="single" w:color="000000" w:sz="8" w:space="0"/>
              <w:right w:val="nil"/>
            </w:tcBorders>
            <w:shd w:val="clear" w:color="auto" w:fill="auto"/>
            <w:vAlign w:val="center"/>
          </w:tcPr>
          <w:p>
            <w:pPr>
              <w:jc w:val="center"/>
              <w:rPr>
                <w:rFonts w:eastAsia="等线"/>
                <w:b/>
                <w:bCs/>
                <w:sz w:val="12"/>
                <w:szCs w:val="12"/>
              </w:rPr>
            </w:pPr>
          </w:p>
        </w:tc>
        <w:tc>
          <w:tcPr>
            <w:tcW w:w="0" w:type="auto"/>
            <w:tcBorders>
              <w:top w:val="single" w:color="000000" w:sz="8" w:space="0"/>
              <w:left w:val="single" w:color="000000" w:sz="8" w:space="0"/>
              <w:bottom w:val="single" w:color="000000" w:sz="8" w:space="0"/>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Total (Mb)</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 Number</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N50 (Mb)</w:t>
            </w:r>
          </w:p>
        </w:tc>
        <w:tc>
          <w:tcPr>
            <w:tcW w:w="0" w:type="auto"/>
            <w:tcBorders>
              <w:top w:val="single" w:color="000000" w:sz="8" w:space="0"/>
              <w:left w:val="single" w:color="000000" w:sz="8" w:space="0"/>
              <w:bottom w:val="single" w:color="000000" w:sz="8" w:space="0"/>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All</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Hap MH63</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Hap ZS97</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PPV</w:t>
            </w:r>
          </w:p>
        </w:tc>
        <w:tc>
          <w:tcPr>
            <w:tcW w:w="0" w:type="auto"/>
            <w:tcBorders>
              <w:top w:val="single" w:color="000000" w:sz="8" w:space="0"/>
              <w:left w:val="single" w:color="000000" w:sz="8" w:space="0"/>
              <w:bottom w:val="single" w:color="000000" w:sz="8" w:space="0"/>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Comp</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Dup.</w:t>
            </w:r>
          </w:p>
        </w:tc>
        <w:tc>
          <w:tcPr>
            <w:tcW w:w="0" w:type="auto"/>
            <w:tcBorders>
              <w:top w:val="single" w:color="000000" w:sz="8" w:space="0"/>
              <w:left w:val="nil"/>
              <w:bottom w:val="single" w:color="000000" w:sz="8" w:space="0"/>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Frag.</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Mis.</w:t>
            </w:r>
          </w:p>
        </w:tc>
      </w:tr>
      <w:tr>
        <w:tblPrEx>
          <w:tblCellMar>
            <w:top w:w="0" w:type="dxa"/>
            <w:left w:w="108" w:type="dxa"/>
            <w:bottom w:w="0" w:type="dxa"/>
            <w:right w:w="108" w:type="dxa"/>
          </w:tblCellMar>
        </w:tblPrEx>
        <w:trPr>
          <w:trHeight w:val="285" w:hRule="atLeast"/>
        </w:trPr>
        <w:tc>
          <w:tcPr>
            <w:tcW w:w="1620" w:type="dxa"/>
            <w:tcBorders>
              <w:top w:val="single" w:color="000000" w:sz="8" w:space="0"/>
              <w:left w:val="single" w:color="000000" w:sz="8" w:space="0"/>
              <w:bottom w:val="nil"/>
              <w:right w:val="nil"/>
            </w:tcBorders>
            <w:shd w:val="clear" w:color="auto" w:fill="auto"/>
            <w:vAlign w:val="center"/>
          </w:tcPr>
          <w:p>
            <w:pPr>
              <w:jc w:val="center"/>
              <w:textAlignment w:val="center"/>
              <w:rPr>
                <w:rFonts w:eastAsia="等线"/>
                <w:b/>
                <w:bCs/>
                <w:sz w:val="12"/>
                <w:szCs w:val="12"/>
              </w:rPr>
            </w:pPr>
            <w:r>
              <w:rPr>
                <w:rFonts w:eastAsia="等线"/>
                <w:b/>
                <w:bCs/>
                <w:sz w:val="12"/>
                <w:szCs w:val="12"/>
                <w:lang w:bidi="ar"/>
              </w:rPr>
              <w:t>Gapless reference</w:t>
            </w: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single" w:color="000000" w:sz="8" w:space="0"/>
            </w:tcBorders>
            <w:shd w:val="clear" w:color="auto" w:fill="auto"/>
            <w:noWrap/>
            <w:vAlign w:val="center"/>
          </w:tcPr>
          <w:p>
            <w:pPr>
              <w:jc w:val="center"/>
              <w:rPr>
                <w:rFonts w:eastAsia="等线"/>
                <w:b/>
                <w:bCs/>
                <w:sz w:val="12"/>
                <w:szCs w:val="12"/>
              </w:rPr>
            </w:pP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single" w:color="000000" w:sz="8" w:space="0"/>
            </w:tcBorders>
            <w:shd w:val="clear" w:color="auto" w:fill="auto"/>
            <w:noWrap/>
            <w:vAlign w:val="center"/>
          </w:tcPr>
          <w:p>
            <w:pPr>
              <w:jc w:val="center"/>
              <w:rPr>
                <w:rFonts w:eastAsia="等线"/>
                <w:b/>
                <w:bCs/>
                <w:sz w:val="12"/>
                <w:szCs w:val="12"/>
              </w:rPr>
            </w:pP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single" w:color="000000" w:sz="8" w:space="0"/>
            </w:tcBorders>
            <w:shd w:val="clear" w:color="auto" w:fill="auto"/>
            <w:noWrap/>
            <w:vAlign w:val="center"/>
          </w:tcPr>
          <w:p>
            <w:pPr>
              <w:jc w:val="center"/>
              <w:rPr>
                <w:rFonts w:eastAsia="等线"/>
                <w:b/>
                <w:bCs/>
                <w:sz w:val="12"/>
                <w:szCs w:val="12"/>
              </w:rPr>
            </w:pP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nil"/>
              <w:right w:val="nil"/>
            </w:tcBorders>
            <w:shd w:val="clear" w:color="auto" w:fill="auto"/>
            <w:vAlign w:val="center"/>
          </w:tcPr>
          <w:p>
            <w:pPr>
              <w:jc w:val="center"/>
              <w:textAlignment w:val="center"/>
              <w:rPr>
                <w:rFonts w:eastAsia="等线"/>
                <w:b/>
                <w:bCs/>
                <w:sz w:val="12"/>
                <w:szCs w:val="12"/>
              </w:rPr>
            </w:pPr>
            <w:r>
              <w:rPr>
                <w:rFonts w:eastAsia="等线"/>
                <w:b/>
                <w:bCs/>
                <w:sz w:val="12"/>
                <w:szCs w:val="12"/>
                <w:lang w:bidi="ar"/>
              </w:rPr>
              <w:t>MH63 genome</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396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12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31.9</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89.07</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99.86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0.03</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99.98</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98.4</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1.4</w:t>
            </w:r>
          </w:p>
        </w:tc>
      </w:tr>
      <w:tr>
        <w:tblPrEx>
          <w:tblCellMar>
            <w:top w:w="0" w:type="dxa"/>
            <w:left w:w="108" w:type="dxa"/>
            <w:bottom w:w="0" w:type="dxa"/>
            <w:right w:w="108" w:type="dxa"/>
          </w:tblCellMar>
        </w:tblPrEx>
        <w:trPr>
          <w:trHeight w:val="337" w:hRule="atLeast"/>
        </w:trPr>
        <w:tc>
          <w:tcPr>
            <w:tcW w:w="1620" w:type="dxa"/>
            <w:tcBorders>
              <w:top w:val="nil"/>
              <w:left w:val="single" w:color="000000" w:sz="8" w:space="0"/>
              <w:bottom w:val="nil"/>
              <w:right w:val="nil"/>
            </w:tcBorders>
            <w:shd w:val="clear" w:color="auto" w:fill="auto"/>
            <w:vAlign w:val="center"/>
          </w:tcPr>
          <w:p>
            <w:pPr>
              <w:jc w:val="center"/>
              <w:textAlignment w:val="center"/>
              <w:rPr>
                <w:rFonts w:eastAsia="等线"/>
                <w:b/>
                <w:bCs/>
                <w:sz w:val="12"/>
                <w:szCs w:val="12"/>
              </w:rPr>
            </w:pPr>
            <w:r>
              <w:rPr>
                <w:rFonts w:eastAsia="等线"/>
                <w:b/>
                <w:bCs/>
                <w:sz w:val="12"/>
                <w:szCs w:val="12"/>
                <w:lang w:bidi="ar"/>
              </w:rPr>
              <w:t>ZS97 genome</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392</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12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32.1</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88.61</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0.04</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99.96</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98.4</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1.4</w:t>
            </w: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single" w:color="000000" w:sz="8" w:space="0"/>
              <w:right w:val="nil"/>
            </w:tcBorders>
            <w:shd w:val="clear" w:color="auto" w:fill="auto"/>
            <w:vAlign w:val="center"/>
          </w:tcPr>
          <w:p>
            <w:pPr>
              <w:jc w:val="center"/>
              <w:textAlignment w:val="center"/>
              <w:rPr>
                <w:rFonts w:eastAsia="等线"/>
                <w:b/>
                <w:bCs/>
                <w:sz w:val="12"/>
                <w:szCs w:val="12"/>
              </w:rPr>
            </w:pPr>
            <w:r>
              <w:rPr>
                <w:rFonts w:eastAsia="等线"/>
                <w:b/>
                <w:bCs/>
                <w:sz w:val="12"/>
                <w:szCs w:val="12"/>
                <w:lang w:bidi="ar"/>
              </w:rPr>
              <w:t>MH63 + ZS97 genome</w:t>
            </w:r>
          </w:p>
        </w:tc>
        <w:tc>
          <w:tcPr>
            <w:tcW w:w="0" w:type="auto"/>
            <w:tcBorders>
              <w:top w:val="nil"/>
              <w:left w:val="single" w:color="000000" w:sz="8" w:space="0"/>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787</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24</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32.1</w:t>
            </w:r>
          </w:p>
        </w:tc>
        <w:tc>
          <w:tcPr>
            <w:tcW w:w="0" w:type="auto"/>
            <w:tcBorders>
              <w:top w:val="nil"/>
              <w:left w:val="single" w:color="000000" w:sz="8" w:space="0"/>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99.23</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99.86</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99.92</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99.97</w:t>
            </w:r>
          </w:p>
        </w:tc>
        <w:tc>
          <w:tcPr>
            <w:tcW w:w="0" w:type="auto"/>
            <w:tcBorders>
              <w:top w:val="nil"/>
              <w:left w:val="single" w:color="000000" w:sz="8" w:space="0"/>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98.4</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98.3</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0.2</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1.4</w:t>
            </w:r>
          </w:p>
        </w:tc>
      </w:tr>
      <w:tr>
        <w:tblPrEx>
          <w:tblCellMar>
            <w:top w:w="0" w:type="dxa"/>
            <w:left w:w="108" w:type="dxa"/>
            <w:bottom w:w="0" w:type="dxa"/>
            <w:right w:w="108" w:type="dxa"/>
          </w:tblCellMar>
        </w:tblPrEx>
        <w:trPr>
          <w:trHeight w:val="285" w:hRule="atLeast"/>
        </w:trPr>
        <w:tc>
          <w:tcPr>
            <w:tcW w:w="1620" w:type="dxa"/>
            <w:tcBorders>
              <w:top w:val="single" w:color="000000" w:sz="8" w:space="0"/>
              <w:left w:val="single" w:color="000000" w:sz="8" w:space="0"/>
              <w:bottom w:val="nil"/>
              <w:right w:val="single" w:color="000000" w:sz="8" w:space="0"/>
            </w:tcBorders>
            <w:shd w:val="clear" w:color="auto" w:fill="auto"/>
            <w:vAlign w:val="bottom"/>
          </w:tcPr>
          <w:p>
            <w:pPr>
              <w:jc w:val="center"/>
              <w:textAlignment w:val="bottom"/>
              <w:rPr>
                <w:rFonts w:eastAsia="等线"/>
                <w:b/>
                <w:bCs/>
                <w:sz w:val="12"/>
                <w:szCs w:val="12"/>
              </w:rPr>
            </w:pPr>
            <w:r>
              <w:rPr>
                <w:rFonts w:eastAsia="等线"/>
                <w:b/>
                <w:bCs/>
                <w:sz w:val="12"/>
                <w:szCs w:val="12"/>
                <w:lang w:bidi="ar"/>
              </w:rPr>
              <w:t>Hifiasm assembly</w:t>
            </w: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eastAsia="等线"/>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sz w:val="12"/>
                <w:szCs w:val="12"/>
              </w:rPr>
            </w:pP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eastAsia="等线"/>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sz w:val="12"/>
                <w:szCs w:val="12"/>
              </w:rPr>
            </w:pPr>
          </w:p>
        </w:tc>
        <w:tc>
          <w:tcPr>
            <w:tcW w:w="0" w:type="auto"/>
            <w:tcBorders>
              <w:top w:val="single" w:color="000000" w:sz="8" w:space="0"/>
              <w:left w:val="nil"/>
              <w:bottom w:val="nil"/>
              <w:right w:val="single" w:color="000000" w:sz="8" w:space="0"/>
            </w:tcBorders>
            <w:shd w:val="clear" w:color="auto" w:fill="auto"/>
            <w:noWrap/>
            <w:vAlign w:val="center"/>
          </w:tcPr>
          <w:p>
            <w:pPr>
              <w:jc w:val="center"/>
              <w:rPr>
                <w:rFonts w:eastAsia="等线"/>
                <w:sz w:val="12"/>
                <w:szCs w:val="12"/>
              </w:rPr>
            </w:pP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eastAsia="等线"/>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sz w:val="12"/>
                <w:szCs w:val="12"/>
              </w:rPr>
            </w:pPr>
          </w:p>
        </w:tc>
        <w:tc>
          <w:tcPr>
            <w:tcW w:w="0" w:type="auto"/>
            <w:tcBorders>
              <w:top w:val="single" w:color="000000" w:sz="8" w:space="0"/>
              <w:left w:val="nil"/>
              <w:bottom w:val="nil"/>
              <w:right w:val="single" w:color="000000" w:sz="8" w:space="0"/>
            </w:tcBorders>
            <w:shd w:val="clear" w:color="auto" w:fill="auto"/>
            <w:noWrap/>
            <w:vAlign w:val="center"/>
          </w:tcPr>
          <w:p>
            <w:pPr>
              <w:jc w:val="center"/>
              <w:rPr>
                <w:rFonts w:eastAsia="等线"/>
                <w:sz w:val="12"/>
                <w:szCs w:val="12"/>
              </w:rPr>
            </w:pP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nil"/>
              <w:right w:val="single" w:color="000000" w:sz="8" w:space="0"/>
            </w:tcBorders>
            <w:shd w:val="clear" w:color="auto" w:fill="auto"/>
            <w:vAlign w:val="bottom"/>
          </w:tcPr>
          <w:p>
            <w:pPr>
              <w:jc w:val="center"/>
              <w:textAlignment w:val="bottom"/>
              <w:rPr>
                <w:rFonts w:eastAsia="等线"/>
                <w:sz w:val="12"/>
                <w:szCs w:val="12"/>
              </w:rPr>
            </w:pPr>
            <w:r>
              <w:rPr>
                <w:rFonts w:eastAsia="等线"/>
                <w:sz w:val="12"/>
                <w:szCs w:val="12"/>
                <w:lang w:bidi="ar"/>
              </w:rPr>
              <w:t>Hap1 contigs</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413</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254</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31.6</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89.44</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50.54</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54.62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50.66</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98.4</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1.4</w:t>
            </w: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nil"/>
              <w:right w:val="single" w:color="000000" w:sz="8" w:space="0"/>
            </w:tcBorders>
            <w:shd w:val="clear" w:color="auto" w:fill="auto"/>
            <w:vAlign w:val="bottom"/>
          </w:tcPr>
          <w:p>
            <w:pPr>
              <w:jc w:val="center"/>
              <w:textAlignment w:val="bottom"/>
              <w:rPr>
                <w:rFonts w:eastAsia="等线"/>
                <w:sz w:val="12"/>
                <w:szCs w:val="12"/>
              </w:rPr>
            </w:pPr>
            <w:r>
              <w:rPr>
                <w:rFonts w:eastAsia="等线"/>
                <w:sz w:val="12"/>
                <w:szCs w:val="12"/>
                <w:lang w:bidi="ar"/>
              </w:rPr>
              <w:t>Hap2 contigs</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390</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108</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21.2</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87.47</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50.50</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46.26</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45.22</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97.6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0.3</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2.1</w:t>
            </w: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single" w:color="000000" w:sz="8" w:space="0"/>
              <w:right w:val="single" w:color="000000" w:sz="8" w:space="0"/>
            </w:tcBorders>
            <w:shd w:val="clear" w:color="auto" w:fill="auto"/>
            <w:vAlign w:val="bottom"/>
          </w:tcPr>
          <w:p>
            <w:pPr>
              <w:jc w:val="center"/>
              <w:textAlignment w:val="bottom"/>
              <w:rPr>
                <w:rFonts w:eastAsia="等线"/>
                <w:sz w:val="12"/>
                <w:szCs w:val="12"/>
              </w:rPr>
            </w:pPr>
            <w:r>
              <w:rPr>
                <w:rFonts w:eastAsia="等线"/>
                <w:sz w:val="12"/>
                <w:szCs w:val="12"/>
                <w:lang w:bidi="ar"/>
              </w:rPr>
              <w:t>Hap1+Hap2 contigs</w:t>
            </w:r>
          </w:p>
        </w:tc>
        <w:tc>
          <w:tcPr>
            <w:tcW w:w="0" w:type="auto"/>
            <w:tcBorders>
              <w:top w:val="nil"/>
              <w:left w:val="single" w:color="000000" w:sz="8" w:space="0"/>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803</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362</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28.3</w:t>
            </w:r>
          </w:p>
        </w:tc>
        <w:tc>
          <w:tcPr>
            <w:tcW w:w="0" w:type="auto"/>
            <w:tcBorders>
              <w:top w:val="nil"/>
              <w:left w:val="single" w:color="000000" w:sz="8" w:space="0"/>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99.31</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99.97</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99.94</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48.05</w:t>
            </w:r>
          </w:p>
        </w:tc>
        <w:tc>
          <w:tcPr>
            <w:tcW w:w="0" w:type="auto"/>
            <w:tcBorders>
              <w:top w:val="nil"/>
              <w:left w:val="single" w:color="000000" w:sz="8" w:space="0"/>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98.8</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hint="eastAsia" w:eastAsia="等线"/>
                <w:sz w:val="12"/>
                <w:szCs w:val="12"/>
              </w:rPr>
            </w:pPr>
            <w:r>
              <w:rPr>
                <w:rFonts w:eastAsia="等线"/>
                <w:sz w:val="12"/>
                <w:szCs w:val="12"/>
                <w:lang w:bidi="ar"/>
              </w:rPr>
              <w:t>97.3</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0.2</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1.0</w:t>
            </w:r>
          </w:p>
        </w:tc>
      </w:tr>
      <w:tr>
        <w:tblPrEx>
          <w:tblCellMar>
            <w:top w:w="0" w:type="dxa"/>
            <w:left w:w="108" w:type="dxa"/>
            <w:bottom w:w="0" w:type="dxa"/>
            <w:right w:w="108" w:type="dxa"/>
          </w:tblCellMar>
        </w:tblPrEx>
        <w:trPr>
          <w:trHeight w:val="285" w:hRule="atLeast"/>
        </w:trPr>
        <w:tc>
          <w:tcPr>
            <w:tcW w:w="0" w:type="auto"/>
            <w:tcBorders>
              <w:top w:val="nil"/>
              <w:left w:val="single" w:color="000000" w:sz="8" w:space="0"/>
              <w:bottom w:val="nil"/>
              <w:right w:val="nil"/>
            </w:tcBorders>
            <w:shd w:val="clear" w:color="auto" w:fill="auto"/>
            <w:noWrap/>
            <w:vAlign w:val="bottom"/>
          </w:tcPr>
          <w:p>
            <w:pPr>
              <w:jc w:val="center"/>
              <w:textAlignment w:val="bottom"/>
              <w:rPr>
                <w:rFonts w:eastAsia="等线"/>
                <w:b/>
                <w:bCs/>
                <w:sz w:val="12"/>
                <w:szCs w:val="12"/>
              </w:rPr>
            </w:pPr>
            <w:r>
              <w:rPr>
                <w:rFonts w:eastAsia="等线"/>
                <w:b/>
                <w:bCs/>
                <w:sz w:val="12"/>
                <w:szCs w:val="12"/>
                <w:lang w:bidi="ar"/>
              </w:rPr>
              <w:t>Trio-bin assembly</w:t>
            </w:r>
          </w:p>
        </w:tc>
        <w:tc>
          <w:tcPr>
            <w:tcW w:w="0" w:type="auto"/>
            <w:tcBorders>
              <w:top w:val="nil"/>
              <w:left w:val="single" w:color="000000" w:sz="8" w:space="0"/>
              <w:bottom w:val="nil"/>
              <w:right w:val="nil"/>
            </w:tcBorders>
            <w:shd w:val="clear" w:color="auto" w:fill="auto"/>
            <w:noWrap/>
            <w:vAlign w:val="center"/>
          </w:tcPr>
          <w:p>
            <w:pPr>
              <w:jc w:val="center"/>
              <w:rPr>
                <w:rFonts w:eastAsia="等线"/>
                <w:sz w:val="12"/>
                <w:szCs w:val="12"/>
              </w:rPr>
            </w:pPr>
          </w:p>
        </w:tc>
        <w:tc>
          <w:tcPr>
            <w:tcW w:w="0" w:type="auto"/>
            <w:tcBorders>
              <w:top w:val="nil"/>
              <w:left w:val="nil"/>
              <w:bottom w:val="nil"/>
              <w:right w:val="nil"/>
            </w:tcBorders>
            <w:shd w:val="clear" w:color="auto" w:fill="auto"/>
            <w:noWrap/>
            <w:vAlign w:val="center"/>
          </w:tcPr>
          <w:p>
            <w:pPr>
              <w:jc w:val="center"/>
              <w:rPr>
                <w:rFonts w:eastAsia="等线"/>
                <w:sz w:val="12"/>
                <w:szCs w:val="12"/>
              </w:rPr>
            </w:pPr>
          </w:p>
        </w:tc>
        <w:tc>
          <w:tcPr>
            <w:tcW w:w="0" w:type="auto"/>
            <w:tcBorders>
              <w:top w:val="nil"/>
              <w:left w:val="nil"/>
              <w:bottom w:val="nil"/>
              <w:right w:val="nil"/>
            </w:tcBorders>
            <w:shd w:val="clear" w:color="auto" w:fill="auto"/>
            <w:noWrap/>
            <w:vAlign w:val="center"/>
          </w:tcPr>
          <w:p>
            <w:pPr>
              <w:jc w:val="center"/>
              <w:rPr>
                <w:rFonts w:eastAsia="等线"/>
                <w:sz w:val="12"/>
                <w:szCs w:val="12"/>
              </w:rPr>
            </w:pPr>
          </w:p>
        </w:tc>
        <w:tc>
          <w:tcPr>
            <w:tcW w:w="0" w:type="auto"/>
            <w:tcBorders>
              <w:top w:val="nil"/>
              <w:left w:val="single" w:color="000000" w:sz="8" w:space="0"/>
              <w:bottom w:val="nil"/>
              <w:right w:val="nil"/>
            </w:tcBorders>
            <w:shd w:val="clear" w:color="auto" w:fill="auto"/>
            <w:noWrap/>
            <w:vAlign w:val="center"/>
          </w:tcPr>
          <w:p>
            <w:pPr>
              <w:jc w:val="center"/>
              <w:rPr>
                <w:rFonts w:eastAsia="等线"/>
                <w:sz w:val="12"/>
                <w:szCs w:val="12"/>
              </w:rPr>
            </w:pPr>
          </w:p>
        </w:tc>
        <w:tc>
          <w:tcPr>
            <w:tcW w:w="0" w:type="auto"/>
            <w:tcBorders>
              <w:top w:val="nil"/>
              <w:left w:val="nil"/>
              <w:bottom w:val="nil"/>
              <w:right w:val="nil"/>
            </w:tcBorders>
            <w:shd w:val="clear" w:color="auto" w:fill="auto"/>
            <w:noWrap/>
            <w:vAlign w:val="center"/>
          </w:tcPr>
          <w:p>
            <w:pPr>
              <w:jc w:val="center"/>
              <w:rPr>
                <w:rFonts w:eastAsia="等线"/>
                <w:sz w:val="12"/>
                <w:szCs w:val="12"/>
              </w:rPr>
            </w:pPr>
          </w:p>
        </w:tc>
        <w:tc>
          <w:tcPr>
            <w:tcW w:w="0" w:type="auto"/>
            <w:tcBorders>
              <w:top w:val="nil"/>
              <w:left w:val="nil"/>
              <w:bottom w:val="nil"/>
              <w:right w:val="nil"/>
            </w:tcBorders>
            <w:shd w:val="clear" w:color="auto" w:fill="auto"/>
            <w:noWrap/>
            <w:vAlign w:val="center"/>
          </w:tcPr>
          <w:p>
            <w:pPr>
              <w:jc w:val="center"/>
              <w:rPr>
                <w:rFonts w:eastAsia="等线"/>
                <w:sz w:val="12"/>
                <w:szCs w:val="12"/>
              </w:rPr>
            </w:pPr>
          </w:p>
        </w:tc>
        <w:tc>
          <w:tcPr>
            <w:tcW w:w="0" w:type="auto"/>
            <w:tcBorders>
              <w:top w:val="nil"/>
              <w:left w:val="nil"/>
              <w:bottom w:val="nil"/>
              <w:right w:val="single" w:color="000000" w:sz="8" w:space="0"/>
            </w:tcBorders>
            <w:shd w:val="clear" w:color="auto" w:fill="auto"/>
            <w:noWrap/>
            <w:vAlign w:val="center"/>
          </w:tcPr>
          <w:p>
            <w:pPr>
              <w:jc w:val="center"/>
              <w:rPr>
                <w:rFonts w:eastAsia="等线"/>
                <w:sz w:val="12"/>
                <w:szCs w:val="12"/>
              </w:rPr>
            </w:pPr>
          </w:p>
        </w:tc>
        <w:tc>
          <w:tcPr>
            <w:tcW w:w="0" w:type="auto"/>
            <w:tcBorders>
              <w:top w:val="nil"/>
              <w:left w:val="single" w:color="000000" w:sz="8" w:space="0"/>
              <w:bottom w:val="nil"/>
              <w:right w:val="nil"/>
            </w:tcBorders>
            <w:shd w:val="clear" w:color="auto" w:fill="auto"/>
            <w:noWrap/>
            <w:vAlign w:val="center"/>
          </w:tcPr>
          <w:p>
            <w:pPr>
              <w:jc w:val="center"/>
              <w:rPr>
                <w:rFonts w:eastAsia="等线"/>
                <w:sz w:val="12"/>
                <w:szCs w:val="12"/>
              </w:rPr>
            </w:pPr>
          </w:p>
        </w:tc>
        <w:tc>
          <w:tcPr>
            <w:tcW w:w="0" w:type="auto"/>
            <w:tcBorders>
              <w:top w:val="nil"/>
              <w:left w:val="nil"/>
              <w:bottom w:val="nil"/>
              <w:right w:val="nil"/>
            </w:tcBorders>
            <w:shd w:val="clear" w:color="auto" w:fill="auto"/>
            <w:noWrap/>
            <w:vAlign w:val="center"/>
          </w:tcPr>
          <w:p>
            <w:pPr>
              <w:jc w:val="center"/>
              <w:rPr>
                <w:rFonts w:eastAsia="等线"/>
                <w:sz w:val="12"/>
                <w:szCs w:val="12"/>
              </w:rPr>
            </w:pPr>
          </w:p>
        </w:tc>
        <w:tc>
          <w:tcPr>
            <w:tcW w:w="0" w:type="auto"/>
            <w:tcBorders>
              <w:top w:val="nil"/>
              <w:left w:val="nil"/>
              <w:bottom w:val="nil"/>
              <w:right w:val="nil"/>
            </w:tcBorders>
            <w:shd w:val="clear" w:color="auto" w:fill="auto"/>
            <w:noWrap/>
            <w:vAlign w:val="center"/>
          </w:tcPr>
          <w:p>
            <w:pPr>
              <w:jc w:val="center"/>
              <w:rPr>
                <w:rFonts w:eastAsia="等线"/>
                <w:sz w:val="12"/>
                <w:szCs w:val="12"/>
              </w:rPr>
            </w:pPr>
          </w:p>
        </w:tc>
        <w:tc>
          <w:tcPr>
            <w:tcW w:w="0" w:type="auto"/>
            <w:tcBorders>
              <w:top w:val="nil"/>
              <w:left w:val="nil"/>
              <w:bottom w:val="nil"/>
              <w:right w:val="single" w:color="000000" w:sz="8" w:space="0"/>
            </w:tcBorders>
            <w:shd w:val="clear" w:color="auto" w:fill="auto"/>
            <w:noWrap/>
            <w:vAlign w:val="center"/>
          </w:tcPr>
          <w:p>
            <w:pPr>
              <w:jc w:val="center"/>
              <w:rPr>
                <w:rFonts w:eastAsia="等线"/>
                <w:sz w:val="12"/>
                <w:szCs w:val="12"/>
              </w:rPr>
            </w:pP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nil"/>
              <w:right w:val="nil"/>
            </w:tcBorders>
            <w:shd w:val="clear" w:color="auto" w:fill="auto"/>
            <w:vAlign w:val="bottom"/>
          </w:tcPr>
          <w:p>
            <w:pPr>
              <w:jc w:val="center"/>
              <w:textAlignment w:val="bottom"/>
              <w:rPr>
                <w:rFonts w:eastAsia="等线"/>
                <w:sz w:val="12"/>
                <w:szCs w:val="12"/>
              </w:rPr>
            </w:pPr>
            <w:r>
              <w:rPr>
                <w:rFonts w:eastAsia="等线"/>
                <w:sz w:val="12"/>
                <w:szCs w:val="12"/>
                <w:lang w:bidi="ar"/>
              </w:rPr>
              <w:t>MH63 contigs</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409</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253</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25.6</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89.18</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99.98</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0.06</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99.95</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98.5</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1.3</w:t>
            </w: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nil"/>
              <w:right w:val="nil"/>
            </w:tcBorders>
            <w:shd w:val="clear" w:color="auto" w:fill="auto"/>
            <w:vAlign w:val="bottom"/>
          </w:tcPr>
          <w:p>
            <w:pPr>
              <w:jc w:val="center"/>
              <w:textAlignment w:val="bottom"/>
              <w:rPr>
                <w:rFonts w:eastAsia="等线"/>
                <w:sz w:val="12"/>
                <w:szCs w:val="12"/>
              </w:rPr>
            </w:pPr>
            <w:r>
              <w:rPr>
                <w:rFonts w:eastAsia="等线"/>
                <w:sz w:val="12"/>
                <w:szCs w:val="12"/>
                <w:lang w:bidi="ar"/>
              </w:rPr>
              <w:t>ZS97 contigs</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396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137</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27.9</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87.69</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0.07</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99.98</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99.93</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97.3</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2.5</w:t>
            </w: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nil"/>
              <w:right w:val="nil"/>
            </w:tcBorders>
            <w:shd w:val="clear" w:color="auto" w:fill="auto"/>
            <w:vAlign w:val="bottom"/>
          </w:tcPr>
          <w:p>
            <w:pPr>
              <w:jc w:val="center"/>
              <w:textAlignment w:val="bottom"/>
              <w:rPr>
                <w:rFonts w:eastAsia="等线"/>
                <w:sz w:val="12"/>
                <w:szCs w:val="12"/>
              </w:rPr>
            </w:pPr>
            <w:r>
              <w:rPr>
                <w:rFonts w:eastAsia="等线"/>
                <w:sz w:val="12"/>
                <w:szCs w:val="12"/>
                <w:lang w:bidi="ar"/>
              </w:rPr>
              <w:t>MH63 + ZS97 contigs</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804</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390</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25.6</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99.31</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99.98</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99.98</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99.94</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98.8</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97.0</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0.2</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1.0</w:t>
            </w:r>
          </w:p>
        </w:tc>
      </w:tr>
      <w:tr>
        <w:tblPrEx>
          <w:tblCellMar>
            <w:top w:w="0" w:type="dxa"/>
            <w:left w:w="108" w:type="dxa"/>
            <w:bottom w:w="0" w:type="dxa"/>
            <w:right w:w="108" w:type="dxa"/>
          </w:tblCellMar>
        </w:tblPrEx>
        <w:trPr>
          <w:trHeight w:val="285" w:hRule="atLeast"/>
        </w:trPr>
        <w:tc>
          <w:tcPr>
            <w:tcW w:w="0" w:type="auto"/>
            <w:tcBorders>
              <w:top w:val="single" w:color="000000" w:sz="8" w:space="0"/>
              <w:left w:val="single" w:color="000000" w:sz="8" w:space="0"/>
              <w:bottom w:val="nil"/>
              <w:right w:val="nil"/>
            </w:tcBorders>
            <w:shd w:val="clear" w:color="auto" w:fill="auto"/>
            <w:noWrap/>
            <w:vAlign w:val="center"/>
          </w:tcPr>
          <w:p>
            <w:pPr>
              <w:jc w:val="center"/>
              <w:textAlignment w:val="center"/>
              <w:rPr>
                <w:rFonts w:eastAsia="等线"/>
                <w:b/>
                <w:bCs/>
                <w:sz w:val="12"/>
                <w:szCs w:val="12"/>
              </w:rPr>
            </w:pPr>
            <w:r>
              <w:rPr>
                <w:rFonts w:eastAsia="等线"/>
                <w:b/>
                <w:bCs/>
                <w:sz w:val="12"/>
                <w:szCs w:val="12"/>
                <w:lang w:bidi="ar"/>
              </w:rPr>
              <w:t>gcaPDA assembly</w:t>
            </w: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single" w:color="000000" w:sz="8" w:space="0"/>
            </w:tcBorders>
            <w:shd w:val="clear" w:color="auto" w:fill="auto"/>
            <w:noWrap/>
            <w:vAlign w:val="center"/>
          </w:tcPr>
          <w:p>
            <w:pPr>
              <w:jc w:val="center"/>
              <w:rPr>
                <w:rFonts w:eastAsia="等线"/>
                <w:b/>
                <w:bCs/>
                <w:sz w:val="12"/>
                <w:szCs w:val="12"/>
              </w:rPr>
            </w:pP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single" w:color="000000" w:sz="8" w:space="0"/>
            </w:tcBorders>
            <w:shd w:val="clear" w:color="auto" w:fill="auto"/>
            <w:noWrap/>
            <w:vAlign w:val="center"/>
          </w:tcPr>
          <w:p>
            <w:pPr>
              <w:jc w:val="center"/>
              <w:rPr>
                <w:rFonts w:eastAsia="等线"/>
                <w:b/>
                <w:bCs/>
                <w:sz w:val="12"/>
                <w:szCs w:val="12"/>
              </w:rPr>
            </w:pPr>
          </w:p>
        </w:tc>
        <w:tc>
          <w:tcPr>
            <w:tcW w:w="0" w:type="auto"/>
            <w:tcBorders>
              <w:top w:val="single" w:color="000000" w:sz="8" w:space="0"/>
              <w:left w:val="single" w:color="000000" w:sz="8" w:space="0"/>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nil"/>
            </w:tcBorders>
            <w:shd w:val="clear" w:color="auto" w:fill="auto"/>
            <w:noWrap/>
            <w:vAlign w:val="center"/>
          </w:tcPr>
          <w:p>
            <w:pPr>
              <w:jc w:val="center"/>
              <w:rPr>
                <w:rFonts w:eastAsia="等线"/>
                <w:b/>
                <w:bCs/>
                <w:sz w:val="12"/>
                <w:szCs w:val="12"/>
              </w:rPr>
            </w:pPr>
          </w:p>
        </w:tc>
        <w:tc>
          <w:tcPr>
            <w:tcW w:w="0" w:type="auto"/>
            <w:tcBorders>
              <w:top w:val="single" w:color="000000" w:sz="8" w:space="0"/>
              <w:left w:val="nil"/>
              <w:bottom w:val="nil"/>
              <w:right w:val="single" w:color="000000" w:sz="8" w:space="0"/>
            </w:tcBorders>
            <w:shd w:val="clear" w:color="auto" w:fill="auto"/>
            <w:noWrap/>
            <w:vAlign w:val="center"/>
          </w:tcPr>
          <w:p>
            <w:pPr>
              <w:jc w:val="center"/>
              <w:rPr>
                <w:rFonts w:eastAsia="等线"/>
                <w:b/>
                <w:bCs/>
                <w:sz w:val="12"/>
                <w:szCs w:val="12"/>
              </w:rPr>
            </w:pP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nil"/>
              <w:right w:val="nil"/>
            </w:tcBorders>
            <w:shd w:val="clear" w:color="auto" w:fill="auto"/>
            <w:vAlign w:val="center"/>
          </w:tcPr>
          <w:p>
            <w:pPr>
              <w:jc w:val="center"/>
              <w:textAlignment w:val="center"/>
              <w:rPr>
                <w:rFonts w:eastAsia="等线"/>
                <w:sz w:val="12"/>
                <w:szCs w:val="12"/>
              </w:rPr>
            </w:pPr>
            <w:r>
              <w:rPr>
                <w:rFonts w:eastAsia="等线"/>
                <w:sz w:val="12"/>
                <w:szCs w:val="12"/>
                <w:lang w:bidi="ar"/>
              </w:rPr>
              <w:t>hapMH63 contigs</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408</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303</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15.7</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88.87</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99.01</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1.69</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98.48</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98.2</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0.3</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1.5</w:t>
            </w: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nil"/>
              <w:right w:val="nil"/>
            </w:tcBorders>
            <w:shd w:val="clear" w:color="auto" w:fill="auto"/>
            <w:vAlign w:val="center"/>
          </w:tcPr>
          <w:p>
            <w:pPr>
              <w:jc w:val="center"/>
              <w:textAlignment w:val="center"/>
              <w:rPr>
                <w:rFonts w:eastAsia="等线"/>
                <w:sz w:val="12"/>
                <w:szCs w:val="12"/>
              </w:rPr>
            </w:pPr>
            <w:r>
              <w:rPr>
                <w:rFonts w:eastAsia="等线"/>
                <w:sz w:val="12"/>
                <w:szCs w:val="12"/>
                <w:lang w:bidi="ar"/>
              </w:rPr>
              <w:t>HapZS97 contigs</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397</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125</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19.1</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87.97</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1.35</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98.66</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98.51</w:t>
            </w:r>
          </w:p>
        </w:tc>
        <w:tc>
          <w:tcPr>
            <w:tcW w:w="0" w:type="auto"/>
            <w:tcBorders>
              <w:top w:val="nil"/>
              <w:left w:val="single" w:color="000000" w:sz="8" w:space="0"/>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97.6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0.6</w:t>
            </w:r>
          </w:p>
        </w:tc>
        <w:tc>
          <w:tcPr>
            <w:tcW w:w="0" w:type="auto"/>
            <w:tcBorders>
              <w:top w:val="nil"/>
              <w:left w:val="nil"/>
              <w:bottom w:val="nil"/>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0.3</w:t>
            </w:r>
          </w:p>
        </w:tc>
        <w:tc>
          <w:tcPr>
            <w:tcW w:w="0" w:type="auto"/>
            <w:tcBorders>
              <w:top w:val="nil"/>
              <w:left w:val="nil"/>
              <w:bottom w:val="nil"/>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2.1</w:t>
            </w:r>
          </w:p>
        </w:tc>
      </w:tr>
      <w:tr>
        <w:tblPrEx>
          <w:tblCellMar>
            <w:top w:w="0" w:type="dxa"/>
            <w:left w:w="108" w:type="dxa"/>
            <w:bottom w:w="0" w:type="dxa"/>
            <w:right w:w="108" w:type="dxa"/>
          </w:tblCellMar>
        </w:tblPrEx>
        <w:trPr>
          <w:trHeight w:val="285" w:hRule="atLeast"/>
        </w:trPr>
        <w:tc>
          <w:tcPr>
            <w:tcW w:w="1620" w:type="dxa"/>
            <w:tcBorders>
              <w:top w:val="nil"/>
              <w:left w:val="single" w:color="000000" w:sz="8" w:space="0"/>
              <w:bottom w:val="single" w:color="000000" w:sz="8" w:space="0"/>
              <w:right w:val="nil"/>
            </w:tcBorders>
            <w:shd w:val="clear" w:color="auto" w:fill="auto"/>
            <w:vAlign w:val="center"/>
          </w:tcPr>
          <w:p>
            <w:pPr>
              <w:jc w:val="center"/>
              <w:textAlignment w:val="center"/>
              <w:rPr>
                <w:rFonts w:eastAsia="等线"/>
                <w:sz w:val="12"/>
                <w:szCs w:val="12"/>
              </w:rPr>
            </w:pPr>
            <w:r>
              <w:rPr>
                <w:rFonts w:eastAsia="等线"/>
                <w:sz w:val="12"/>
                <w:szCs w:val="12"/>
                <w:lang w:bidi="ar"/>
              </w:rPr>
              <w:t>HapMH63 +hapZS97 assembly</w:t>
            </w:r>
          </w:p>
        </w:tc>
        <w:tc>
          <w:tcPr>
            <w:tcW w:w="0" w:type="auto"/>
            <w:tcBorders>
              <w:top w:val="nil"/>
              <w:left w:val="single" w:color="000000" w:sz="8" w:space="0"/>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805</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428</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17.6</w:t>
            </w:r>
          </w:p>
        </w:tc>
        <w:tc>
          <w:tcPr>
            <w:tcW w:w="0" w:type="auto"/>
            <w:tcBorders>
              <w:top w:val="nil"/>
              <w:left w:val="single" w:color="000000" w:sz="8" w:space="0"/>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99.31</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99.97</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99.97</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98.50</w:t>
            </w:r>
          </w:p>
        </w:tc>
        <w:tc>
          <w:tcPr>
            <w:tcW w:w="0" w:type="auto"/>
            <w:tcBorders>
              <w:top w:val="nil"/>
              <w:left w:val="single" w:color="000000" w:sz="8" w:space="0"/>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98.6</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97.2</w:t>
            </w:r>
          </w:p>
        </w:tc>
        <w:tc>
          <w:tcPr>
            <w:tcW w:w="0" w:type="auto"/>
            <w:tcBorders>
              <w:top w:val="nil"/>
              <w:left w:val="nil"/>
              <w:bottom w:val="single" w:color="000000" w:sz="8" w:space="0"/>
              <w:right w:val="nil"/>
            </w:tcBorders>
            <w:shd w:val="clear" w:color="auto" w:fill="auto"/>
            <w:noWrap/>
            <w:vAlign w:val="center"/>
          </w:tcPr>
          <w:p>
            <w:pPr>
              <w:jc w:val="center"/>
              <w:textAlignment w:val="center"/>
              <w:rPr>
                <w:rFonts w:eastAsia="等线"/>
                <w:sz w:val="12"/>
                <w:szCs w:val="12"/>
              </w:rPr>
            </w:pPr>
            <w:r>
              <w:rPr>
                <w:rFonts w:eastAsia="等线"/>
                <w:sz w:val="12"/>
                <w:szCs w:val="12"/>
                <w:lang w:bidi="ar"/>
              </w:rPr>
              <w:t>0.3</w:t>
            </w:r>
          </w:p>
        </w:tc>
        <w:tc>
          <w:tcPr>
            <w:tcW w:w="0" w:type="auto"/>
            <w:tcBorders>
              <w:top w:val="nil"/>
              <w:left w:val="nil"/>
              <w:bottom w:val="single" w:color="000000" w:sz="8" w:space="0"/>
              <w:right w:val="single" w:color="000000" w:sz="8" w:space="0"/>
            </w:tcBorders>
            <w:shd w:val="clear" w:color="auto" w:fill="auto"/>
            <w:noWrap/>
            <w:vAlign w:val="center"/>
          </w:tcPr>
          <w:p>
            <w:pPr>
              <w:jc w:val="center"/>
              <w:textAlignment w:val="center"/>
              <w:rPr>
                <w:rFonts w:eastAsia="等线"/>
                <w:sz w:val="12"/>
                <w:szCs w:val="12"/>
              </w:rPr>
            </w:pPr>
            <w:r>
              <w:rPr>
                <w:rFonts w:eastAsia="等线"/>
                <w:sz w:val="12"/>
                <w:szCs w:val="12"/>
                <w:lang w:bidi="ar"/>
              </w:rPr>
              <w:t>1.1</w:t>
            </w:r>
          </w:p>
        </w:tc>
      </w:tr>
    </w:tbl>
    <w:p/>
    <w:p>
      <w:r>
        <w:rPr>
          <w:b/>
          <w:bCs/>
        </w:rPr>
        <w:t xml:space="preserve">Supplementary Table </w:t>
      </w:r>
      <w:r>
        <w:rPr>
          <w:rFonts w:hint="eastAsia" w:eastAsia="宋体"/>
          <w:b/>
          <w:bCs/>
        </w:rPr>
        <w:t>10</w:t>
      </w:r>
      <w:r>
        <w:rPr>
          <w:b/>
          <w:bCs/>
        </w:rPr>
        <w:t xml:space="preserve">. </w:t>
      </w:r>
      <w:r>
        <w:t>Statistics of haplotype blocks from the other haplotype.</w:t>
      </w:r>
    </w:p>
    <w:p>
      <w:pPr>
        <w:rPr>
          <w:rFonts w:ascii="Arial" w:hAnsi="Arial" w:cs="Arial"/>
        </w:rPr>
      </w:pPr>
    </w:p>
    <w:tbl>
      <w:tblPr>
        <w:tblStyle w:val="5"/>
        <w:tblW w:w="8800" w:type="dxa"/>
        <w:tblInd w:w="0" w:type="dxa"/>
        <w:tblLayout w:type="autofit"/>
        <w:tblCellMar>
          <w:top w:w="0" w:type="dxa"/>
          <w:left w:w="108" w:type="dxa"/>
          <w:bottom w:w="0" w:type="dxa"/>
          <w:right w:w="108" w:type="dxa"/>
        </w:tblCellMar>
      </w:tblPr>
      <w:tblGrid>
        <w:gridCol w:w="1780"/>
        <w:gridCol w:w="1780"/>
        <w:gridCol w:w="1440"/>
        <w:gridCol w:w="1910"/>
        <w:gridCol w:w="1890"/>
      </w:tblGrid>
      <w:tr>
        <w:tblPrEx>
          <w:tblCellMar>
            <w:top w:w="0" w:type="dxa"/>
            <w:left w:w="108" w:type="dxa"/>
            <w:bottom w:w="0" w:type="dxa"/>
            <w:right w:w="108" w:type="dxa"/>
          </w:tblCellMar>
        </w:tblPrEx>
        <w:trPr>
          <w:trHeight w:val="340" w:hRule="atLeast"/>
        </w:trPr>
        <w:tc>
          <w:tcPr>
            <w:tcW w:w="1780" w:type="dxa"/>
            <w:vMerge w:val="restart"/>
            <w:tcBorders>
              <w:top w:val="single" w:color="auto" w:sz="8" w:space="0"/>
              <w:left w:val="nil"/>
              <w:bottom w:val="single" w:color="auto" w:sz="8" w:space="0"/>
              <w:right w:val="nil"/>
            </w:tcBorders>
            <w:shd w:val="clear" w:color="auto" w:fill="auto"/>
            <w:vAlign w:val="center"/>
          </w:tcPr>
          <w:p>
            <w:pPr>
              <w:jc w:val="center"/>
              <w:rPr>
                <w:b/>
                <w:bCs/>
                <w:color w:val="000000"/>
              </w:rPr>
            </w:pPr>
            <w:r>
              <w:rPr>
                <w:b/>
                <w:bCs/>
                <w:color w:val="000000"/>
              </w:rPr>
              <w:t> </w:t>
            </w:r>
          </w:p>
        </w:tc>
        <w:tc>
          <w:tcPr>
            <w:tcW w:w="3220" w:type="dxa"/>
            <w:gridSpan w:val="2"/>
            <w:tcBorders>
              <w:top w:val="single" w:color="auto" w:sz="8" w:space="0"/>
              <w:left w:val="nil"/>
              <w:bottom w:val="single" w:color="auto" w:sz="8" w:space="0"/>
              <w:right w:val="nil"/>
            </w:tcBorders>
            <w:shd w:val="clear" w:color="auto" w:fill="auto"/>
            <w:noWrap/>
            <w:vAlign w:val="center"/>
          </w:tcPr>
          <w:p>
            <w:pPr>
              <w:jc w:val="center"/>
              <w:rPr>
                <w:b/>
                <w:bCs/>
                <w:color w:val="000000"/>
              </w:rPr>
            </w:pPr>
            <w:r>
              <w:rPr>
                <w:b/>
                <w:bCs/>
                <w:color w:val="000000"/>
              </w:rPr>
              <w:t>Chromosomes</w:t>
            </w:r>
          </w:p>
        </w:tc>
        <w:tc>
          <w:tcPr>
            <w:tcW w:w="3800" w:type="dxa"/>
            <w:gridSpan w:val="2"/>
            <w:tcBorders>
              <w:top w:val="single" w:color="auto" w:sz="8" w:space="0"/>
              <w:left w:val="nil"/>
              <w:bottom w:val="single" w:color="auto" w:sz="8" w:space="0"/>
              <w:right w:val="nil"/>
            </w:tcBorders>
            <w:shd w:val="clear" w:color="auto" w:fill="auto"/>
            <w:noWrap/>
            <w:vAlign w:val="center"/>
          </w:tcPr>
          <w:p>
            <w:pPr>
              <w:jc w:val="center"/>
              <w:rPr>
                <w:b/>
                <w:bCs/>
                <w:color w:val="000000"/>
              </w:rPr>
            </w:pPr>
            <w:r>
              <w:rPr>
                <w:b/>
                <w:bCs/>
                <w:color w:val="000000"/>
              </w:rPr>
              <w:t>Un-anchored sequences</w:t>
            </w:r>
          </w:p>
        </w:tc>
      </w:tr>
      <w:tr>
        <w:tblPrEx>
          <w:tblCellMar>
            <w:top w:w="0" w:type="dxa"/>
            <w:left w:w="108" w:type="dxa"/>
            <w:bottom w:w="0" w:type="dxa"/>
            <w:right w:w="108" w:type="dxa"/>
          </w:tblCellMar>
        </w:tblPrEx>
        <w:trPr>
          <w:trHeight w:val="340" w:hRule="atLeast"/>
        </w:trPr>
        <w:tc>
          <w:tcPr>
            <w:tcW w:w="1780" w:type="dxa"/>
            <w:vMerge w:val="continue"/>
            <w:tcBorders>
              <w:top w:val="single" w:color="auto" w:sz="8" w:space="0"/>
              <w:left w:val="nil"/>
              <w:bottom w:val="single" w:color="auto" w:sz="8" w:space="0"/>
              <w:right w:val="nil"/>
            </w:tcBorders>
            <w:vAlign w:val="center"/>
          </w:tcPr>
          <w:p>
            <w:pPr>
              <w:rPr>
                <w:b/>
                <w:bCs/>
                <w:color w:val="000000"/>
              </w:rPr>
            </w:pPr>
          </w:p>
        </w:tc>
        <w:tc>
          <w:tcPr>
            <w:tcW w:w="1780" w:type="dxa"/>
            <w:tcBorders>
              <w:top w:val="nil"/>
              <w:left w:val="nil"/>
              <w:bottom w:val="single" w:color="auto" w:sz="8" w:space="0"/>
              <w:right w:val="nil"/>
            </w:tcBorders>
            <w:shd w:val="clear" w:color="auto" w:fill="auto"/>
            <w:noWrap/>
            <w:vAlign w:val="center"/>
          </w:tcPr>
          <w:p>
            <w:pPr>
              <w:jc w:val="center"/>
              <w:rPr>
                <w:b/>
                <w:bCs/>
                <w:color w:val="000000"/>
              </w:rPr>
            </w:pPr>
            <w:r>
              <w:rPr>
                <w:b/>
                <w:bCs/>
                <w:color w:val="000000"/>
              </w:rPr>
              <w:t>Length (bp)</w:t>
            </w:r>
          </w:p>
        </w:tc>
        <w:tc>
          <w:tcPr>
            <w:tcW w:w="1440" w:type="dxa"/>
            <w:tcBorders>
              <w:top w:val="nil"/>
              <w:left w:val="nil"/>
              <w:bottom w:val="single" w:color="auto" w:sz="8" w:space="0"/>
              <w:right w:val="nil"/>
            </w:tcBorders>
            <w:shd w:val="clear" w:color="auto" w:fill="auto"/>
            <w:noWrap/>
            <w:vAlign w:val="center"/>
          </w:tcPr>
          <w:p>
            <w:pPr>
              <w:jc w:val="center"/>
              <w:rPr>
                <w:b/>
                <w:bCs/>
                <w:color w:val="000000"/>
              </w:rPr>
            </w:pPr>
            <w:r>
              <w:rPr>
                <w:b/>
                <w:bCs/>
                <w:color w:val="000000"/>
              </w:rPr>
              <w:t>Percent (%)</w:t>
            </w:r>
          </w:p>
        </w:tc>
        <w:tc>
          <w:tcPr>
            <w:tcW w:w="1910" w:type="dxa"/>
            <w:tcBorders>
              <w:top w:val="nil"/>
              <w:left w:val="nil"/>
              <w:bottom w:val="single" w:color="auto" w:sz="8" w:space="0"/>
              <w:right w:val="nil"/>
            </w:tcBorders>
            <w:shd w:val="clear" w:color="auto" w:fill="auto"/>
            <w:noWrap/>
            <w:vAlign w:val="center"/>
          </w:tcPr>
          <w:p>
            <w:pPr>
              <w:jc w:val="center"/>
              <w:rPr>
                <w:b/>
                <w:bCs/>
                <w:color w:val="000000"/>
              </w:rPr>
            </w:pPr>
            <w:r>
              <w:rPr>
                <w:b/>
                <w:bCs/>
                <w:color w:val="000000"/>
              </w:rPr>
              <w:t>Length (bp)</w:t>
            </w:r>
          </w:p>
        </w:tc>
        <w:tc>
          <w:tcPr>
            <w:tcW w:w="1890" w:type="dxa"/>
            <w:tcBorders>
              <w:top w:val="nil"/>
              <w:left w:val="nil"/>
              <w:bottom w:val="single" w:color="auto" w:sz="8" w:space="0"/>
              <w:right w:val="nil"/>
            </w:tcBorders>
            <w:shd w:val="clear" w:color="auto" w:fill="auto"/>
            <w:noWrap/>
            <w:vAlign w:val="center"/>
          </w:tcPr>
          <w:p>
            <w:pPr>
              <w:jc w:val="center"/>
              <w:rPr>
                <w:b/>
                <w:bCs/>
                <w:color w:val="000000"/>
              </w:rPr>
            </w:pPr>
            <w:r>
              <w:rPr>
                <w:b/>
                <w:bCs/>
                <w:color w:val="000000"/>
              </w:rPr>
              <w:t>Percent (%)</w:t>
            </w:r>
          </w:p>
        </w:tc>
      </w:tr>
      <w:tr>
        <w:tblPrEx>
          <w:tblCellMar>
            <w:top w:w="0" w:type="dxa"/>
            <w:left w:w="108" w:type="dxa"/>
            <w:bottom w:w="0" w:type="dxa"/>
            <w:right w:w="108" w:type="dxa"/>
          </w:tblCellMar>
        </w:tblPrEx>
        <w:trPr>
          <w:trHeight w:val="680" w:hRule="atLeast"/>
        </w:trPr>
        <w:tc>
          <w:tcPr>
            <w:tcW w:w="1780" w:type="dxa"/>
            <w:tcBorders>
              <w:top w:val="nil"/>
              <w:left w:val="nil"/>
              <w:bottom w:val="nil"/>
              <w:right w:val="nil"/>
            </w:tcBorders>
            <w:shd w:val="clear" w:color="auto" w:fill="auto"/>
            <w:vAlign w:val="center"/>
          </w:tcPr>
          <w:p>
            <w:pPr>
              <w:rPr>
                <w:color w:val="000000"/>
              </w:rPr>
            </w:pPr>
            <w:r>
              <w:rPr>
                <w:color w:val="000000"/>
              </w:rPr>
              <w:t>HapSK assembly</w:t>
            </w:r>
          </w:p>
        </w:tc>
        <w:tc>
          <w:tcPr>
            <w:tcW w:w="1780" w:type="dxa"/>
            <w:tcBorders>
              <w:top w:val="nil"/>
              <w:left w:val="nil"/>
              <w:bottom w:val="nil"/>
              <w:right w:val="nil"/>
            </w:tcBorders>
            <w:shd w:val="clear" w:color="auto" w:fill="auto"/>
            <w:noWrap/>
            <w:vAlign w:val="center"/>
          </w:tcPr>
          <w:p>
            <w:pPr>
              <w:jc w:val="center"/>
              <w:rPr>
                <w:color w:val="000000"/>
              </w:rPr>
            </w:pPr>
            <w:r>
              <w:rPr>
                <w:color w:val="000000"/>
              </w:rPr>
              <w:t>2,086,840,877</w:t>
            </w:r>
          </w:p>
        </w:tc>
        <w:tc>
          <w:tcPr>
            <w:tcW w:w="1440" w:type="dxa"/>
            <w:tcBorders>
              <w:top w:val="nil"/>
              <w:left w:val="nil"/>
              <w:bottom w:val="nil"/>
              <w:right w:val="nil"/>
            </w:tcBorders>
            <w:shd w:val="clear" w:color="auto" w:fill="auto"/>
            <w:noWrap/>
            <w:vAlign w:val="center"/>
          </w:tcPr>
          <w:p>
            <w:pPr>
              <w:jc w:val="center"/>
              <w:rPr>
                <w:color w:val="000000"/>
              </w:rPr>
            </w:pPr>
            <w:r>
              <w:rPr>
                <w:color w:val="000000"/>
              </w:rPr>
              <w:t>96.52</w:t>
            </w:r>
          </w:p>
        </w:tc>
        <w:tc>
          <w:tcPr>
            <w:tcW w:w="1910" w:type="dxa"/>
            <w:tcBorders>
              <w:top w:val="nil"/>
              <w:left w:val="nil"/>
              <w:bottom w:val="nil"/>
              <w:right w:val="nil"/>
            </w:tcBorders>
            <w:shd w:val="clear" w:color="auto" w:fill="auto"/>
            <w:noWrap/>
            <w:vAlign w:val="center"/>
          </w:tcPr>
          <w:p>
            <w:pPr>
              <w:jc w:val="center"/>
              <w:rPr>
                <w:color w:val="000000"/>
                <w:sz w:val="28"/>
                <w:szCs w:val="28"/>
              </w:rPr>
            </w:pPr>
            <w:r>
              <w:rPr>
                <w:color w:val="000000"/>
                <w:sz w:val="28"/>
                <w:szCs w:val="28"/>
              </w:rPr>
              <w:t>75,287,149</w:t>
            </w:r>
          </w:p>
        </w:tc>
        <w:tc>
          <w:tcPr>
            <w:tcW w:w="1890" w:type="dxa"/>
            <w:tcBorders>
              <w:top w:val="nil"/>
              <w:left w:val="nil"/>
              <w:bottom w:val="nil"/>
              <w:right w:val="nil"/>
            </w:tcBorders>
            <w:shd w:val="clear" w:color="auto" w:fill="auto"/>
            <w:noWrap/>
            <w:vAlign w:val="center"/>
          </w:tcPr>
          <w:p>
            <w:pPr>
              <w:jc w:val="center"/>
              <w:rPr>
                <w:color w:val="000000"/>
              </w:rPr>
            </w:pPr>
            <w:r>
              <w:rPr>
                <w:color w:val="000000"/>
              </w:rPr>
              <w:t>3.48</w:t>
            </w:r>
          </w:p>
        </w:tc>
      </w:tr>
      <w:tr>
        <w:tblPrEx>
          <w:tblCellMar>
            <w:top w:w="0" w:type="dxa"/>
            <w:left w:w="108" w:type="dxa"/>
            <w:bottom w:w="0" w:type="dxa"/>
            <w:right w:w="108" w:type="dxa"/>
          </w:tblCellMar>
        </w:tblPrEx>
        <w:trPr>
          <w:trHeight w:val="680" w:hRule="atLeast"/>
        </w:trPr>
        <w:tc>
          <w:tcPr>
            <w:tcW w:w="1780" w:type="dxa"/>
            <w:tcBorders>
              <w:top w:val="nil"/>
              <w:left w:val="nil"/>
              <w:bottom w:val="nil"/>
              <w:right w:val="nil"/>
            </w:tcBorders>
            <w:shd w:val="clear" w:color="auto" w:fill="auto"/>
            <w:vAlign w:val="center"/>
          </w:tcPr>
          <w:p>
            <w:pPr>
              <w:rPr>
                <w:color w:val="000000"/>
              </w:rPr>
            </w:pPr>
            <w:r>
              <w:rPr>
                <w:color w:val="000000"/>
              </w:rPr>
              <w:t>HapB73 assenbly</w:t>
            </w:r>
          </w:p>
        </w:tc>
        <w:tc>
          <w:tcPr>
            <w:tcW w:w="1780" w:type="dxa"/>
            <w:tcBorders>
              <w:top w:val="nil"/>
              <w:left w:val="nil"/>
              <w:bottom w:val="nil"/>
              <w:right w:val="nil"/>
            </w:tcBorders>
            <w:shd w:val="clear" w:color="auto" w:fill="auto"/>
            <w:noWrap/>
            <w:vAlign w:val="center"/>
          </w:tcPr>
          <w:p>
            <w:pPr>
              <w:jc w:val="center"/>
              <w:rPr>
                <w:color w:val="000000"/>
              </w:rPr>
            </w:pPr>
            <w:r>
              <w:rPr>
                <w:color w:val="000000"/>
              </w:rPr>
              <w:t>2,104,568,114</w:t>
            </w:r>
          </w:p>
        </w:tc>
        <w:tc>
          <w:tcPr>
            <w:tcW w:w="1440" w:type="dxa"/>
            <w:tcBorders>
              <w:top w:val="nil"/>
              <w:left w:val="nil"/>
              <w:bottom w:val="nil"/>
              <w:right w:val="nil"/>
            </w:tcBorders>
            <w:shd w:val="clear" w:color="auto" w:fill="auto"/>
            <w:noWrap/>
            <w:vAlign w:val="center"/>
          </w:tcPr>
          <w:p>
            <w:pPr>
              <w:jc w:val="center"/>
              <w:rPr>
                <w:color w:val="000000"/>
              </w:rPr>
            </w:pPr>
            <w:r>
              <w:rPr>
                <w:color w:val="000000"/>
              </w:rPr>
              <w:t>97.48</w:t>
            </w:r>
          </w:p>
        </w:tc>
        <w:tc>
          <w:tcPr>
            <w:tcW w:w="1910" w:type="dxa"/>
            <w:tcBorders>
              <w:top w:val="nil"/>
              <w:left w:val="nil"/>
              <w:bottom w:val="nil"/>
              <w:right w:val="nil"/>
            </w:tcBorders>
            <w:shd w:val="clear" w:color="auto" w:fill="auto"/>
            <w:noWrap/>
            <w:vAlign w:val="center"/>
          </w:tcPr>
          <w:p>
            <w:pPr>
              <w:jc w:val="center"/>
              <w:rPr>
                <w:color w:val="000000"/>
                <w:sz w:val="28"/>
                <w:szCs w:val="28"/>
              </w:rPr>
            </w:pPr>
            <w:r>
              <w:rPr>
                <w:color w:val="000000"/>
                <w:sz w:val="28"/>
                <w:szCs w:val="28"/>
              </w:rPr>
              <w:t>54,428,728</w:t>
            </w:r>
          </w:p>
        </w:tc>
        <w:tc>
          <w:tcPr>
            <w:tcW w:w="1890" w:type="dxa"/>
            <w:tcBorders>
              <w:top w:val="nil"/>
              <w:left w:val="nil"/>
              <w:bottom w:val="nil"/>
              <w:right w:val="nil"/>
            </w:tcBorders>
            <w:shd w:val="clear" w:color="auto" w:fill="auto"/>
            <w:noWrap/>
            <w:vAlign w:val="center"/>
          </w:tcPr>
          <w:p>
            <w:pPr>
              <w:jc w:val="center"/>
              <w:rPr>
                <w:color w:val="000000"/>
              </w:rPr>
            </w:pPr>
            <w:r>
              <w:rPr>
                <w:color w:val="000000"/>
              </w:rPr>
              <w:t>2.52</w:t>
            </w:r>
          </w:p>
        </w:tc>
      </w:tr>
      <w:tr>
        <w:tblPrEx>
          <w:tblCellMar>
            <w:top w:w="0" w:type="dxa"/>
            <w:left w:w="108" w:type="dxa"/>
            <w:bottom w:w="0" w:type="dxa"/>
            <w:right w:w="108" w:type="dxa"/>
          </w:tblCellMar>
        </w:tblPrEx>
        <w:trPr>
          <w:trHeight w:val="1020" w:hRule="atLeast"/>
        </w:trPr>
        <w:tc>
          <w:tcPr>
            <w:tcW w:w="1780" w:type="dxa"/>
            <w:tcBorders>
              <w:top w:val="nil"/>
              <w:left w:val="nil"/>
              <w:bottom w:val="nil"/>
              <w:right w:val="nil"/>
            </w:tcBorders>
            <w:shd w:val="clear" w:color="auto" w:fill="auto"/>
            <w:vAlign w:val="center"/>
          </w:tcPr>
          <w:p>
            <w:pPr>
              <w:rPr>
                <w:color w:val="000000"/>
              </w:rPr>
            </w:pPr>
            <w:r>
              <w:rPr>
                <w:color w:val="000000"/>
              </w:rPr>
              <w:t>HapB73 blocks in HapSK assembly</w:t>
            </w:r>
          </w:p>
        </w:tc>
        <w:tc>
          <w:tcPr>
            <w:tcW w:w="1780" w:type="dxa"/>
            <w:tcBorders>
              <w:top w:val="nil"/>
              <w:left w:val="nil"/>
              <w:bottom w:val="nil"/>
              <w:right w:val="nil"/>
            </w:tcBorders>
            <w:shd w:val="clear" w:color="auto" w:fill="auto"/>
            <w:vAlign w:val="center"/>
          </w:tcPr>
          <w:p>
            <w:pPr>
              <w:jc w:val="center"/>
              <w:rPr>
                <w:color w:val="000000"/>
              </w:rPr>
            </w:pPr>
            <w:r>
              <w:rPr>
                <w:color w:val="000000"/>
              </w:rPr>
              <w:t>22,445,582</w:t>
            </w:r>
          </w:p>
        </w:tc>
        <w:tc>
          <w:tcPr>
            <w:tcW w:w="1440" w:type="dxa"/>
            <w:tcBorders>
              <w:top w:val="nil"/>
              <w:left w:val="nil"/>
              <w:bottom w:val="nil"/>
              <w:right w:val="nil"/>
            </w:tcBorders>
            <w:shd w:val="clear" w:color="auto" w:fill="auto"/>
            <w:noWrap/>
            <w:vAlign w:val="center"/>
          </w:tcPr>
          <w:p>
            <w:pPr>
              <w:jc w:val="center"/>
              <w:rPr>
                <w:color w:val="000000"/>
              </w:rPr>
            </w:pPr>
            <w:r>
              <w:rPr>
                <w:color w:val="000000"/>
              </w:rPr>
              <w:t>1.08</w:t>
            </w:r>
          </w:p>
        </w:tc>
        <w:tc>
          <w:tcPr>
            <w:tcW w:w="1910" w:type="dxa"/>
            <w:tcBorders>
              <w:top w:val="nil"/>
              <w:left w:val="nil"/>
              <w:bottom w:val="nil"/>
              <w:right w:val="nil"/>
            </w:tcBorders>
            <w:shd w:val="clear" w:color="auto" w:fill="auto"/>
            <w:noWrap/>
            <w:vAlign w:val="center"/>
          </w:tcPr>
          <w:p>
            <w:pPr>
              <w:jc w:val="center"/>
              <w:rPr>
                <w:color w:val="000000"/>
              </w:rPr>
            </w:pPr>
            <w:r>
              <w:rPr>
                <w:color w:val="000000"/>
              </w:rPr>
              <w:t>22,468,175</w:t>
            </w:r>
          </w:p>
        </w:tc>
        <w:tc>
          <w:tcPr>
            <w:tcW w:w="1890" w:type="dxa"/>
            <w:tcBorders>
              <w:top w:val="nil"/>
              <w:left w:val="nil"/>
              <w:bottom w:val="nil"/>
              <w:right w:val="nil"/>
            </w:tcBorders>
            <w:shd w:val="clear" w:color="auto" w:fill="auto"/>
            <w:noWrap/>
            <w:vAlign w:val="center"/>
          </w:tcPr>
          <w:p>
            <w:pPr>
              <w:jc w:val="center"/>
              <w:rPr>
                <w:color w:val="000000"/>
              </w:rPr>
            </w:pPr>
            <w:r>
              <w:rPr>
                <w:color w:val="000000"/>
              </w:rPr>
              <w:t>29.84</w:t>
            </w:r>
          </w:p>
        </w:tc>
      </w:tr>
      <w:tr>
        <w:tblPrEx>
          <w:tblCellMar>
            <w:top w:w="0" w:type="dxa"/>
            <w:left w:w="108" w:type="dxa"/>
            <w:bottom w:w="0" w:type="dxa"/>
            <w:right w:w="108" w:type="dxa"/>
          </w:tblCellMar>
        </w:tblPrEx>
        <w:trPr>
          <w:trHeight w:val="1020" w:hRule="atLeast"/>
        </w:trPr>
        <w:tc>
          <w:tcPr>
            <w:tcW w:w="1780" w:type="dxa"/>
            <w:tcBorders>
              <w:top w:val="nil"/>
              <w:left w:val="nil"/>
              <w:bottom w:val="nil"/>
              <w:right w:val="nil"/>
            </w:tcBorders>
            <w:shd w:val="clear" w:color="auto" w:fill="auto"/>
            <w:vAlign w:val="center"/>
          </w:tcPr>
          <w:p>
            <w:pPr>
              <w:rPr>
                <w:color w:val="000000"/>
              </w:rPr>
            </w:pPr>
            <w:r>
              <w:rPr>
                <w:color w:val="000000"/>
              </w:rPr>
              <w:t>HapSK blocks in HapB73 assembly</w:t>
            </w:r>
          </w:p>
        </w:tc>
        <w:tc>
          <w:tcPr>
            <w:tcW w:w="1780" w:type="dxa"/>
            <w:tcBorders>
              <w:top w:val="nil"/>
              <w:left w:val="nil"/>
              <w:bottom w:val="nil"/>
              <w:right w:val="nil"/>
            </w:tcBorders>
            <w:shd w:val="clear" w:color="auto" w:fill="auto"/>
            <w:vAlign w:val="center"/>
          </w:tcPr>
          <w:p>
            <w:pPr>
              <w:jc w:val="center"/>
              <w:rPr>
                <w:color w:val="000000"/>
              </w:rPr>
            </w:pPr>
            <w:r>
              <w:rPr>
                <w:color w:val="000000"/>
              </w:rPr>
              <w:t>31,273,932</w:t>
            </w:r>
          </w:p>
        </w:tc>
        <w:tc>
          <w:tcPr>
            <w:tcW w:w="1440" w:type="dxa"/>
            <w:tcBorders>
              <w:top w:val="nil"/>
              <w:left w:val="nil"/>
              <w:bottom w:val="nil"/>
              <w:right w:val="nil"/>
            </w:tcBorders>
            <w:shd w:val="clear" w:color="auto" w:fill="auto"/>
            <w:noWrap/>
            <w:vAlign w:val="center"/>
          </w:tcPr>
          <w:p>
            <w:pPr>
              <w:jc w:val="center"/>
              <w:rPr>
                <w:color w:val="000000"/>
              </w:rPr>
            </w:pPr>
            <w:r>
              <w:rPr>
                <w:color w:val="000000"/>
              </w:rPr>
              <w:t>1.49</w:t>
            </w:r>
          </w:p>
        </w:tc>
        <w:tc>
          <w:tcPr>
            <w:tcW w:w="1910" w:type="dxa"/>
            <w:tcBorders>
              <w:top w:val="nil"/>
              <w:left w:val="nil"/>
              <w:bottom w:val="nil"/>
              <w:right w:val="nil"/>
            </w:tcBorders>
            <w:shd w:val="clear" w:color="auto" w:fill="auto"/>
            <w:noWrap/>
            <w:vAlign w:val="center"/>
          </w:tcPr>
          <w:p>
            <w:pPr>
              <w:jc w:val="center"/>
              <w:rPr>
                <w:color w:val="000000"/>
              </w:rPr>
            </w:pPr>
            <w:r>
              <w:rPr>
                <w:color w:val="000000"/>
              </w:rPr>
              <w:t>42,870,239</w:t>
            </w:r>
          </w:p>
        </w:tc>
        <w:tc>
          <w:tcPr>
            <w:tcW w:w="1890" w:type="dxa"/>
            <w:tcBorders>
              <w:top w:val="nil"/>
              <w:left w:val="nil"/>
              <w:bottom w:val="nil"/>
              <w:right w:val="nil"/>
            </w:tcBorders>
            <w:shd w:val="clear" w:color="auto" w:fill="auto"/>
            <w:noWrap/>
            <w:vAlign w:val="center"/>
          </w:tcPr>
          <w:p>
            <w:pPr>
              <w:jc w:val="center"/>
              <w:rPr>
                <w:color w:val="000000"/>
              </w:rPr>
            </w:pPr>
            <w:r>
              <w:rPr>
                <w:color w:val="000000"/>
              </w:rPr>
              <w:t>78.76</w:t>
            </w:r>
          </w:p>
        </w:tc>
      </w:tr>
      <w:tr>
        <w:tblPrEx>
          <w:tblCellMar>
            <w:top w:w="0" w:type="dxa"/>
            <w:left w:w="108" w:type="dxa"/>
            <w:bottom w:w="0" w:type="dxa"/>
            <w:right w:w="108" w:type="dxa"/>
          </w:tblCellMar>
        </w:tblPrEx>
        <w:trPr>
          <w:trHeight w:val="700" w:hRule="atLeast"/>
        </w:trPr>
        <w:tc>
          <w:tcPr>
            <w:tcW w:w="1780" w:type="dxa"/>
            <w:tcBorders>
              <w:top w:val="nil"/>
              <w:left w:val="nil"/>
              <w:bottom w:val="single" w:color="auto" w:sz="8" w:space="0"/>
              <w:right w:val="nil"/>
            </w:tcBorders>
            <w:shd w:val="clear" w:color="auto" w:fill="auto"/>
            <w:vAlign w:val="center"/>
          </w:tcPr>
          <w:p>
            <w:pPr>
              <w:rPr>
                <w:color w:val="000000"/>
              </w:rPr>
            </w:pPr>
            <w:r>
              <w:rPr>
                <w:color w:val="000000"/>
              </w:rPr>
              <w:t>Total mis-assigned blocks</w:t>
            </w:r>
          </w:p>
        </w:tc>
        <w:tc>
          <w:tcPr>
            <w:tcW w:w="1780" w:type="dxa"/>
            <w:tcBorders>
              <w:top w:val="nil"/>
              <w:left w:val="nil"/>
              <w:bottom w:val="single" w:color="auto" w:sz="8" w:space="0"/>
              <w:right w:val="nil"/>
            </w:tcBorders>
            <w:shd w:val="clear" w:color="auto" w:fill="auto"/>
            <w:vAlign w:val="center"/>
          </w:tcPr>
          <w:p>
            <w:pPr>
              <w:jc w:val="center"/>
              <w:rPr>
                <w:color w:val="000000"/>
              </w:rPr>
            </w:pPr>
            <w:r>
              <w:rPr>
                <w:color w:val="000000"/>
              </w:rPr>
              <w:t>53,719,514</w:t>
            </w:r>
          </w:p>
        </w:tc>
        <w:tc>
          <w:tcPr>
            <w:tcW w:w="1440" w:type="dxa"/>
            <w:tcBorders>
              <w:top w:val="nil"/>
              <w:left w:val="nil"/>
              <w:bottom w:val="single" w:color="auto" w:sz="8" w:space="0"/>
              <w:right w:val="nil"/>
            </w:tcBorders>
            <w:shd w:val="clear" w:color="auto" w:fill="auto"/>
            <w:noWrap/>
            <w:vAlign w:val="center"/>
          </w:tcPr>
          <w:p>
            <w:pPr>
              <w:jc w:val="center"/>
              <w:rPr>
                <w:color w:val="000000"/>
              </w:rPr>
            </w:pPr>
            <w:r>
              <w:rPr>
                <w:color w:val="000000"/>
              </w:rPr>
              <w:t>1.28</w:t>
            </w:r>
          </w:p>
        </w:tc>
        <w:tc>
          <w:tcPr>
            <w:tcW w:w="1910" w:type="dxa"/>
            <w:tcBorders>
              <w:top w:val="nil"/>
              <w:left w:val="nil"/>
              <w:bottom w:val="single" w:color="auto" w:sz="8" w:space="0"/>
              <w:right w:val="nil"/>
            </w:tcBorders>
            <w:shd w:val="clear" w:color="auto" w:fill="auto"/>
            <w:noWrap/>
            <w:vAlign w:val="center"/>
          </w:tcPr>
          <w:p>
            <w:pPr>
              <w:jc w:val="center"/>
              <w:rPr>
                <w:color w:val="000000"/>
              </w:rPr>
            </w:pPr>
            <w:r>
              <w:rPr>
                <w:color w:val="000000"/>
              </w:rPr>
              <w:t>65,338,414</w:t>
            </w:r>
          </w:p>
        </w:tc>
        <w:tc>
          <w:tcPr>
            <w:tcW w:w="1890" w:type="dxa"/>
            <w:tcBorders>
              <w:top w:val="nil"/>
              <w:left w:val="nil"/>
              <w:bottom w:val="single" w:color="auto" w:sz="8" w:space="0"/>
              <w:right w:val="nil"/>
            </w:tcBorders>
            <w:shd w:val="clear" w:color="auto" w:fill="auto"/>
            <w:noWrap/>
            <w:vAlign w:val="center"/>
          </w:tcPr>
          <w:p>
            <w:pPr>
              <w:jc w:val="center"/>
              <w:rPr>
                <w:color w:val="000000"/>
              </w:rPr>
            </w:pPr>
            <w:r>
              <w:rPr>
                <w:color w:val="000000"/>
              </w:rPr>
              <w:t>50.37</w:t>
            </w:r>
          </w:p>
        </w:tc>
      </w:tr>
    </w:tbl>
    <w:p>
      <w:pPr>
        <w:rPr>
          <w:rFonts w:ascii="Arial" w:hAnsi="Arial" w:cs="Arial"/>
        </w:rPr>
      </w:pPr>
      <w:r>
        <w:rPr>
          <w:rFonts w:ascii="Arial" w:hAnsi="Arial" w:cs="Arial"/>
        </w:rPr>
        <w:br w:type="page"/>
      </w:r>
    </w:p>
    <w:p>
      <w:pPr>
        <w:rPr>
          <w:rFonts w:ascii="Arial" w:hAnsi="Arial" w:cs="Arial"/>
        </w:rPr>
      </w:pPr>
      <w:r>
        <w:rPr>
          <w:b/>
          <w:bCs/>
        </w:rPr>
        <w:t>Supplementary Table</w:t>
      </w:r>
      <w:r>
        <w:rPr>
          <w:rFonts w:hint="eastAsia" w:eastAsia="宋体"/>
          <w:b/>
          <w:bCs/>
        </w:rPr>
        <w:t xml:space="preserve"> 11</w:t>
      </w:r>
      <w:r>
        <w:rPr>
          <w:b/>
          <w:bCs/>
        </w:rPr>
        <w:t>.</w:t>
      </w:r>
      <w:r>
        <w:rPr>
          <w:rFonts w:ascii="Arial" w:hAnsi="Arial" w:cs="Arial"/>
        </w:rPr>
        <w:t xml:space="preserve"> </w:t>
      </w:r>
      <w:r>
        <w:t>Statistics of whole genome sequence comparison between haplotype assemblies and reference assemblies.</w:t>
      </w:r>
    </w:p>
    <w:p>
      <w:pPr>
        <w:rPr>
          <w:rFonts w:ascii="Arial" w:hAnsi="Arial" w:cs="Arial"/>
        </w:rPr>
      </w:pPr>
    </w:p>
    <w:tbl>
      <w:tblPr>
        <w:tblStyle w:val="5"/>
        <w:tblW w:w="8840" w:type="dxa"/>
        <w:tblInd w:w="0" w:type="dxa"/>
        <w:tblLayout w:type="autofit"/>
        <w:tblCellMar>
          <w:top w:w="0" w:type="dxa"/>
          <w:left w:w="108" w:type="dxa"/>
          <w:bottom w:w="0" w:type="dxa"/>
          <w:right w:w="108" w:type="dxa"/>
        </w:tblCellMar>
      </w:tblPr>
      <w:tblGrid>
        <w:gridCol w:w="2720"/>
        <w:gridCol w:w="1596"/>
        <w:gridCol w:w="1596"/>
        <w:gridCol w:w="1596"/>
        <w:gridCol w:w="1596"/>
      </w:tblGrid>
      <w:tr>
        <w:tblPrEx>
          <w:tblCellMar>
            <w:top w:w="0" w:type="dxa"/>
            <w:left w:w="108" w:type="dxa"/>
            <w:bottom w:w="0" w:type="dxa"/>
            <w:right w:w="108" w:type="dxa"/>
          </w:tblCellMar>
        </w:tblPrEx>
        <w:trPr>
          <w:trHeight w:val="340" w:hRule="atLeast"/>
        </w:trPr>
        <w:tc>
          <w:tcPr>
            <w:tcW w:w="2720" w:type="dxa"/>
            <w:vMerge w:val="restart"/>
            <w:tcBorders>
              <w:top w:val="single" w:color="auto" w:sz="8" w:space="0"/>
              <w:left w:val="nil"/>
              <w:bottom w:val="single" w:color="auto" w:sz="8" w:space="0"/>
              <w:right w:val="nil"/>
            </w:tcBorders>
            <w:shd w:val="clear" w:color="auto" w:fill="auto"/>
            <w:noWrap/>
            <w:vAlign w:val="center"/>
          </w:tcPr>
          <w:p>
            <w:pPr>
              <w:jc w:val="center"/>
              <w:rPr>
                <w:b/>
                <w:bCs/>
                <w:color w:val="000000"/>
              </w:rPr>
            </w:pPr>
            <w:r>
              <w:rPr>
                <w:b/>
                <w:bCs/>
                <w:color w:val="000000"/>
              </w:rPr>
              <w:t>Comparison</w:t>
            </w:r>
          </w:p>
        </w:tc>
        <w:tc>
          <w:tcPr>
            <w:tcW w:w="3040" w:type="dxa"/>
            <w:gridSpan w:val="2"/>
            <w:tcBorders>
              <w:top w:val="single" w:color="auto" w:sz="8" w:space="0"/>
              <w:left w:val="nil"/>
              <w:bottom w:val="single" w:color="auto" w:sz="8" w:space="0"/>
              <w:right w:val="nil"/>
            </w:tcBorders>
            <w:shd w:val="clear" w:color="auto" w:fill="auto"/>
            <w:noWrap/>
            <w:vAlign w:val="center"/>
          </w:tcPr>
          <w:p>
            <w:pPr>
              <w:jc w:val="center"/>
              <w:rPr>
                <w:b/>
                <w:bCs/>
                <w:color w:val="000000"/>
              </w:rPr>
            </w:pPr>
            <w:r>
              <w:rPr>
                <w:b/>
                <w:bCs/>
                <w:color w:val="000000"/>
              </w:rPr>
              <w:t>HapSK vs SK reference</w:t>
            </w:r>
          </w:p>
        </w:tc>
        <w:tc>
          <w:tcPr>
            <w:tcW w:w="3080" w:type="dxa"/>
            <w:gridSpan w:val="2"/>
            <w:tcBorders>
              <w:top w:val="single" w:color="auto" w:sz="8" w:space="0"/>
              <w:left w:val="nil"/>
              <w:bottom w:val="single" w:color="auto" w:sz="8" w:space="0"/>
              <w:right w:val="nil"/>
            </w:tcBorders>
            <w:shd w:val="clear" w:color="auto" w:fill="auto"/>
            <w:noWrap/>
            <w:vAlign w:val="center"/>
          </w:tcPr>
          <w:p>
            <w:pPr>
              <w:jc w:val="center"/>
              <w:rPr>
                <w:b/>
                <w:bCs/>
                <w:color w:val="000000"/>
              </w:rPr>
            </w:pPr>
            <w:r>
              <w:rPr>
                <w:b/>
                <w:bCs/>
                <w:color w:val="000000"/>
              </w:rPr>
              <w:t>HapB73 vs B73 reference</w:t>
            </w:r>
          </w:p>
        </w:tc>
      </w:tr>
      <w:tr>
        <w:tblPrEx>
          <w:tblCellMar>
            <w:top w:w="0" w:type="dxa"/>
            <w:left w:w="108" w:type="dxa"/>
            <w:bottom w:w="0" w:type="dxa"/>
            <w:right w:w="108" w:type="dxa"/>
          </w:tblCellMar>
        </w:tblPrEx>
        <w:trPr>
          <w:trHeight w:val="340" w:hRule="atLeast"/>
        </w:trPr>
        <w:tc>
          <w:tcPr>
            <w:tcW w:w="2720" w:type="dxa"/>
            <w:vMerge w:val="continue"/>
            <w:tcBorders>
              <w:top w:val="single" w:color="auto" w:sz="8" w:space="0"/>
              <w:left w:val="nil"/>
              <w:bottom w:val="single" w:color="auto" w:sz="8" w:space="0"/>
              <w:right w:val="nil"/>
            </w:tcBorders>
            <w:vAlign w:val="center"/>
          </w:tcPr>
          <w:p>
            <w:pPr>
              <w:rPr>
                <w:b/>
                <w:bCs/>
                <w:color w:val="000000"/>
              </w:rPr>
            </w:pPr>
          </w:p>
        </w:tc>
        <w:tc>
          <w:tcPr>
            <w:tcW w:w="1520" w:type="dxa"/>
            <w:tcBorders>
              <w:top w:val="nil"/>
              <w:left w:val="nil"/>
              <w:bottom w:val="single" w:color="auto" w:sz="8" w:space="0"/>
              <w:right w:val="nil"/>
            </w:tcBorders>
            <w:shd w:val="clear" w:color="auto" w:fill="auto"/>
            <w:noWrap/>
            <w:vAlign w:val="center"/>
          </w:tcPr>
          <w:p>
            <w:pPr>
              <w:jc w:val="center"/>
              <w:rPr>
                <w:b/>
                <w:bCs/>
                <w:color w:val="000000"/>
              </w:rPr>
            </w:pPr>
            <w:r>
              <w:rPr>
                <w:b/>
                <w:bCs/>
                <w:color w:val="000000"/>
              </w:rPr>
              <w:t>HapSK</w:t>
            </w:r>
          </w:p>
        </w:tc>
        <w:tc>
          <w:tcPr>
            <w:tcW w:w="1520" w:type="dxa"/>
            <w:tcBorders>
              <w:top w:val="nil"/>
              <w:left w:val="nil"/>
              <w:bottom w:val="single" w:color="auto" w:sz="8" w:space="0"/>
              <w:right w:val="nil"/>
            </w:tcBorders>
            <w:shd w:val="clear" w:color="auto" w:fill="auto"/>
            <w:noWrap/>
            <w:vAlign w:val="center"/>
          </w:tcPr>
          <w:p>
            <w:pPr>
              <w:jc w:val="center"/>
              <w:rPr>
                <w:b/>
                <w:bCs/>
                <w:color w:val="000000"/>
              </w:rPr>
            </w:pPr>
            <w:r>
              <w:rPr>
                <w:b/>
                <w:bCs/>
                <w:color w:val="000000"/>
              </w:rPr>
              <w:t>SK reference</w:t>
            </w:r>
          </w:p>
        </w:tc>
        <w:tc>
          <w:tcPr>
            <w:tcW w:w="1518" w:type="dxa"/>
            <w:tcBorders>
              <w:top w:val="nil"/>
              <w:left w:val="nil"/>
              <w:bottom w:val="single" w:color="auto" w:sz="8" w:space="0"/>
              <w:right w:val="nil"/>
            </w:tcBorders>
            <w:shd w:val="clear" w:color="auto" w:fill="auto"/>
            <w:noWrap/>
            <w:vAlign w:val="center"/>
          </w:tcPr>
          <w:p>
            <w:pPr>
              <w:jc w:val="center"/>
              <w:rPr>
                <w:b/>
                <w:bCs/>
                <w:color w:val="000000"/>
              </w:rPr>
            </w:pPr>
            <w:r>
              <w:rPr>
                <w:b/>
                <w:bCs/>
                <w:color w:val="000000"/>
              </w:rPr>
              <w:t>HapB73</w:t>
            </w:r>
          </w:p>
        </w:tc>
        <w:tc>
          <w:tcPr>
            <w:tcW w:w="1562" w:type="dxa"/>
            <w:tcBorders>
              <w:top w:val="nil"/>
              <w:left w:val="nil"/>
              <w:bottom w:val="single" w:color="auto" w:sz="8" w:space="0"/>
              <w:right w:val="nil"/>
            </w:tcBorders>
            <w:shd w:val="clear" w:color="auto" w:fill="auto"/>
            <w:noWrap/>
            <w:vAlign w:val="center"/>
          </w:tcPr>
          <w:p>
            <w:pPr>
              <w:jc w:val="center"/>
              <w:rPr>
                <w:b/>
                <w:bCs/>
                <w:color w:val="000000"/>
              </w:rPr>
            </w:pPr>
            <w:r>
              <w:rPr>
                <w:b/>
                <w:bCs/>
                <w:color w:val="000000"/>
              </w:rPr>
              <w:t>B73 reference</w:t>
            </w:r>
          </w:p>
        </w:tc>
      </w:tr>
      <w:tr>
        <w:tblPrEx>
          <w:tblCellMar>
            <w:top w:w="0" w:type="dxa"/>
            <w:left w:w="108" w:type="dxa"/>
            <w:bottom w:w="0" w:type="dxa"/>
            <w:right w:w="108" w:type="dxa"/>
          </w:tblCellMar>
        </w:tblPrEx>
        <w:trPr>
          <w:trHeight w:val="320" w:hRule="atLeast"/>
        </w:trPr>
        <w:tc>
          <w:tcPr>
            <w:tcW w:w="2720" w:type="dxa"/>
            <w:tcBorders>
              <w:top w:val="nil"/>
              <w:left w:val="nil"/>
              <w:bottom w:val="nil"/>
              <w:right w:val="nil"/>
            </w:tcBorders>
            <w:shd w:val="clear" w:color="auto" w:fill="auto"/>
            <w:noWrap/>
            <w:vAlign w:val="center"/>
          </w:tcPr>
          <w:p>
            <w:pPr>
              <w:rPr>
                <w:color w:val="000000"/>
              </w:rPr>
            </w:pPr>
            <w:r>
              <w:rPr>
                <w:color w:val="000000"/>
              </w:rPr>
              <w:t>Total bases (bp)</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2,162,128,026</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2,153,898,797</w:t>
            </w:r>
          </w:p>
        </w:tc>
        <w:tc>
          <w:tcPr>
            <w:tcW w:w="1518" w:type="dxa"/>
            <w:tcBorders>
              <w:top w:val="nil"/>
              <w:left w:val="nil"/>
              <w:bottom w:val="nil"/>
              <w:right w:val="nil"/>
            </w:tcBorders>
            <w:shd w:val="clear" w:color="auto" w:fill="auto"/>
            <w:noWrap/>
            <w:vAlign w:val="center"/>
          </w:tcPr>
          <w:p>
            <w:pPr>
              <w:jc w:val="center"/>
              <w:rPr>
                <w:color w:val="000000"/>
              </w:rPr>
            </w:pPr>
            <w:r>
              <w:rPr>
                <w:color w:val="000000"/>
              </w:rPr>
              <w:t>2,158,996,842</w:t>
            </w:r>
          </w:p>
        </w:tc>
        <w:tc>
          <w:tcPr>
            <w:tcW w:w="1562" w:type="dxa"/>
            <w:tcBorders>
              <w:top w:val="nil"/>
              <w:left w:val="nil"/>
              <w:bottom w:val="nil"/>
              <w:right w:val="nil"/>
            </w:tcBorders>
            <w:shd w:val="clear" w:color="auto" w:fill="auto"/>
            <w:noWrap/>
            <w:vAlign w:val="center"/>
          </w:tcPr>
          <w:p>
            <w:pPr>
              <w:jc w:val="center"/>
              <w:rPr>
                <w:color w:val="000000"/>
              </w:rPr>
            </w:pPr>
            <w:r>
              <w:rPr>
                <w:color w:val="000000"/>
              </w:rPr>
              <w:t>2,104,350,182</w:t>
            </w:r>
          </w:p>
        </w:tc>
      </w:tr>
      <w:tr>
        <w:tblPrEx>
          <w:tblCellMar>
            <w:top w:w="0" w:type="dxa"/>
            <w:left w:w="108" w:type="dxa"/>
            <w:bottom w:w="0" w:type="dxa"/>
            <w:right w:w="108" w:type="dxa"/>
          </w:tblCellMar>
        </w:tblPrEx>
        <w:trPr>
          <w:trHeight w:val="320" w:hRule="atLeast"/>
        </w:trPr>
        <w:tc>
          <w:tcPr>
            <w:tcW w:w="2720" w:type="dxa"/>
            <w:tcBorders>
              <w:top w:val="nil"/>
              <w:left w:val="nil"/>
              <w:bottom w:val="nil"/>
              <w:right w:val="nil"/>
            </w:tcBorders>
            <w:shd w:val="clear" w:color="auto" w:fill="auto"/>
            <w:noWrap/>
            <w:vAlign w:val="center"/>
          </w:tcPr>
          <w:p>
            <w:pPr>
              <w:rPr>
                <w:color w:val="000000"/>
              </w:rPr>
            </w:pPr>
            <w:r>
              <w:rPr>
                <w:color w:val="000000"/>
              </w:rPr>
              <w:t>Alignment coverage (%)</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99.03</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99.04</w:t>
            </w:r>
          </w:p>
        </w:tc>
        <w:tc>
          <w:tcPr>
            <w:tcW w:w="1518" w:type="dxa"/>
            <w:tcBorders>
              <w:top w:val="nil"/>
              <w:left w:val="nil"/>
              <w:bottom w:val="nil"/>
              <w:right w:val="nil"/>
            </w:tcBorders>
            <w:shd w:val="clear" w:color="auto" w:fill="auto"/>
            <w:noWrap/>
            <w:vAlign w:val="center"/>
          </w:tcPr>
          <w:p>
            <w:pPr>
              <w:jc w:val="center"/>
              <w:rPr>
                <w:color w:val="000000"/>
              </w:rPr>
            </w:pPr>
            <w:r>
              <w:rPr>
                <w:color w:val="000000"/>
              </w:rPr>
              <w:t>98.05</w:t>
            </w:r>
          </w:p>
        </w:tc>
        <w:tc>
          <w:tcPr>
            <w:tcW w:w="1562" w:type="dxa"/>
            <w:tcBorders>
              <w:top w:val="nil"/>
              <w:left w:val="nil"/>
              <w:bottom w:val="nil"/>
              <w:right w:val="nil"/>
            </w:tcBorders>
            <w:shd w:val="clear" w:color="auto" w:fill="auto"/>
            <w:noWrap/>
            <w:vAlign w:val="center"/>
          </w:tcPr>
          <w:p>
            <w:pPr>
              <w:jc w:val="center"/>
              <w:rPr>
                <w:color w:val="000000"/>
              </w:rPr>
            </w:pPr>
            <w:r>
              <w:rPr>
                <w:color w:val="000000"/>
              </w:rPr>
              <w:t>99.72</w:t>
            </w:r>
          </w:p>
        </w:tc>
      </w:tr>
      <w:tr>
        <w:tblPrEx>
          <w:tblCellMar>
            <w:top w:w="0" w:type="dxa"/>
            <w:left w:w="108" w:type="dxa"/>
            <w:bottom w:w="0" w:type="dxa"/>
            <w:right w:w="108" w:type="dxa"/>
          </w:tblCellMar>
        </w:tblPrEx>
        <w:trPr>
          <w:trHeight w:val="320" w:hRule="atLeast"/>
        </w:trPr>
        <w:tc>
          <w:tcPr>
            <w:tcW w:w="2720" w:type="dxa"/>
            <w:tcBorders>
              <w:top w:val="nil"/>
              <w:left w:val="nil"/>
              <w:bottom w:val="nil"/>
              <w:right w:val="nil"/>
            </w:tcBorders>
            <w:shd w:val="clear" w:color="auto" w:fill="auto"/>
            <w:noWrap/>
            <w:vAlign w:val="center"/>
          </w:tcPr>
          <w:p>
            <w:pPr>
              <w:rPr>
                <w:color w:val="000000"/>
              </w:rPr>
            </w:pPr>
            <w:r>
              <w:rPr>
                <w:color w:val="000000"/>
              </w:rPr>
              <w:t>1-1 alignment identity (%)</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99.99</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99.99</w:t>
            </w:r>
          </w:p>
        </w:tc>
        <w:tc>
          <w:tcPr>
            <w:tcW w:w="1518" w:type="dxa"/>
            <w:tcBorders>
              <w:top w:val="nil"/>
              <w:left w:val="nil"/>
              <w:bottom w:val="nil"/>
              <w:right w:val="nil"/>
            </w:tcBorders>
            <w:shd w:val="clear" w:color="auto" w:fill="auto"/>
            <w:noWrap/>
            <w:vAlign w:val="center"/>
          </w:tcPr>
          <w:p>
            <w:pPr>
              <w:jc w:val="center"/>
              <w:rPr>
                <w:color w:val="000000"/>
              </w:rPr>
            </w:pPr>
            <w:r>
              <w:rPr>
                <w:color w:val="000000"/>
              </w:rPr>
              <w:t>99.99</w:t>
            </w:r>
          </w:p>
        </w:tc>
        <w:tc>
          <w:tcPr>
            <w:tcW w:w="1562" w:type="dxa"/>
            <w:tcBorders>
              <w:top w:val="nil"/>
              <w:left w:val="nil"/>
              <w:bottom w:val="nil"/>
              <w:right w:val="nil"/>
            </w:tcBorders>
            <w:shd w:val="clear" w:color="auto" w:fill="auto"/>
            <w:noWrap/>
            <w:vAlign w:val="center"/>
          </w:tcPr>
          <w:p>
            <w:pPr>
              <w:jc w:val="center"/>
              <w:rPr>
                <w:color w:val="000000"/>
              </w:rPr>
            </w:pPr>
            <w:r>
              <w:rPr>
                <w:color w:val="000000"/>
              </w:rPr>
              <w:t>99.99</w:t>
            </w:r>
          </w:p>
        </w:tc>
      </w:tr>
      <w:tr>
        <w:tblPrEx>
          <w:tblCellMar>
            <w:top w:w="0" w:type="dxa"/>
            <w:left w:w="108" w:type="dxa"/>
            <w:bottom w:w="0" w:type="dxa"/>
            <w:right w:w="108" w:type="dxa"/>
          </w:tblCellMar>
        </w:tblPrEx>
        <w:trPr>
          <w:trHeight w:val="320" w:hRule="atLeast"/>
        </w:trPr>
        <w:tc>
          <w:tcPr>
            <w:tcW w:w="2720" w:type="dxa"/>
            <w:tcBorders>
              <w:top w:val="nil"/>
              <w:left w:val="nil"/>
              <w:bottom w:val="nil"/>
              <w:right w:val="nil"/>
            </w:tcBorders>
            <w:shd w:val="clear" w:color="auto" w:fill="auto"/>
            <w:noWrap/>
            <w:vAlign w:val="center"/>
          </w:tcPr>
          <w:p>
            <w:pPr>
              <w:rPr>
                <w:color w:val="000000"/>
              </w:rPr>
            </w:pPr>
            <w:r>
              <w:rPr>
                <w:color w:val="000000"/>
              </w:rPr>
              <w:t>Relocations</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28</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28</w:t>
            </w:r>
          </w:p>
        </w:tc>
        <w:tc>
          <w:tcPr>
            <w:tcW w:w="1518" w:type="dxa"/>
            <w:tcBorders>
              <w:top w:val="nil"/>
              <w:left w:val="nil"/>
              <w:bottom w:val="nil"/>
              <w:right w:val="nil"/>
            </w:tcBorders>
            <w:shd w:val="clear" w:color="auto" w:fill="auto"/>
            <w:noWrap/>
            <w:vAlign w:val="center"/>
          </w:tcPr>
          <w:p>
            <w:pPr>
              <w:jc w:val="center"/>
              <w:rPr>
                <w:color w:val="000000"/>
              </w:rPr>
            </w:pPr>
            <w:r>
              <w:rPr>
                <w:color w:val="000000"/>
              </w:rPr>
              <w:t>20</w:t>
            </w:r>
          </w:p>
        </w:tc>
        <w:tc>
          <w:tcPr>
            <w:tcW w:w="1562" w:type="dxa"/>
            <w:tcBorders>
              <w:top w:val="nil"/>
              <w:left w:val="nil"/>
              <w:bottom w:val="nil"/>
              <w:right w:val="nil"/>
            </w:tcBorders>
            <w:shd w:val="clear" w:color="auto" w:fill="auto"/>
            <w:noWrap/>
            <w:vAlign w:val="center"/>
          </w:tcPr>
          <w:p>
            <w:pPr>
              <w:jc w:val="center"/>
              <w:rPr>
                <w:color w:val="000000"/>
              </w:rPr>
            </w:pPr>
            <w:r>
              <w:rPr>
                <w:color w:val="000000"/>
              </w:rPr>
              <w:t>45</w:t>
            </w:r>
          </w:p>
        </w:tc>
      </w:tr>
      <w:tr>
        <w:tblPrEx>
          <w:tblCellMar>
            <w:top w:w="0" w:type="dxa"/>
            <w:left w:w="108" w:type="dxa"/>
            <w:bottom w:w="0" w:type="dxa"/>
            <w:right w:w="108" w:type="dxa"/>
          </w:tblCellMar>
        </w:tblPrEx>
        <w:trPr>
          <w:trHeight w:val="320" w:hRule="atLeast"/>
        </w:trPr>
        <w:tc>
          <w:tcPr>
            <w:tcW w:w="2720" w:type="dxa"/>
            <w:tcBorders>
              <w:top w:val="nil"/>
              <w:left w:val="nil"/>
              <w:bottom w:val="nil"/>
              <w:right w:val="nil"/>
            </w:tcBorders>
            <w:shd w:val="clear" w:color="auto" w:fill="auto"/>
            <w:noWrap/>
            <w:vAlign w:val="center"/>
          </w:tcPr>
          <w:p>
            <w:pPr>
              <w:rPr>
                <w:color w:val="000000"/>
              </w:rPr>
            </w:pPr>
            <w:r>
              <w:rPr>
                <w:color w:val="000000"/>
              </w:rPr>
              <w:t>Translocations</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81</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47</w:t>
            </w:r>
          </w:p>
        </w:tc>
        <w:tc>
          <w:tcPr>
            <w:tcW w:w="1518" w:type="dxa"/>
            <w:tcBorders>
              <w:top w:val="nil"/>
              <w:left w:val="nil"/>
              <w:bottom w:val="nil"/>
              <w:right w:val="nil"/>
            </w:tcBorders>
            <w:shd w:val="clear" w:color="auto" w:fill="auto"/>
            <w:noWrap/>
            <w:vAlign w:val="center"/>
          </w:tcPr>
          <w:p>
            <w:pPr>
              <w:jc w:val="center"/>
              <w:rPr>
                <w:color w:val="000000"/>
              </w:rPr>
            </w:pPr>
            <w:r>
              <w:rPr>
                <w:color w:val="000000"/>
              </w:rPr>
              <w:t>167</w:t>
            </w:r>
          </w:p>
        </w:tc>
        <w:tc>
          <w:tcPr>
            <w:tcW w:w="1562" w:type="dxa"/>
            <w:tcBorders>
              <w:top w:val="nil"/>
              <w:left w:val="nil"/>
              <w:bottom w:val="nil"/>
              <w:right w:val="nil"/>
            </w:tcBorders>
            <w:shd w:val="clear" w:color="auto" w:fill="auto"/>
            <w:noWrap/>
            <w:vAlign w:val="center"/>
          </w:tcPr>
          <w:p>
            <w:pPr>
              <w:jc w:val="center"/>
              <w:rPr>
                <w:color w:val="000000"/>
              </w:rPr>
            </w:pPr>
            <w:r>
              <w:rPr>
                <w:color w:val="000000"/>
              </w:rPr>
              <w:t>50</w:t>
            </w:r>
          </w:p>
        </w:tc>
      </w:tr>
      <w:tr>
        <w:tblPrEx>
          <w:tblCellMar>
            <w:top w:w="0" w:type="dxa"/>
            <w:left w:w="108" w:type="dxa"/>
            <w:bottom w:w="0" w:type="dxa"/>
            <w:right w:w="108" w:type="dxa"/>
          </w:tblCellMar>
        </w:tblPrEx>
        <w:trPr>
          <w:trHeight w:val="320" w:hRule="atLeast"/>
        </w:trPr>
        <w:tc>
          <w:tcPr>
            <w:tcW w:w="2720" w:type="dxa"/>
            <w:tcBorders>
              <w:top w:val="nil"/>
              <w:left w:val="nil"/>
              <w:bottom w:val="nil"/>
              <w:right w:val="nil"/>
            </w:tcBorders>
            <w:shd w:val="clear" w:color="auto" w:fill="auto"/>
            <w:noWrap/>
            <w:vAlign w:val="center"/>
          </w:tcPr>
          <w:p>
            <w:pPr>
              <w:rPr>
                <w:color w:val="000000"/>
              </w:rPr>
            </w:pPr>
            <w:r>
              <w:rPr>
                <w:color w:val="000000"/>
              </w:rPr>
              <w:t>Inversions</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6</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5</w:t>
            </w:r>
          </w:p>
        </w:tc>
        <w:tc>
          <w:tcPr>
            <w:tcW w:w="1518" w:type="dxa"/>
            <w:tcBorders>
              <w:top w:val="nil"/>
              <w:left w:val="nil"/>
              <w:bottom w:val="nil"/>
              <w:right w:val="nil"/>
            </w:tcBorders>
            <w:shd w:val="clear" w:color="auto" w:fill="auto"/>
            <w:noWrap/>
            <w:vAlign w:val="center"/>
          </w:tcPr>
          <w:p>
            <w:pPr>
              <w:jc w:val="center"/>
              <w:rPr>
                <w:color w:val="000000"/>
              </w:rPr>
            </w:pPr>
            <w:r>
              <w:rPr>
                <w:color w:val="000000"/>
              </w:rPr>
              <w:t>3</w:t>
            </w:r>
          </w:p>
        </w:tc>
        <w:tc>
          <w:tcPr>
            <w:tcW w:w="1562" w:type="dxa"/>
            <w:tcBorders>
              <w:top w:val="nil"/>
              <w:left w:val="nil"/>
              <w:bottom w:val="nil"/>
              <w:right w:val="nil"/>
            </w:tcBorders>
            <w:shd w:val="clear" w:color="auto" w:fill="auto"/>
            <w:noWrap/>
            <w:vAlign w:val="center"/>
          </w:tcPr>
          <w:p>
            <w:pPr>
              <w:jc w:val="center"/>
              <w:rPr>
                <w:color w:val="000000"/>
              </w:rPr>
            </w:pPr>
            <w:r>
              <w:rPr>
                <w:color w:val="000000"/>
              </w:rPr>
              <w:t>5</w:t>
            </w:r>
          </w:p>
        </w:tc>
      </w:tr>
      <w:tr>
        <w:tblPrEx>
          <w:tblCellMar>
            <w:top w:w="0" w:type="dxa"/>
            <w:left w:w="108" w:type="dxa"/>
            <w:bottom w:w="0" w:type="dxa"/>
            <w:right w:w="108" w:type="dxa"/>
          </w:tblCellMar>
        </w:tblPrEx>
        <w:trPr>
          <w:trHeight w:val="320" w:hRule="atLeast"/>
        </w:trPr>
        <w:tc>
          <w:tcPr>
            <w:tcW w:w="2720" w:type="dxa"/>
            <w:tcBorders>
              <w:top w:val="nil"/>
              <w:left w:val="nil"/>
              <w:bottom w:val="nil"/>
              <w:right w:val="nil"/>
            </w:tcBorders>
            <w:shd w:val="clear" w:color="auto" w:fill="auto"/>
            <w:noWrap/>
            <w:vAlign w:val="center"/>
          </w:tcPr>
          <w:p>
            <w:pPr>
              <w:rPr>
                <w:color w:val="000000"/>
              </w:rPr>
            </w:pPr>
            <w:r>
              <w:rPr>
                <w:color w:val="000000"/>
              </w:rPr>
              <w:t>Insertions (&gt;1bp)</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1,822</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2,051</w:t>
            </w:r>
          </w:p>
        </w:tc>
        <w:tc>
          <w:tcPr>
            <w:tcW w:w="1518" w:type="dxa"/>
            <w:tcBorders>
              <w:top w:val="nil"/>
              <w:left w:val="nil"/>
              <w:bottom w:val="nil"/>
              <w:right w:val="nil"/>
            </w:tcBorders>
            <w:shd w:val="clear" w:color="auto" w:fill="auto"/>
            <w:noWrap/>
            <w:vAlign w:val="center"/>
          </w:tcPr>
          <w:p>
            <w:pPr>
              <w:jc w:val="center"/>
              <w:rPr>
                <w:color w:val="000000"/>
              </w:rPr>
            </w:pPr>
            <w:r>
              <w:rPr>
                <w:color w:val="000000"/>
              </w:rPr>
              <w:t>2,848</w:t>
            </w:r>
          </w:p>
        </w:tc>
        <w:tc>
          <w:tcPr>
            <w:tcW w:w="1562" w:type="dxa"/>
            <w:tcBorders>
              <w:top w:val="nil"/>
              <w:left w:val="nil"/>
              <w:bottom w:val="nil"/>
              <w:right w:val="nil"/>
            </w:tcBorders>
            <w:shd w:val="clear" w:color="auto" w:fill="auto"/>
            <w:noWrap/>
            <w:vAlign w:val="center"/>
          </w:tcPr>
          <w:p>
            <w:pPr>
              <w:jc w:val="center"/>
              <w:rPr>
                <w:color w:val="000000"/>
              </w:rPr>
            </w:pPr>
            <w:r>
              <w:rPr>
                <w:color w:val="000000"/>
              </w:rPr>
              <w:t>963</w:t>
            </w:r>
          </w:p>
        </w:tc>
      </w:tr>
      <w:tr>
        <w:tblPrEx>
          <w:tblCellMar>
            <w:top w:w="0" w:type="dxa"/>
            <w:left w:w="108" w:type="dxa"/>
            <w:bottom w:w="0" w:type="dxa"/>
            <w:right w:w="108" w:type="dxa"/>
          </w:tblCellMar>
        </w:tblPrEx>
        <w:trPr>
          <w:trHeight w:val="320" w:hRule="atLeast"/>
        </w:trPr>
        <w:tc>
          <w:tcPr>
            <w:tcW w:w="2720" w:type="dxa"/>
            <w:tcBorders>
              <w:top w:val="nil"/>
              <w:left w:val="nil"/>
              <w:bottom w:val="nil"/>
              <w:right w:val="nil"/>
            </w:tcBorders>
            <w:shd w:val="clear" w:color="auto" w:fill="auto"/>
            <w:noWrap/>
            <w:vAlign w:val="center"/>
          </w:tcPr>
          <w:p>
            <w:pPr>
              <w:rPr>
                <w:color w:val="000000"/>
              </w:rPr>
            </w:pPr>
            <w:r>
              <w:rPr>
                <w:color w:val="000000"/>
              </w:rPr>
              <w:t>SNPs</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17,132</w:t>
            </w:r>
          </w:p>
        </w:tc>
        <w:tc>
          <w:tcPr>
            <w:tcW w:w="1520" w:type="dxa"/>
            <w:tcBorders>
              <w:top w:val="nil"/>
              <w:left w:val="nil"/>
              <w:bottom w:val="nil"/>
              <w:right w:val="nil"/>
            </w:tcBorders>
            <w:shd w:val="clear" w:color="auto" w:fill="auto"/>
            <w:noWrap/>
            <w:vAlign w:val="center"/>
          </w:tcPr>
          <w:p>
            <w:pPr>
              <w:jc w:val="center"/>
              <w:rPr>
                <w:color w:val="000000"/>
              </w:rPr>
            </w:pPr>
            <w:r>
              <w:rPr>
                <w:color w:val="000000"/>
              </w:rPr>
              <w:t>17,132</w:t>
            </w:r>
          </w:p>
        </w:tc>
        <w:tc>
          <w:tcPr>
            <w:tcW w:w="1518" w:type="dxa"/>
            <w:tcBorders>
              <w:top w:val="nil"/>
              <w:left w:val="nil"/>
              <w:bottom w:val="nil"/>
              <w:right w:val="nil"/>
            </w:tcBorders>
            <w:shd w:val="clear" w:color="auto" w:fill="auto"/>
            <w:noWrap/>
            <w:vAlign w:val="center"/>
          </w:tcPr>
          <w:p>
            <w:pPr>
              <w:jc w:val="center"/>
              <w:rPr>
                <w:color w:val="000000"/>
              </w:rPr>
            </w:pPr>
            <w:r>
              <w:rPr>
                <w:color w:val="000000"/>
              </w:rPr>
              <w:t>19,830</w:t>
            </w:r>
          </w:p>
        </w:tc>
        <w:tc>
          <w:tcPr>
            <w:tcW w:w="1562" w:type="dxa"/>
            <w:tcBorders>
              <w:top w:val="nil"/>
              <w:left w:val="nil"/>
              <w:bottom w:val="nil"/>
              <w:right w:val="nil"/>
            </w:tcBorders>
            <w:shd w:val="clear" w:color="auto" w:fill="auto"/>
            <w:noWrap/>
            <w:vAlign w:val="center"/>
          </w:tcPr>
          <w:p>
            <w:pPr>
              <w:jc w:val="center"/>
              <w:rPr>
                <w:color w:val="000000"/>
              </w:rPr>
            </w:pPr>
            <w:r>
              <w:rPr>
                <w:color w:val="000000"/>
              </w:rPr>
              <w:t>19,830</w:t>
            </w:r>
          </w:p>
        </w:tc>
      </w:tr>
      <w:tr>
        <w:tblPrEx>
          <w:tblCellMar>
            <w:top w:w="0" w:type="dxa"/>
            <w:left w:w="108" w:type="dxa"/>
            <w:bottom w:w="0" w:type="dxa"/>
            <w:right w:w="108" w:type="dxa"/>
          </w:tblCellMar>
        </w:tblPrEx>
        <w:trPr>
          <w:trHeight w:val="340" w:hRule="atLeast"/>
        </w:trPr>
        <w:tc>
          <w:tcPr>
            <w:tcW w:w="2720" w:type="dxa"/>
            <w:tcBorders>
              <w:top w:val="nil"/>
              <w:left w:val="nil"/>
              <w:bottom w:val="single" w:color="auto" w:sz="8" w:space="0"/>
              <w:right w:val="nil"/>
            </w:tcBorders>
            <w:shd w:val="clear" w:color="auto" w:fill="auto"/>
            <w:noWrap/>
            <w:vAlign w:val="center"/>
          </w:tcPr>
          <w:p>
            <w:pPr>
              <w:rPr>
                <w:color w:val="000000"/>
              </w:rPr>
            </w:pPr>
            <w:r>
              <w:rPr>
                <w:color w:val="000000"/>
              </w:rPr>
              <w:t>Indels (1bp)</w:t>
            </w:r>
          </w:p>
        </w:tc>
        <w:tc>
          <w:tcPr>
            <w:tcW w:w="1520" w:type="dxa"/>
            <w:tcBorders>
              <w:top w:val="nil"/>
              <w:left w:val="nil"/>
              <w:bottom w:val="single" w:color="auto" w:sz="8" w:space="0"/>
              <w:right w:val="nil"/>
            </w:tcBorders>
            <w:shd w:val="clear" w:color="auto" w:fill="auto"/>
            <w:noWrap/>
            <w:vAlign w:val="center"/>
          </w:tcPr>
          <w:p>
            <w:pPr>
              <w:jc w:val="center"/>
              <w:rPr>
                <w:color w:val="000000"/>
              </w:rPr>
            </w:pPr>
            <w:r>
              <w:rPr>
                <w:color w:val="000000"/>
              </w:rPr>
              <w:t>22,560</w:t>
            </w:r>
          </w:p>
        </w:tc>
        <w:tc>
          <w:tcPr>
            <w:tcW w:w="1520" w:type="dxa"/>
            <w:tcBorders>
              <w:top w:val="nil"/>
              <w:left w:val="nil"/>
              <w:bottom w:val="single" w:color="auto" w:sz="8" w:space="0"/>
              <w:right w:val="nil"/>
            </w:tcBorders>
            <w:shd w:val="clear" w:color="auto" w:fill="auto"/>
            <w:noWrap/>
            <w:vAlign w:val="center"/>
          </w:tcPr>
          <w:p>
            <w:pPr>
              <w:jc w:val="center"/>
              <w:rPr>
                <w:color w:val="000000"/>
              </w:rPr>
            </w:pPr>
            <w:r>
              <w:rPr>
                <w:color w:val="000000"/>
              </w:rPr>
              <w:t>22,560</w:t>
            </w:r>
          </w:p>
        </w:tc>
        <w:tc>
          <w:tcPr>
            <w:tcW w:w="1518" w:type="dxa"/>
            <w:tcBorders>
              <w:top w:val="nil"/>
              <w:left w:val="nil"/>
              <w:bottom w:val="single" w:color="auto" w:sz="8" w:space="0"/>
              <w:right w:val="nil"/>
            </w:tcBorders>
            <w:shd w:val="clear" w:color="auto" w:fill="auto"/>
            <w:noWrap/>
            <w:vAlign w:val="center"/>
          </w:tcPr>
          <w:p>
            <w:pPr>
              <w:jc w:val="center"/>
              <w:rPr>
                <w:color w:val="000000"/>
              </w:rPr>
            </w:pPr>
            <w:r>
              <w:rPr>
                <w:color w:val="000000"/>
              </w:rPr>
              <w:t>36,695</w:t>
            </w:r>
          </w:p>
        </w:tc>
        <w:tc>
          <w:tcPr>
            <w:tcW w:w="1562" w:type="dxa"/>
            <w:tcBorders>
              <w:top w:val="nil"/>
              <w:left w:val="nil"/>
              <w:bottom w:val="single" w:color="auto" w:sz="8" w:space="0"/>
              <w:right w:val="nil"/>
            </w:tcBorders>
            <w:shd w:val="clear" w:color="auto" w:fill="auto"/>
            <w:noWrap/>
            <w:vAlign w:val="center"/>
          </w:tcPr>
          <w:p>
            <w:pPr>
              <w:jc w:val="center"/>
              <w:rPr>
                <w:color w:val="000000"/>
              </w:rPr>
            </w:pPr>
            <w:r>
              <w:rPr>
                <w:color w:val="000000"/>
              </w:rPr>
              <w:t>36,695</w:t>
            </w:r>
          </w:p>
        </w:tc>
      </w:tr>
    </w:tbl>
    <w:p>
      <w:pPr>
        <w:rPr>
          <w:b/>
          <w:bCs/>
        </w:rPr>
      </w:pPr>
    </w:p>
    <w:p>
      <w:pPr>
        <w:rPr>
          <w:b/>
          <w:bCs/>
          <w:iCs/>
        </w:rPr>
      </w:pPr>
      <w:r>
        <w:rPr>
          <w:b/>
          <w:bCs/>
        </w:rPr>
        <w:t>Supplementary Table</w:t>
      </w:r>
      <w:r>
        <w:rPr>
          <w:rFonts w:hint="eastAsia" w:eastAsia="宋体"/>
          <w:b/>
          <w:bCs/>
        </w:rPr>
        <w:t xml:space="preserve"> 12</w:t>
      </w:r>
      <w:r>
        <w:rPr>
          <w:b/>
          <w:bCs/>
          <w:iCs/>
        </w:rPr>
        <w:t xml:space="preserve">. </w:t>
      </w:r>
      <w:r>
        <w:rPr>
          <w:b w:val="0"/>
          <w:bCs w:val="0"/>
          <w:iCs/>
        </w:rPr>
        <w:t>The computing resources used by differnet methods</w:t>
      </w:r>
      <w:r>
        <w:rPr>
          <w:rFonts w:hint="eastAsia"/>
          <w:b w:val="0"/>
          <w:bCs w:val="0"/>
          <w:iCs/>
        </w:rPr>
        <w:t xml:space="preserve"> for rice F</w:t>
      </w:r>
      <w:r>
        <w:rPr>
          <w:rFonts w:hint="eastAsia"/>
          <w:b w:val="0"/>
          <w:bCs w:val="0"/>
          <w:iCs/>
          <w:vertAlign w:val="subscript"/>
        </w:rPr>
        <w:t>1</w:t>
      </w:r>
      <w:r>
        <w:rPr>
          <w:b w:val="0"/>
          <w:bCs w:val="0"/>
          <w:iCs/>
        </w:rPr>
        <w:t>.</w:t>
      </w:r>
    </w:p>
    <w:tbl>
      <w:tblPr>
        <w:tblStyle w:val="5"/>
        <w:tblW w:w="7965" w:type="dxa"/>
        <w:tblInd w:w="93" w:type="dxa"/>
        <w:tblLayout w:type="autofit"/>
        <w:tblCellMar>
          <w:top w:w="0" w:type="dxa"/>
          <w:left w:w="108" w:type="dxa"/>
          <w:bottom w:w="0" w:type="dxa"/>
          <w:right w:w="108" w:type="dxa"/>
        </w:tblCellMar>
      </w:tblPr>
      <w:tblGrid>
        <w:gridCol w:w="1995"/>
        <w:gridCol w:w="1635"/>
        <w:gridCol w:w="808"/>
        <w:gridCol w:w="724"/>
        <w:gridCol w:w="998"/>
        <w:gridCol w:w="1805"/>
      </w:tblGrid>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433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CPU hours</w:t>
            </w:r>
          </w:p>
        </w:tc>
      </w:tr>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 xml:space="preserve">gcaPDA </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hifiasm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hifiasm+hic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hifiasm + parental WGS</w:t>
            </w:r>
          </w:p>
        </w:tc>
      </w:tr>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Initial assembly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FALCON</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3,600.00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hi-c scaffolding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3d-dna pipeline</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201.00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Mapping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gamete cell Read QC</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5.57</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bowtie index</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0.45</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bowtie mapping</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268.96</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sam to bam</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10.65</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SNP calling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bcftools mpileup</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59.68</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bcftools call variant</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0.54</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Extracting haplotypic reads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Hapi.R</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1.27</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Extract hap bams</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11.10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merge hap bam</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51.34</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Coverage normalization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sort hap bam</w:t>
            </w: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bam to fastq</w:t>
            </w: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bbnorm</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176.59</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de novo assembly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yak</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7.25</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6.65</w:t>
            </w: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hifiasm v20211003</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163.20</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156.95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160.56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149.86</w:t>
            </w:r>
          </w:p>
        </w:tc>
      </w:tr>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Total</w:t>
            </w:r>
          </w:p>
        </w:tc>
        <w:tc>
          <w:tcPr>
            <w:tcW w:w="7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4,557.61</w:t>
            </w:r>
          </w:p>
        </w:tc>
        <w:tc>
          <w:tcPr>
            <w:tcW w:w="7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156.95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160.56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156.51</w:t>
            </w:r>
          </w:p>
        </w:tc>
      </w:tr>
    </w:tbl>
    <w:p>
      <w:pPr>
        <w:rPr>
          <w:b/>
          <w:bCs/>
        </w:rPr>
      </w:pPr>
    </w:p>
    <w:p>
      <w:pPr>
        <w:rPr>
          <w:b/>
          <w:bCs/>
          <w:iCs/>
        </w:rPr>
      </w:pPr>
      <w:r>
        <w:rPr>
          <w:b/>
          <w:bCs/>
        </w:rPr>
        <w:t>Supplementary Table</w:t>
      </w:r>
      <w:r>
        <w:rPr>
          <w:rFonts w:hint="eastAsia" w:eastAsia="宋体"/>
          <w:b/>
          <w:bCs/>
        </w:rPr>
        <w:t xml:space="preserve"> 13</w:t>
      </w:r>
      <w:r>
        <w:rPr>
          <w:b/>
          <w:bCs/>
          <w:iCs/>
        </w:rPr>
        <w:t xml:space="preserve">. </w:t>
      </w:r>
      <w:r>
        <w:rPr>
          <w:b w:val="0"/>
          <w:bCs w:val="0"/>
          <w:iCs/>
        </w:rPr>
        <w:t>The computing resources used by differnet methods</w:t>
      </w:r>
      <w:r>
        <w:rPr>
          <w:rFonts w:hint="eastAsia"/>
          <w:b w:val="0"/>
          <w:bCs w:val="0"/>
          <w:iCs/>
        </w:rPr>
        <w:t xml:space="preserve"> for maize F</w:t>
      </w:r>
      <w:r>
        <w:rPr>
          <w:rFonts w:hint="eastAsia"/>
          <w:b w:val="0"/>
          <w:bCs w:val="0"/>
          <w:iCs/>
          <w:vertAlign w:val="subscript"/>
        </w:rPr>
        <w:t>1</w:t>
      </w:r>
      <w:r>
        <w:rPr>
          <w:rFonts w:hint="eastAsia"/>
          <w:b w:val="0"/>
          <w:bCs w:val="0"/>
          <w:iCs/>
        </w:rPr>
        <w:t>.</w:t>
      </w:r>
    </w:p>
    <w:tbl>
      <w:tblPr>
        <w:tblStyle w:val="5"/>
        <w:tblW w:w="8130" w:type="dxa"/>
        <w:tblInd w:w="93" w:type="dxa"/>
        <w:tblLayout w:type="autofit"/>
        <w:tblCellMar>
          <w:top w:w="0" w:type="dxa"/>
          <w:left w:w="108" w:type="dxa"/>
          <w:bottom w:w="0" w:type="dxa"/>
          <w:right w:w="108" w:type="dxa"/>
        </w:tblCellMar>
      </w:tblPr>
      <w:tblGrid>
        <w:gridCol w:w="1995"/>
        <w:gridCol w:w="1590"/>
        <w:gridCol w:w="886"/>
        <w:gridCol w:w="803"/>
        <w:gridCol w:w="1016"/>
        <w:gridCol w:w="1840"/>
      </w:tblGrid>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1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454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 xml:space="preserve">CPU hours </w:t>
            </w:r>
          </w:p>
        </w:tc>
      </w:tr>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 xml:space="preserve">gcaPDA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hifiasm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hifiasm+hic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hifiasm + parental WGS</w:t>
            </w:r>
          </w:p>
        </w:tc>
      </w:tr>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Initial assembly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FALCON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15,000.00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hi-c scaffolding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3d-dna pipeline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3,449.13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Mapping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Read QC</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389.51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bowtie index</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bowtie mapping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6,000.00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sam to bam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SNP calling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bcftools mpileup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2,000.00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bcftools call variant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Extracting haplotypic reads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Hapi.R</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Extract hap bams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713.00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merge hap bam</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1,152.00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Coverage normalization</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sort hap bam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bam to fastq</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bbnorm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1,782.00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r>
      <w:tr>
        <w:tblPrEx>
          <w:tblCellMar>
            <w:top w:w="0" w:type="dxa"/>
            <w:left w:w="108" w:type="dxa"/>
            <w:bottom w:w="0" w:type="dxa"/>
            <w:right w:w="108" w:type="dxa"/>
          </w:tblCellMar>
        </w:tblPrEx>
        <w:trPr>
          <w:trHeight w:val="285" w:hRule="atLeast"/>
        </w:trPr>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eastAsia="等线"/>
                <w:sz w:val="16"/>
                <w:szCs w:val="16"/>
              </w:rPr>
            </w:pPr>
            <w:r>
              <w:rPr>
                <w:rFonts w:eastAsia="等线"/>
                <w:sz w:val="16"/>
                <w:szCs w:val="16"/>
                <w:lang w:bidi="ar"/>
              </w:rPr>
              <w:t>de novo assembly</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yak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21.40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23.00</w:t>
            </w:r>
          </w:p>
        </w:tc>
      </w:tr>
      <w:tr>
        <w:tblPrEx>
          <w:tblCellMar>
            <w:top w:w="0" w:type="dxa"/>
            <w:left w:w="108" w:type="dxa"/>
            <w:bottom w:w="0" w:type="dxa"/>
            <w:right w:w="108" w:type="dxa"/>
          </w:tblCellMar>
        </w:tblPrEx>
        <w:trPr>
          <w:trHeight w:val="285" w:hRule="atLeast"/>
        </w:trPr>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hifiasm v20211003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3,597.00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3,558.00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3,673.00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sz w:val="16"/>
                <w:szCs w:val="16"/>
              </w:rPr>
            </w:pPr>
            <w:r>
              <w:rPr>
                <w:rFonts w:eastAsia="等线"/>
                <w:sz w:val="16"/>
                <w:szCs w:val="16"/>
                <w:lang w:bidi="ar"/>
              </w:rPr>
              <w:t>3,603.00</w:t>
            </w:r>
          </w:p>
        </w:tc>
      </w:tr>
      <w:tr>
        <w:tblPrEx>
          <w:tblCellMar>
            <w:top w:w="0" w:type="dxa"/>
            <w:left w:w="108" w:type="dxa"/>
            <w:bottom w:w="0" w:type="dxa"/>
            <w:right w:w="108" w:type="dxa"/>
          </w:tblCellMar>
        </w:tblPrEx>
        <w:trPr>
          <w:trHeight w:val="285" w:hRule="atLeast"/>
        </w:trPr>
        <w:tc>
          <w:tcPr>
            <w:tcW w:w="19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等线"/>
                <w:sz w:val="16"/>
                <w:szCs w:val="16"/>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Total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34,314.04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3,558.00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3,673.00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eastAsia="等线"/>
                <w:b/>
                <w:bCs/>
                <w:sz w:val="16"/>
                <w:szCs w:val="16"/>
              </w:rPr>
            </w:pPr>
            <w:r>
              <w:rPr>
                <w:rFonts w:eastAsia="等线"/>
                <w:b/>
                <w:bCs/>
                <w:sz w:val="16"/>
                <w:szCs w:val="16"/>
                <w:lang w:bidi="ar"/>
              </w:rPr>
              <w:t>3,626.00</w:t>
            </w:r>
          </w:p>
        </w:tc>
      </w:tr>
    </w:tbl>
    <w:p>
      <w:pPr>
        <w:rPr>
          <w:iCs/>
        </w:rPr>
      </w:pPr>
    </w:p>
    <w:p>
      <w:pPr>
        <w:rPr>
          <w:rFonts w:ascii="Arial" w:hAnsi="Arial" w:cs="Arial"/>
        </w:rPr>
      </w:pPr>
    </w:p>
    <w:p>
      <w:pPr>
        <w:rPr>
          <w:rFonts w:ascii="Arial" w:hAnsi="Arial" w:cs="Arial"/>
        </w:rPr>
      </w:pPr>
      <w:bookmarkStart w:id="0" w:name="_GoBack"/>
      <w:bookmarkEnd w:id="0"/>
    </w:p>
    <w:sectPr>
      <w:pgSz w:w="11900" w:h="16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oNotDisplayPageBoundaries w:val="1"/>
  <w:bordersDoNotSurroundHeader w:val="1"/>
  <w:bordersDoNotSurroundFooter w:val="1"/>
  <w:trackRevisions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1EC"/>
    <w:rsid w:val="000123F9"/>
    <w:rsid w:val="000129FD"/>
    <w:rsid w:val="0001300D"/>
    <w:rsid w:val="00020E31"/>
    <w:rsid w:val="000300AA"/>
    <w:rsid w:val="00074FC1"/>
    <w:rsid w:val="00086953"/>
    <w:rsid w:val="00092BFD"/>
    <w:rsid w:val="00093871"/>
    <w:rsid w:val="00093B1E"/>
    <w:rsid w:val="000A0031"/>
    <w:rsid w:val="000A29AA"/>
    <w:rsid w:val="000A5D97"/>
    <w:rsid w:val="000F7152"/>
    <w:rsid w:val="00106BE2"/>
    <w:rsid w:val="00110A84"/>
    <w:rsid w:val="00120B86"/>
    <w:rsid w:val="00124605"/>
    <w:rsid w:val="00131999"/>
    <w:rsid w:val="001419F1"/>
    <w:rsid w:val="001829AE"/>
    <w:rsid w:val="0019338A"/>
    <w:rsid w:val="001A60FF"/>
    <w:rsid w:val="001D37D9"/>
    <w:rsid w:val="001E01DE"/>
    <w:rsid w:val="001E376E"/>
    <w:rsid w:val="001F3B00"/>
    <w:rsid w:val="00207752"/>
    <w:rsid w:val="002118B2"/>
    <w:rsid w:val="0022007D"/>
    <w:rsid w:val="0023250F"/>
    <w:rsid w:val="0023591D"/>
    <w:rsid w:val="00241C49"/>
    <w:rsid w:val="00261105"/>
    <w:rsid w:val="00262B5B"/>
    <w:rsid w:val="00273F4F"/>
    <w:rsid w:val="00283BA9"/>
    <w:rsid w:val="00286093"/>
    <w:rsid w:val="002923F6"/>
    <w:rsid w:val="002C137C"/>
    <w:rsid w:val="002D2DA5"/>
    <w:rsid w:val="002E7AFE"/>
    <w:rsid w:val="002F090A"/>
    <w:rsid w:val="00304449"/>
    <w:rsid w:val="00312DF4"/>
    <w:rsid w:val="0032408E"/>
    <w:rsid w:val="00337D25"/>
    <w:rsid w:val="00343281"/>
    <w:rsid w:val="00352883"/>
    <w:rsid w:val="00352A1D"/>
    <w:rsid w:val="00366382"/>
    <w:rsid w:val="00383F69"/>
    <w:rsid w:val="00395AB6"/>
    <w:rsid w:val="003C6873"/>
    <w:rsid w:val="003D106A"/>
    <w:rsid w:val="003E3898"/>
    <w:rsid w:val="00402FDD"/>
    <w:rsid w:val="004062E9"/>
    <w:rsid w:val="00426C51"/>
    <w:rsid w:val="00433C87"/>
    <w:rsid w:val="0045577A"/>
    <w:rsid w:val="004767E8"/>
    <w:rsid w:val="004A3372"/>
    <w:rsid w:val="004D11B7"/>
    <w:rsid w:val="004D2C78"/>
    <w:rsid w:val="004F45AA"/>
    <w:rsid w:val="00502C2F"/>
    <w:rsid w:val="00520F53"/>
    <w:rsid w:val="0053023D"/>
    <w:rsid w:val="00535692"/>
    <w:rsid w:val="005501A2"/>
    <w:rsid w:val="00560F32"/>
    <w:rsid w:val="005968CE"/>
    <w:rsid w:val="005A5336"/>
    <w:rsid w:val="005F0FAD"/>
    <w:rsid w:val="005F3CA7"/>
    <w:rsid w:val="00603CAC"/>
    <w:rsid w:val="00611A42"/>
    <w:rsid w:val="006140F2"/>
    <w:rsid w:val="00642B81"/>
    <w:rsid w:val="006569B2"/>
    <w:rsid w:val="0066489B"/>
    <w:rsid w:val="00665424"/>
    <w:rsid w:val="00670D23"/>
    <w:rsid w:val="00674A48"/>
    <w:rsid w:val="006948A8"/>
    <w:rsid w:val="00694B00"/>
    <w:rsid w:val="0069785C"/>
    <w:rsid w:val="006A137C"/>
    <w:rsid w:val="006C26BE"/>
    <w:rsid w:val="006D2CEA"/>
    <w:rsid w:val="006D5092"/>
    <w:rsid w:val="006E2677"/>
    <w:rsid w:val="006E4AFB"/>
    <w:rsid w:val="006E6409"/>
    <w:rsid w:val="006F05DE"/>
    <w:rsid w:val="006F42F2"/>
    <w:rsid w:val="007070A6"/>
    <w:rsid w:val="00715548"/>
    <w:rsid w:val="00717FAB"/>
    <w:rsid w:val="007623F5"/>
    <w:rsid w:val="00762B15"/>
    <w:rsid w:val="00766BF9"/>
    <w:rsid w:val="007721D5"/>
    <w:rsid w:val="007C19FD"/>
    <w:rsid w:val="007C3D17"/>
    <w:rsid w:val="007E7994"/>
    <w:rsid w:val="007F1076"/>
    <w:rsid w:val="008307CF"/>
    <w:rsid w:val="008308A0"/>
    <w:rsid w:val="00873ED4"/>
    <w:rsid w:val="00876285"/>
    <w:rsid w:val="00876411"/>
    <w:rsid w:val="008926B0"/>
    <w:rsid w:val="008968E7"/>
    <w:rsid w:val="008C1E4B"/>
    <w:rsid w:val="008D1CA0"/>
    <w:rsid w:val="008E0FB5"/>
    <w:rsid w:val="00905492"/>
    <w:rsid w:val="009056FE"/>
    <w:rsid w:val="00910C88"/>
    <w:rsid w:val="00913D76"/>
    <w:rsid w:val="0091512F"/>
    <w:rsid w:val="009207F7"/>
    <w:rsid w:val="00935800"/>
    <w:rsid w:val="0095322B"/>
    <w:rsid w:val="00954622"/>
    <w:rsid w:val="00974C27"/>
    <w:rsid w:val="009A1C04"/>
    <w:rsid w:val="009B5C04"/>
    <w:rsid w:val="009C39BB"/>
    <w:rsid w:val="009C523F"/>
    <w:rsid w:val="009D23F1"/>
    <w:rsid w:val="009D52C9"/>
    <w:rsid w:val="009E4205"/>
    <w:rsid w:val="00A00E9F"/>
    <w:rsid w:val="00A13601"/>
    <w:rsid w:val="00A2028E"/>
    <w:rsid w:val="00A303AE"/>
    <w:rsid w:val="00A4287E"/>
    <w:rsid w:val="00A436F6"/>
    <w:rsid w:val="00A45EF9"/>
    <w:rsid w:val="00A76DF1"/>
    <w:rsid w:val="00AD4DF1"/>
    <w:rsid w:val="00AE46D4"/>
    <w:rsid w:val="00AE6700"/>
    <w:rsid w:val="00B00BCB"/>
    <w:rsid w:val="00B949D3"/>
    <w:rsid w:val="00BF32BC"/>
    <w:rsid w:val="00BF6A35"/>
    <w:rsid w:val="00C13265"/>
    <w:rsid w:val="00C42088"/>
    <w:rsid w:val="00C44DBC"/>
    <w:rsid w:val="00C559F2"/>
    <w:rsid w:val="00C57D03"/>
    <w:rsid w:val="00C66D09"/>
    <w:rsid w:val="00C67AE1"/>
    <w:rsid w:val="00C95A8B"/>
    <w:rsid w:val="00CC02C4"/>
    <w:rsid w:val="00CD43C6"/>
    <w:rsid w:val="00CF4CC6"/>
    <w:rsid w:val="00D00FAE"/>
    <w:rsid w:val="00D661C9"/>
    <w:rsid w:val="00D96307"/>
    <w:rsid w:val="00DA692B"/>
    <w:rsid w:val="00DD1958"/>
    <w:rsid w:val="00E22AAE"/>
    <w:rsid w:val="00E2673B"/>
    <w:rsid w:val="00E8414C"/>
    <w:rsid w:val="00E841C2"/>
    <w:rsid w:val="00E87525"/>
    <w:rsid w:val="00E97D88"/>
    <w:rsid w:val="00EC59D7"/>
    <w:rsid w:val="00EE36F5"/>
    <w:rsid w:val="00EF23FF"/>
    <w:rsid w:val="00EF7C5B"/>
    <w:rsid w:val="00F03DC2"/>
    <w:rsid w:val="00F66155"/>
    <w:rsid w:val="00F731EC"/>
    <w:rsid w:val="00F805BF"/>
    <w:rsid w:val="00F85ACD"/>
    <w:rsid w:val="00FB7E15"/>
    <w:rsid w:val="00FC58F7"/>
    <w:rsid w:val="00FD5002"/>
    <w:rsid w:val="00FE1D77"/>
    <w:rsid w:val="00FE38E0"/>
    <w:rsid w:val="00FF52B7"/>
    <w:rsid w:val="00FF6730"/>
    <w:rsid w:val="02EA2F32"/>
    <w:rsid w:val="03EC5090"/>
    <w:rsid w:val="0AE01C2F"/>
    <w:rsid w:val="0CF13DED"/>
    <w:rsid w:val="0E6750A8"/>
    <w:rsid w:val="12942DD6"/>
    <w:rsid w:val="14904FCD"/>
    <w:rsid w:val="1635291A"/>
    <w:rsid w:val="1B0C4DF8"/>
    <w:rsid w:val="1F4920FA"/>
    <w:rsid w:val="20DD0011"/>
    <w:rsid w:val="20E800CE"/>
    <w:rsid w:val="24406E27"/>
    <w:rsid w:val="25891D3A"/>
    <w:rsid w:val="2E303BAB"/>
    <w:rsid w:val="31A72018"/>
    <w:rsid w:val="36831E51"/>
    <w:rsid w:val="3A6563E1"/>
    <w:rsid w:val="3CE76EED"/>
    <w:rsid w:val="3DCD3AC0"/>
    <w:rsid w:val="4A935790"/>
    <w:rsid w:val="568D0400"/>
    <w:rsid w:val="5C124006"/>
    <w:rsid w:val="60741E81"/>
    <w:rsid w:val="616D6E32"/>
    <w:rsid w:val="645514E0"/>
    <w:rsid w:val="677A6ABA"/>
    <w:rsid w:val="6A1E5DD7"/>
    <w:rsid w:val="6A2D45CC"/>
    <w:rsid w:val="6E5F6A7C"/>
    <w:rsid w:val="72A10270"/>
    <w:rsid w:val="77C66466"/>
    <w:rsid w:val="7817518A"/>
    <w:rsid w:val="7F1379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semiHidden/>
    <w:unhideWhenUsed/>
    <w:qFormat/>
    <w:uiPriority w:val="99"/>
  </w:style>
  <w:style w:type="paragraph" w:styleId="3">
    <w:name w:val="Balloon Text"/>
    <w:basedOn w:val="1"/>
    <w:link w:val="9"/>
    <w:semiHidden/>
    <w:unhideWhenUsed/>
    <w:qFormat/>
    <w:uiPriority w:val="99"/>
    <w:rPr>
      <w:sz w:val="18"/>
      <w:szCs w:val="18"/>
    </w:rPr>
  </w:style>
  <w:style w:type="paragraph" w:styleId="4">
    <w:name w:val="annotation subject"/>
    <w:basedOn w:val="2"/>
    <w:next w:val="2"/>
    <w:link w:val="12"/>
    <w:semiHidden/>
    <w:unhideWhenUsed/>
    <w:qFormat/>
    <w:uiPriority w:val="99"/>
    <w:rPr>
      <w:b/>
      <w:bCs/>
      <w:sz w:val="20"/>
      <w:szCs w:val="20"/>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basedOn w:val="7"/>
    <w:semiHidden/>
    <w:unhideWhenUsed/>
    <w:qFormat/>
    <w:uiPriority w:val="99"/>
    <w:rPr>
      <w:sz w:val="16"/>
      <w:szCs w:val="16"/>
    </w:rPr>
  </w:style>
  <w:style w:type="character" w:customStyle="1" w:styleId="9">
    <w:name w:val="Balloon Text Char"/>
    <w:basedOn w:val="7"/>
    <w:link w:val="3"/>
    <w:semiHidden/>
    <w:qFormat/>
    <w:uiPriority w:val="99"/>
    <w:rPr>
      <w:rFonts w:ascii="Times New Roman" w:hAnsi="Times New Roman" w:cs="Times New Roman"/>
      <w:sz w:val="18"/>
      <w:szCs w:val="18"/>
    </w:rPr>
  </w:style>
  <w:style w:type="paragraph" w:customStyle="1" w:styleId="10">
    <w:name w:val="Revision1"/>
    <w:hidden/>
    <w:semiHidden/>
    <w:qFormat/>
    <w:uiPriority w:val="99"/>
    <w:rPr>
      <w:rFonts w:ascii="Times New Roman" w:hAnsi="Times New Roman" w:eastAsia="Times New Roman" w:cs="Times New Roman"/>
      <w:sz w:val="24"/>
      <w:szCs w:val="24"/>
      <w:lang w:val="en-US" w:eastAsia="zh-CN" w:bidi="ar-SA"/>
    </w:rPr>
  </w:style>
  <w:style w:type="character" w:customStyle="1" w:styleId="11">
    <w:name w:val="Comment Text Char"/>
    <w:basedOn w:val="7"/>
    <w:link w:val="2"/>
    <w:semiHidden/>
    <w:qFormat/>
    <w:uiPriority w:val="99"/>
    <w:rPr>
      <w:rFonts w:ascii="Times New Roman" w:hAnsi="Times New Roman" w:eastAsia="Times New Roman" w:cs="Times New Roman"/>
      <w:sz w:val="24"/>
      <w:szCs w:val="24"/>
    </w:rPr>
  </w:style>
  <w:style w:type="character" w:customStyle="1" w:styleId="12">
    <w:name w:val="Comment Subject Char"/>
    <w:basedOn w:val="11"/>
    <w:link w:val="4"/>
    <w:semiHidden/>
    <w:qFormat/>
    <w:uiPriority w:val="99"/>
    <w:rPr>
      <w:rFonts w:ascii="Times New Roman" w:hAnsi="Times New Roman" w:eastAsia="Times New Roman" w:cs="Times New Roman"/>
      <w:b/>
      <w:bCs/>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hart" Target="charts/chart1.xml"/><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Users\feixue1039\OneDrive%20-%20The%20Chinese%20University%20of%20Hong%20Kong\Project\haplotype\Draft%20MS\Kmer%20Accumul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886482939633"/>
          <c:y val="0.0744907407407407"/>
          <c:w val="0.845891294838145"/>
          <c:h val="0.809428769320502"/>
        </c:manualLayout>
      </c:layout>
      <c:scatterChart>
        <c:scatterStyle val="smoothMarker"/>
        <c:varyColors val="0"/>
        <c:ser>
          <c:idx val="0"/>
          <c:order val="0"/>
          <c:tx>
            <c:strRef>
              <c:f>Accu_summary!$D$3</c:f>
              <c:strCache>
                <c:ptCount val="1"/>
                <c:pt idx="0">
                  <c:v>SK</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dLbls>
            <c:delete val="1"/>
          </c:dLbls>
          <c:xVal>
            <c:numRef>
              <c:f>Accu_summary!$C$4:$C$34</c:f>
              <c:numCache>
                <c:formatCode>General</c:formatCod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xVal>
          <c:yVal>
            <c:numRef>
              <c:f>Accu_summary!$D$4:$D$34</c:f>
              <c:numCache>
                <c:formatCode>0.00</c:formatCode>
                <c:ptCount val="31"/>
                <c:pt idx="0">
                  <c:v>55.3503041032345</c:v>
                </c:pt>
                <c:pt idx="1">
                  <c:v>77.9060141077444</c:v>
                </c:pt>
                <c:pt idx="2">
                  <c:v>85.3579151043263</c:v>
                </c:pt>
                <c:pt idx="3">
                  <c:v>90.7209224419197</c:v>
                </c:pt>
                <c:pt idx="4">
                  <c:v>95.1402790800926</c:v>
                </c:pt>
                <c:pt idx="5">
                  <c:v>96.6041138190285</c:v>
                </c:pt>
                <c:pt idx="6">
                  <c:v>97.2606457156973</c:v>
                </c:pt>
                <c:pt idx="7">
                  <c:v>97.8697629903094</c:v>
                </c:pt>
                <c:pt idx="8">
                  <c:v>98.2235419280986</c:v>
                </c:pt>
                <c:pt idx="9">
                  <c:v>98.5648481663848</c:v>
                </c:pt>
                <c:pt idx="10">
                  <c:v>98.7171457175772</c:v>
                </c:pt>
                <c:pt idx="11">
                  <c:v>98.898634057079</c:v>
                </c:pt>
                <c:pt idx="12">
                  <c:v>98.9540005301595</c:v>
                </c:pt>
                <c:pt idx="13">
                  <c:v>99.0441707855629</c:v>
                </c:pt>
                <c:pt idx="14">
                  <c:v>99.0973623302304</c:v>
                </c:pt>
                <c:pt idx="15">
                  <c:v>99.1476475095673</c:v>
                </c:pt>
                <c:pt idx="16">
                  <c:v>99.1776061998728</c:v>
                </c:pt>
                <c:pt idx="17">
                  <c:v>99.1919795184128</c:v>
                </c:pt>
                <c:pt idx="18">
                  <c:v>99.2055635815322</c:v>
                </c:pt>
                <c:pt idx="19">
                  <c:v>99.2165106609838</c:v>
                </c:pt>
                <c:pt idx="20">
                  <c:v>99.2289441030372</c:v>
                </c:pt>
                <c:pt idx="21">
                  <c:v>99.2386605682097</c:v>
                </c:pt>
                <c:pt idx="22">
                  <c:v>99.2462237869077</c:v>
                </c:pt>
                <c:pt idx="23">
                  <c:v>99.2530552401741</c:v>
                </c:pt>
                <c:pt idx="24">
                  <c:v>99.2598155701113</c:v>
                </c:pt>
                <c:pt idx="25">
                  <c:v>99.2654983733971</c:v>
                </c:pt>
                <c:pt idx="26">
                  <c:v>99.2701248391991</c:v>
                </c:pt>
                <c:pt idx="27">
                  <c:v>99.2754431559545</c:v>
                </c:pt>
                <c:pt idx="28">
                  <c:v>99.2816198803746</c:v>
                </c:pt>
                <c:pt idx="29">
                  <c:v>99.2856965776244</c:v>
                </c:pt>
                <c:pt idx="30">
                  <c:v>99.2896937744323</c:v>
                </c:pt>
              </c:numCache>
            </c:numRef>
          </c:yVal>
          <c:smooth val="1"/>
        </c:ser>
        <c:ser>
          <c:idx val="1"/>
          <c:order val="1"/>
          <c:tx>
            <c:strRef>
              <c:f>Accu_summary!$E$3</c:f>
              <c:strCache>
                <c:ptCount val="1"/>
                <c:pt idx="0">
                  <c:v>B73</c:v>
                </c:pt>
              </c:strCache>
            </c:strRef>
          </c:tx>
          <c:spPr>
            <a:ln w="19050" cap="rnd">
              <a:solidFill>
                <a:schemeClr val="accent6"/>
              </a:solidFill>
              <a:round/>
            </a:ln>
            <a:effectLst/>
          </c:spPr>
          <c:marker>
            <c:symbol val="triangle"/>
            <c:size val="5"/>
            <c:spPr>
              <a:solidFill>
                <a:srgbClr val="00B050"/>
              </a:solidFill>
              <a:ln w="9525">
                <a:solidFill>
                  <a:srgbClr val="00B050"/>
                </a:solidFill>
              </a:ln>
              <a:effectLst/>
            </c:spPr>
          </c:marker>
          <c:dLbls>
            <c:delete val="1"/>
          </c:dLbls>
          <c:xVal>
            <c:numRef>
              <c:f>Accu_summary!$C$4:$C$34</c:f>
              <c:numCache>
                <c:formatCode>General</c:formatCod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xVal>
          <c:yVal>
            <c:numRef>
              <c:f>Accu_summary!$E$4:$E$34</c:f>
              <c:numCache>
                <c:formatCode>0.00</c:formatCode>
                <c:ptCount val="31"/>
                <c:pt idx="0">
                  <c:v>62.2272373185941</c:v>
                </c:pt>
                <c:pt idx="1">
                  <c:v>79.6486680619461</c:v>
                </c:pt>
                <c:pt idx="2">
                  <c:v>88.5840915447655</c:v>
                </c:pt>
                <c:pt idx="3">
                  <c:v>92.4858204809336</c:v>
                </c:pt>
                <c:pt idx="4">
                  <c:v>95.2358046249369</c:v>
                </c:pt>
                <c:pt idx="5">
                  <c:v>96.8826260031341</c:v>
                </c:pt>
                <c:pt idx="6">
                  <c:v>97.6032500361515</c:v>
                </c:pt>
                <c:pt idx="7">
                  <c:v>98.0324169828232</c:v>
                </c:pt>
                <c:pt idx="8">
                  <c:v>98.2360206754985</c:v>
                </c:pt>
                <c:pt idx="9">
                  <c:v>98.4370591865996</c:v>
                </c:pt>
                <c:pt idx="10">
                  <c:v>98.525604466333</c:v>
                </c:pt>
                <c:pt idx="11">
                  <c:v>98.6045893033074</c:v>
                </c:pt>
                <c:pt idx="12">
                  <c:v>98.6887392459241</c:v>
                </c:pt>
                <c:pt idx="13">
                  <c:v>98.7755080480913</c:v>
                </c:pt>
                <c:pt idx="14">
                  <c:v>98.8408119166701</c:v>
                </c:pt>
                <c:pt idx="15">
                  <c:v>98.8783581792028</c:v>
                </c:pt>
                <c:pt idx="16">
                  <c:v>98.9053881687539</c:v>
                </c:pt>
                <c:pt idx="17">
                  <c:v>98.9209809622511</c:v>
                </c:pt>
                <c:pt idx="18">
                  <c:v>98.9393655044864</c:v>
                </c:pt>
                <c:pt idx="19">
                  <c:v>98.9520855383119</c:v>
                </c:pt>
                <c:pt idx="20">
                  <c:v>98.9703605840618</c:v>
                </c:pt>
                <c:pt idx="21">
                  <c:v>98.9855038656713</c:v>
                </c:pt>
                <c:pt idx="22">
                  <c:v>98.9909711157509</c:v>
                </c:pt>
                <c:pt idx="23">
                  <c:v>98.9990284105163</c:v>
                </c:pt>
                <c:pt idx="24">
                  <c:v>99.0057862372168</c:v>
                </c:pt>
                <c:pt idx="25">
                  <c:v>99.0125328672842</c:v>
                </c:pt>
                <c:pt idx="26">
                  <c:v>99.0183346991058</c:v>
                </c:pt>
                <c:pt idx="27">
                  <c:v>99.0245687538962</c:v>
                </c:pt>
                <c:pt idx="28">
                  <c:v>99.0297485139553</c:v>
                </c:pt>
                <c:pt idx="29">
                  <c:v>99.0334814384991</c:v>
                </c:pt>
                <c:pt idx="30">
                  <c:v>99.0386875435772</c:v>
                </c:pt>
              </c:numCache>
            </c:numRef>
          </c:yVal>
          <c:smooth val="1"/>
        </c:ser>
        <c:ser>
          <c:idx val="2"/>
          <c:order val="2"/>
          <c:tx>
            <c:strRef>
              <c:f>Accu_summary!$F$3</c:f>
              <c:strCache>
                <c:ptCount val="1"/>
                <c:pt idx="0">
                  <c:v>SK +B73</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Lbls>
            <c:delete val="1"/>
          </c:dLbls>
          <c:xVal>
            <c:numRef>
              <c:f>Accu_summary!$C$4:$C$34</c:f>
              <c:numCache>
                <c:formatCode>General</c:formatCod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xVal>
          <c:yVal>
            <c:numRef>
              <c:f>Accu_summary!$F$4:$F$34</c:f>
              <c:numCache>
                <c:formatCode>0.00</c:formatCode>
                <c:ptCount val="31"/>
                <c:pt idx="0">
                  <c:v>52.4046314682127</c:v>
                </c:pt>
                <c:pt idx="1">
                  <c:v>73.1090901974806</c:v>
                </c:pt>
                <c:pt idx="2">
                  <c:v>82.4130633911</c:v>
                </c:pt>
                <c:pt idx="3">
                  <c:v>88.1910830087905</c:v>
                </c:pt>
                <c:pt idx="4">
                  <c:v>93.0871965659721</c:v>
                </c:pt>
                <c:pt idx="5">
                  <c:v>95.2552398357839</c:v>
                </c:pt>
                <c:pt idx="6">
                  <c:v>96.2396804642676</c:v>
                </c:pt>
                <c:pt idx="7">
                  <c:v>96.9920372258232</c:v>
                </c:pt>
                <c:pt idx="8">
                  <c:v>97.4021466025544</c:v>
                </c:pt>
                <c:pt idx="9">
                  <c:v>97.8000191881431</c:v>
                </c:pt>
                <c:pt idx="10">
                  <c:v>97.9764598417344</c:v>
                </c:pt>
                <c:pt idx="11">
                  <c:v>98.1654623883856</c:v>
                </c:pt>
                <c:pt idx="12">
                  <c:v>98.2682028500721</c:v>
                </c:pt>
                <c:pt idx="13">
                  <c:v>98.3986978090854</c:v>
                </c:pt>
                <c:pt idx="14">
                  <c:v>98.4847795181499</c:v>
                </c:pt>
                <c:pt idx="15">
                  <c:v>98.5484617176087</c:v>
                </c:pt>
                <c:pt idx="16">
                  <c:v>98.5896954983237</c:v>
                </c:pt>
                <c:pt idx="17">
                  <c:v>98.6108871648686</c:v>
                </c:pt>
                <c:pt idx="18">
                  <c:v>98.6339588936758</c:v>
                </c:pt>
                <c:pt idx="19">
                  <c:v>98.6509795238841</c:v>
                </c:pt>
                <c:pt idx="20">
                  <c:v>98.6724727759323</c:v>
                </c:pt>
                <c:pt idx="21">
                  <c:v>98.6895770895508</c:v>
                </c:pt>
                <c:pt idx="22">
                  <c:v>98.6987338558706</c:v>
                </c:pt>
                <c:pt idx="23">
                  <c:v>98.7089030788739</c:v>
                </c:pt>
                <c:pt idx="24">
                  <c:v>98.7182492273804</c:v>
                </c:pt>
                <c:pt idx="25">
                  <c:v>98.7270821426559</c:v>
                </c:pt>
                <c:pt idx="26">
                  <c:v>98.7346066446737</c:v>
                </c:pt>
                <c:pt idx="27">
                  <c:v>98.7427184316097</c:v>
                </c:pt>
                <c:pt idx="28">
                  <c:v>98.7505732892119</c:v>
                </c:pt>
                <c:pt idx="29">
                  <c:v>98.7560037045807</c:v>
                </c:pt>
                <c:pt idx="30">
                  <c:v>98.7626200727313</c:v>
                </c:pt>
              </c:numCache>
            </c:numRef>
          </c:yVal>
          <c:smooth val="1"/>
        </c:ser>
        <c:ser>
          <c:idx val="3"/>
          <c:order val="3"/>
          <c:tx>
            <c:strRef>
              <c:f>Accu_summary!$G$3</c:f>
              <c:strCache>
                <c:ptCount val="1"/>
                <c:pt idx="0">
                  <c:v>Simulation</c:v>
                </c:pt>
              </c:strCache>
            </c:strRef>
          </c:tx>
          <c:spPr>
            <a:ln w="19050" cap="rnd">
              <a:solidFill>
                <a:schemeClr val="tx1"/>
              </a:solidFill>
              <a:prstDash val="dash"/>
              <a:round/>
            </a:ln>
            <a:effectLst/>
          </c:spPr>
          <c:marker>
            <c:symbol val="diamond"/>
            <c:size val="5"/>
            <c:spPr>
              <a:solidFill>
                <a:schemeClr val="tx1"/>
              </a:solidFill>
              <a:ln w="9525">
                <a:solidFill>
                  <a:schemeClr val="tx1"/>
                </a:solidFill>
              </a:ln>
              <a:effectLst/>
            </c:spPr>
          </c:marker>
          <c:dLbls>
            <c:delete val="1"/>
          </c:dLbls>
          <c:xVal>
            <c:numRef>
              <c:f>Accu_summary!$C$4:$C$34</c:f>
              <c:numCache>
                <c:formatCode>General</c:formatCod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xVal>
          <c:yVal>
            <c:numRef>
              <c:f>Accu_summary!$G$4:$G$34</c:f>
              <c:numCache>
                <c:formatCode>0.00</c:formatCode>
                <c:ptCount val="31"/>
                <c:pt idx="0">
                  <c:v>50</c:v>
                </c:pt>
                <c:pt idx="1">
                  <c:v>75</c:v>
                </c:pt>
                <c:pt idx="2">
                  <c:v>87.5</c:v>
                </c:pt>
                <c:pt idx="3">
                  <c:v>93.75</c:v>
                </c:pt>
                <c:pt idx="4">
                  <c:v>96.875</c:v>
                </c:pt>
                <c:pt idx="5">
                  <c:v>98.4375</c:v>
                </c:pt>
                <c:pt idx="6">
                  <c:v>99.21875</c:v>
                </c:pt>
                <c:pt idx="7">
                  <c:v>99.609375</c:v>
                </c:pt>
                <c:pt idx="8">
                  <c:v>99.8046875</c:v>
                </c:pt>
                <c:pt idx="9">
                  <c:v>99.90234375</c:v>
                </c:pt>
                <c:pt idx="10">
                  <c:v>99.951171875</c:v>
                </c:pt>
                <c:pt idx="11">
                  <c:v>99.9755859375</c:v>
                </c:pt>
                <c:pt idx="12">
                  <c:v>99.98779296875</c:v>
                </c:pt>
                <c:pt idx="13">
                  <c:v>99.993896484375</c:v>
                </c:pt>
                <c:pt idx="14">
                  <c:v>99.9969482421875</c:v>
                </c:pt>
                <c:pt idx="15">
                  <c:v>99.9984741210938</c:v>
                </c:pt>
                <c:pt idx="16">
                  <c:v>99.9992370605469</c:v>
                </c:pt>
                <c:pt idx="17">
                  <c:v>99.9996185302734</c:v>
                </c:pt>
                <c:pt idx="18">
                  <c:v>99.9998092651367</c:v>
                </c:pt>
                <c:pt idx="19">
                  <c:v>99.9999046325684</c:v>
                </c:pt>
                <c:pt idx="20">
                  <c:v>99.9999523162842</c:v>
                </c:pt>
                <c:pt idx="21">
                  <c:v>99.9999761581421</c:v>
                </c:pt>
                <c:pt idx="22">
                  <c:v>99.999988079071</c:v>
                </c:pt>
                <c:pt idx="23">
                  <c:v>99.9999940395355</c:v>
                </c:pt>
                <c:pt idx="24">
                  <c:v>99.9999970197678</c:v>
                </c:pt>
                <c:pt idx="25">
                  <c:v>99.9999985098839</c:v>
                </c:pt>
                <c:pt idx="26">
                  <c:v>99.9999992549419</c:v>
                </c:pt>
                <c:pt idx="27">
                  <c:v>99.999999627471</c:v>
                </c:pt>
                <c:pt idx="28">
                  <c:v>99.9999998137355</c:v>
                </c:pt>
                <c:pt idx="29">
                  <c:v>99.9999999068677</c:v>
                </c:pt>
                <c:pt idx="30">
                  <c:v>99.9999999534339</c:v>
                </c:pt>
              </c:numCache>
            </c:numRef>
          </c:yVal>
          <c:smooth val="1"/>
        </c:ser>
        <c:dLbls>
          <c:showLegendKey val="0"/>
          <c:showVal val="0"/>
          <c:showCatName val="0"/>
          <c:showSerName val="0"/>
          <c:showPercent val="0"/>
          <c:showBubbleSize val="0"/>
        </c:dLbls>
        <c:axId val="184349999"/>
        <c:axId val="271161103"/>
      </c:scatterChart>
      <c:valAx>
        <c:axId val="184349999"/>
        <c:scaling>
          <c:orientation val="minMax"/>
          <c:max val="31"/>
          <c:min val="1"/>
        </c:scaling>
        <c:delete val="0"/>
        <c:axPos val="b"/>
        <c:majorGridlines>
          <c:spPr>
            <a:ln w="9525" cap="flat" cmpd="sng" algn="ctr">
              <a:noFill/>
              <a:round/>
            </a:ln>
            <a:effectLst/>
          </c:spPr>
        </c:majorGridlines>
        <c:title>
          <c:tx>
            <c:rich>
              <a:bodyPr rot="0" spcFirstLastPara="1" vertOverflow="ellipsis" vert="horz" wrap="square" anchor="ctr" anchorCtr="1"/>
              <a:lstStyle/>
              <a:p>
                <a:pPr>
                  <a:defRPr lang="zh-CN" sz="1200" b="0" i="0" u="none" strike="noStrike" kern="1200" baseline="0">
                    <a:solidFill>
                      <a:schemeClr val="tx1"/>
                    </a:solidFill>
                    <a:latin typeface="Arial" panose="020B0604020202020204" pitchFamily="2" charset="0"/>
                    <a:ea typeface="+mn-ea"/>
                    <a:cs typeface="Arial" panose="020B0604020202020204" pitchFamily="2" charset="0"/>
                  </a:defRPr>
                </a:pPr>
                <a:r>
                  <a:rPr lang="en-US" sz="1200">
                    <a:solidFill>
                      <a:schemeClr val="tx1"/>
                    </a:solidFill>
                    <a:latin typeface="Arial" panose="020B0604020202020204" pitchFamily="2" charset="0"/>
                    <a:cs typeface="Arial" panose="020B0604020202020204" pitchFamily="2" charset="0"/>
                  </a:rPr>
                  <a:t>No. of cells</a:t>
                </a:r>
                <a:endParaRPr lang="en-US" sz="1200">
                  <a:solidFill>
                    <a:schemeClr val="tx1"/>
                  </a:solidFill>
                  <a:latin typeface="Arial" panose="020B0604020202020204" pitchFamily="2" charset="0"/>
                  <a:cs typeface="Arial" panose="020B0604020202020204" pitchFamily="2" charset="0"/>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1100" b="0" i="0" u="none" strike="noStrike" kern="1200" baseline="0">
                <a:solidFill>
                  <a:schemeClr val="tx1"/>
                </a:solidFill>
                <a:latin typeface="Arial" panose="020B0604020202020204" pitchFamily="2" charset="0"/>
                <a:ea typeface="+mn-ea"/>
                <a:cs typeface="Arial" panose="020B0604020202020204" pitchFamily="2" charset="0"/>
              </a:defRPr>
            </a:pPr>
          </a:p>
        </c:txPr>
        <c:crossAx val="271161103"/>
        <c:crosses val="autoZero"/>
        <c:crossBetween val="midCat"/>
      </c:valAx>
      <c:valAx>
        <c:axId val="271161103"/>
        <c:scaling>
          <c:orientation val="minMax"/>
          <c:max val="100"/>
          <c:min val="5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lang="zh-CN" sz="1400" b="0" i="0" u="none" strike="noStrike" kern="1200" baseline="0">
                    <a:solidFill>
                      <a:schemeClr val="tx1"/>
                    </a:solidFill>
                    <a:latin typeface="Arial" panose="020B0604020202020204" pitchFamily="2" charset="0"/>
                    <a:ea typeface="+mn-ea"/>
                    <a:cs typeface="Arial" panose="020B0604020202020204" pitchFamily="2" charset="0"/>
                  </a:defRPr>
                </a:pPr>
                <a:r>
                  <a:rPr lang="en-US" sz="1400">
                    <a:solidFill>
                      <a:schemeClr val="tx1"/>
                    </a:solidFill>
                    <a:latin typeface="Arial" panose="020B0604020202020204" pitchFamily="2" charset="0"/>
                    <a:cs typeface="Arial" panose="020B0604020202020204" pitchFamily="2" charset="0"/>
                  </a:rPr>
                  <a:t>K</a:t>
                </a:r>
                <a:r>
                  <a:rPr lang="en-US" altLang="zh-CN" sz="1400">
                    <a:solidFill>
                      <a:schemeClr val="tx1"/>
                    </a:solidFill>
                    <a:latin typeface="Arial" panose="020B0604020202020204" pitchFamily="2" charset="0"/>
                    <a:cs typeface="Arial" panose="020B0604020202020204" pitchFamily="2" charset="0"/>
                  </a:rPr>
                  <a:t>-</a:t>
                </a:r>
                <a:r>
                  <a:rPr lang="en-US" sz="1400">
                    <a:solidFill>
                      <a:schemeClr val="tx1"/>
                    </a:solidFill>
                    <a:latin typeface="Arial" panose="020B0604020202020204" pitchFamily="2" charset="0"/>
                    <a:cs typeface="Arial" panose="020B0604020202020204" pitchFamily="2" charset="0"/>
                  </a:rPr>
                  <a:t>mer</a:t>
                </a:r>
                <a:r>
                  <a:rPr lang="en-US" sz="1400" baseline="0">
                    <a:solidFill>
                      <a:schemeClr val="tx1"/>
                    </a:solidFill>
                    <a:latin typeface="Arial" panose="020B0604020202020204" pitchFamily="2" charset="0"/>
                    <a:cs typeface="Arial" panose="020B0604020202020204" pitchFamily="2" charset="0"/>
                  </a:rPr>
                  <a:t> (%)</a:t>
                </a:r>
                <a:endParaRPr lang="en-US" sz="1400">
                  <a:solidFill>
                    <a:schemeClr val="tx1"/>
                  </a:solidFill>
                  <a:latin typeface="Arial" panose="020B0604020202020204" pitchFamily="2" charset="0"/>
                  <a:cs typeface="Arial" panose="020B0604020202020204" pitchFamily="2" charset="0"/>
                </a:endParaRPr>
              </a:p>
            </c:rich>
          </c:tx>
          <c:layout/>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1100" b="0" i="0" u="none" strike="noStrike" kern="1200" baseline="0">
                <a:solidFill>
                  <a:schemeClr val="tx1"/>
                </a:solidFill>
                <a:latin typeface="Arial" panose="020B0604020202020204" pitchFamily="2" charset="0"/>
                <a:ea typeface="+mn-ea"/>
                <a:cs typeface="Arial" panose="020B0604020202020204" pitchFamily="2" charset="0"/>
              </a:defRPr>
            </a:pPr>
          </a:p>
        </c:txPr>
        <c:crossAx val="184349999"/>
        <c:crosses val="autoZero"/>
        <c:crossBetween val="midCat"/>
      </c:valAx>
      <c:spPr>
        <a:noFill/>
        <a:ln>
          <a:noFill/>
        </a:ln>
        <a:effectLst/>
      </c:spPr>
    </c:plotArea>
    <c:legend>
      <c:legendPos val="tr"/>
      <c:layout>
        <c:manualLayout>
          <c:xMode val="edge"/>
          <c:yMode val="edge"/>
          <c:x val="0.697233444489062"/>
          <c:y val="0.134940816423006"/>
          <c:w val="0.286938037955899"/>
          <c:h val="0.152382783300186"/>
        </c:manualLayout>
      </c:layout>
      <c:overlay val="0"/>
      <c:spPr>
        <a:noFill/>
        <a:ln>
          <a:noFill/>
        </a:ln>
        <a:effectLst/>
      </c:spPr>
      <c:txPr>
        <a:bodyPr rot="0" spcFirstLastPara="1" vertOverflow="ellipsis" vert="horz" wrap="square" anchor="ctr" anchorCtr="1"/>
        <a:lstStyle/>
        <a:p>
          <a:pPr>
            <a:defRPr lang="zh-CN" sz="1100" b="0" i="0" u="none" strike="noStrike" kern="1200" baseline="0">
              <a:solidFill>
                <a:schemeClr val="tx1"/>
              </a:solidFill>
              <a:latin typeface="Arial" panose="020B0604020202020204" pitchFamily="2" charset="0"/>
              <a:ea typeface="+mn-ea"/>
              <a:cs typeface="Arial" panose="020B0604020202020204" pitchFamily="2" charset="0"/>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2483</Words>
  <Characters>14156</Characters>
  <Lines>117</Lines>
  <Paragraphs>33</Paragraphs>
  <TotalTime>10</TotalTime>
  <ScaleCrop>false</ScaleCrop>
  <LinksUpToDate>false</LinksUpToDate>
  <CharactersWithSpaces>16606</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2021-01-20T07:59:00Z</dcterms:created>
  <dc:creator>XIE MIN</dc:creator>
  <cp:lastModifiedBy>sunrider</cp:lastModifiedBy>
  <dcterms:modified xsi:type="dcterms:W3CDTF">2021-12-21T09:25:36Z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A8A6E0DBA9DA4C6AB82376CA2D93A6BD</vt:lpwstr>
  </property>
</Properties>
</file>