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3BBBE2E7" w:rsidR="00040136" w:rsidRDefault="00E31326">
      <w:pPr>
        <w:pStyle w:val="Heading2"/>
        <w:shd w:val="clear" w:color="auto" w:fill="FFFFFF"/>
        <w:spacing w:line="342" w:lineRule="auto"/>
        <w:jc w:val="both"/>
        <w:rPr>
          <w:rFonts w:ascii="Calibri" w:eastAsia="Calibri" w:hAnsi="Calibri" w:cs="Calibri"/>
          <w:b/>
          <w:sz w:val="30"/>
          <w:szCs w:val="30"/>
        </w:rPr>
      </w:pPr>
      <w:bookmarkStart w:id="0" w:name="_heading=h.qlezyn65nxa1" w:colFirst="0" w:colLast="0"/>
      <w:bookmarkEnd w:id="0"/>
      <w:r>
        <w:rPr>
          <w:rFonts w:ascii="Calibri" w:eastAsia="Calibri" w:hAnsi="Calibri" w:cs="Calibri"/>
          <w:b/>
          <w:sz w:val="30"/>
          <w:szCs w:val="30"/>
        </w:rPr>
        <w:t>Additional file 2</w:t>
      </w:r>
      <w:bookmarkStart w:id="1" w:name="_GoBack"/>
      <w:bookmarkEnd w:id="1"/>
    </w:p>
    <w:p w14:paraId="00000002" w14:textId="77777777" w:rsidR="00040136" w:rsidRDefault="00FD2CC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Golden standard dataset, the most popular dataset in DTI predictions [1],</w:t>
      </w:r>
      <w:hyperlink r:id="rId7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8">
        <w:r>
          <w:t>[2]</w:t>
        </w:r>
      </w:hyperlink>
      <w:r>
        <w:rPr>
          <w:rFonts w:ascii="Calibri" w:eastAsia="Calibri" w:hAnsi="Calibri" w:cs="Calibri"/>
          <w:sz w:val="24"/>
          <w:szCs w:val="24"/>
        </w:rPr>
        <w:t>,</w:t>
      </w:r>
      <w:hyperlink r:id="rId9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10">
        <w:r>
          <w:t>[3]</w:t>
        </w:r>
      </w:hyperlink>
      <w:r>
        <w:rPr>
          <w:rFonts w:ascii="Calibri" w:eastAsia="Calibri" w:hAnsi="Calibri" w:cs="Calibri"/>
          <w:sz w:val="24"/>
          <w:szCs w:val="24"/>
        </w:rPr>
        <w:t xml:space="preserve">, [4], </w:t>
      </w:r>
      <w:hyperlink r:id="rId11">
        <w:r>
          <w:t>[5]</w:t>
        </w:r>
      </w:hyperlink>
      <w:r>
        <w:rPr>
          <w:rFonts w:ascii="Calibri" w:eastAsia="Calibri" w:hAnsi="Calibri" w:cs="Calibri"/>
          <w:sz w:val="24"/>
          <w:szCs w:val="24"/>
        </w:rPr>
        <w:t>,</w:t>
      </w:r>
      <w:hyperlink r:id="rId12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13">
        <w:r>
          <w:t>[6]</w:t>
        </w:r>
      </w:hyperlink>
      <w:r>
        <w:rPr>
          <w:rFonts w:ascii="Calibri" w:eastAsia="Calibri" w:hAnsi="Calibri" w:cs="Calibri"/>
          <w:sz w:val="24"/>
          <w:szCs w:val="24"/>
        </w:rPr>
        <w:t>, only contains positive DTIs retrieved from different sources like KEGG BRITE</w:t>
      </w:r>
      <w:hyperlink r:id="rId14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15">
        <w:r>
          <w:t>[7]</w:t>
        </w:r>
      </w:hyperlink>
      <w:r>
        <w:rPr>
          <w:rFonts w:ascii="Calibri" w:eastAsia="Calibri" w:hAnsi="Calibri" w:cs="Calibri"/>
          <w:sz w:val="24"/>
          <w:szCs w:val="24"/>
        </w:rPr>
        <w:t>, DrugBank</w:t>
      </w:r>
      <w:hyperlink r:id="rId16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17">
        <w:r>
          <w:t>[8]</w:t>
        </w:r>
      </w:hyperlink>
      <w:r>
        <w:rPr>
          <w:rFonts w:ascii="Calibri" w:eastAsia="Calibri" w:hAnsi="Calibri" w:cs="Calibri"/>
          <w:sz w:val="24"/>
          <w:szCs w:val="24"/>
        </w:rPr>
        <w:t>, SuperTarget</w:t>
      </w:r>
      <w:hyperlink r:id="rId18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19">
        <w:r>
          <w:t>[9]</w:t>
        </w:r>
      </w:hyperlink>
      <w:r>
        <w:rPr>
          <w:rFonts w:ascii="Calibri" w:eastAsia="Calibri" w:hAnsi="Calibri" w:cs="Calibri"/>
          <w:sz w:val="24"/>
          <w:szCs w:val="24"/>
        </w:rPr>
        <w:t xml:space="preserve">, and BRENDA </w:t>
      </w:r>
      <w:hyperlink r:id="rId20">
        <w:r>
          <w:t>[10]</w:t>
        </w:r>
      </w:hyperlink>
      <w:hyperlink r:id="rId21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r>
        <w:rPr>
          <w:rFonts w:ascii="Calibri" w:eastAsia="Calibri" w:hAnsi="Calibri" w:cs="Calibri"/>
          <w:sz w:val="24"/>
          <w:szCs w:val="24"/>
        </w:rPr>
        <w:t>databases. The chemical structures of drugs were obtained from the KEG</w:t>
      </w:r>
      <w:r>
        <w:rPr>
          <w:rFonts w:ascii="Calibri" w:eastAsia="Calibri" w:hAnsi="Calibri" w:cs="Calibri"/>
          <w:sz w:val="24"/>
          <w:szCs w:val="24"/>
        </w:rPr>
        <w:t xml:space="preserve">G LIGAND database </w:t>
      </w:r>
      <w:hyperlink r:id="rId22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23">
        <w:r>
          <w:t>[7]</w:t>
        </w:r>
      </w:hyperlink>
      <w:r>
        <w:rPr>
          <w:rFonts w:ascii="Calibri" w:eastAsia="Calibri" w:hAnsi="Calibri" w:cs="Calibri"/>
          <w:sz w:val="24"/>
          <w:szCs w:val="24"/>
        </w:rPr>
        <w:t xml:space="preserve"> and the drug similarities were calculated</w:t>
      </w:r>
      <w:hyperlink r:id="rId24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25">
        <w:r>
          <w:t>[11]</w:t>
        </w:r>
      </w:hyperlink>
      <w:r>
        <w:rPr>
          <w:rFonts w:ascii="Calibri" w:eastAsia="Calibri" w:hAnsi="Calibri" w:cs="Calibri"/>
          <w:sz w:val="24"/>
          <w:szCs w:val="24"/>
        </w:rPr>
        <w:t>. The target protein similarities were computed based on the Smith-Waterman similarity score [12] between amino acid sequences collected from the KEGG GENES database</w:t>
      </w:r>
      <w:hyperlink r:id="rId26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27">
        <w:r>
          <w:t>[7]</w:t>
        </w:r>
      </w:hyperlink>
      <w:r>
        <w:rPr>
          <w:rFonts w:ascii="Calibri" w:eastAsia="Calibri" w:hAnsi="Calibri" w:cs="Calibri"/>
          <w:sz w:val="24"/>
          <w:szCs w:val="24"/>
        </w:rPr>
        <w:t>. Target proteins are classified into four groups of enzymes, ion channels, G-protein-coupled receptors and nuclear receptors</w:t>
      </w:r>
      <w:hyperlink r:id="rId28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r>
        <w:rPr>
          <w:rFonts w:ascii="Calibri" w:eastAsia="Calibri" w:hAnsi="Calibri" w:cs="Calibri"/>
          <w:sz w:val="24"/>
          <w:szCs w:val="24"/>
        </w:rPr>
        <w:t>[13]. The dataset consists of 791 drugs and 989 targets connected through 5127 positive validated interactions.  The class ratio shows an extreme class imbalance between positive and unknown/negative interactions</w:t>
      </w:r>
      <w:hyperlink r:id="rId29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30">
        <w:r>
          <w:t>[2]</w:t>
        </w:r>
      </w:hyperlink>
      <w:r>
        <w:t xml:space="preserve">, </w:t>
      </w:r>
      <w:hyperlink r:id="rId31">
        <w:r>
          <w:t>[3]</w:t>
        </w:r>
      </w:hyperlink>
      <w:r>
        <w:rPr>
          <w:rFonts w:ascii="Calibri" w:eastAsia="Calibri" w:hAnsi="Calibri" w:cs="Calibri"/>
          <w:sz w:val="24"/>
          <w:szCs w:val="24"/>
        </w:rPr>
        <w:t>. The entire dataset is publicly available at</w:t>
      </w:r>
      <w:hyperlink r:id="rId32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33">
        <w:r>
          <w:rPr>
            <w:rFonts w:ascii="Calibri" w:eastAsia="Calibri" w:hAnsi="Calibri" w:cs="Calibri"/>
            <w:sz w:val="24"/>
            <w:szCs w:val="24"/>
            <w:u w:val="single"/>
          </w:rPr>
          <w:t>http://web.kuicr.kyoto-u.ac.jp/supp/yoshi/drugtarget/</w:t>
        </w:r>
      </w:hyperlink>
      <w:r>
        <w:rPr>
          <w:rFonts w:ascii="Calibri" w:eastAsia="Calibri" w:hAnsi="Calibri" w:cs="Calibri"/>
          <w:sz w:val="24"/>
          <w:szCs w:val="24"/>
        </w:rPr>
        <w:t>.</w:t>
      </w:r>
    </w:p>
    <w:p w14:paraId="00000003" w14:textId="77777777" w:rsidR="00040136" w:rsidRDefault="0004013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040136" w:rsidRDefault="00FD2CC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ChEMBL is an open bioactivity repository that advances the research in computati</w:t>
      </w:r>
      <w:r>
        <w:rPr>
          <w:rFonts w:ascii="Calibri" w:eastAsia="Calibri" w:hAnsi="Calibri" w:cs="Calibri"/>
          <w:sz w:val="24"/>
          <w:szCs w:val="24"/>
        </w:rPr>
        <w:t>onal drug discovery</w:t>
      </w:r>
      <w:hyperlink r:id="rId34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r>
        <w:rPr>
          <w:rFonts w:ascii="Calibri" w:eastAsia="Calibri" w:hAnsi="Calibri" w:cs="Calibri"/>
          <w:sz w:val="24"/>
          <w:szCs w:val="24"/>
        </w:rPr>
        <w:t>[14],</w:t>
      </w:r>
      <w:hyperlink r:id="rId35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36">
        <w:r>
          <w:t>[15]</w:t>
        </w:r>
      </w:hyperlink>
      <w:hyperlink r:id="rId37">
        <w:r>
          <w:rPr>
            <w:rFonts w:ascii="Calibri" w:eastAsia="Calibri" w:hAnsi="Calibri" w:cs="Calibri"/>
            <w:sz w:val="24"/>
            <w:szCs w:val="24"/>
          </w:rPr>
          <w:t>)</w:t>
        </w:r>
      </w:hyperlink>
      <w:r>
        <w:rPr>
          <w:rFonts w:ascii="Calibri" w:eastAsia="Calibri" w:hAnsi="Calibri" w:cs="Calibri"/>
          <w:sz w:val="24"/>
          <w:szCs w:val="24"/>
        </w:rPr>
        <w:t>. ChEMBL labelled DTIs as active (positive) or inactive (negative) and the ligand efficiencies of active interactions were calculated on pChEMBL value (negative log10 molar IC50, XC50, EC50, etc.)</w:t>
      </w:r>
      <w:hyperlink r:id="rId38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39">
        <w:r>
          <w:t>[15]</w:t>
        </w:r>
      </w:hyperlink>
      <w:r>
        <w:rPr>
          <w:rFonts w:ascii="Calibri" w:eastAsia="Calibri" w:hAnsi="Calibri" w:cs="Calibri"/>
          <w:sz w:val="24"/>
          <w:szCs w:val="24"/>
        </w:rPr>
        <w:t xml:space="preserve">. In this study, only “SINGLE PROTEIN”targets and “IC50” interactions were selected [16] and drugs without enough information ("SMILES'', “pChEMBL value”, and with </w:t>
      </w:r>
      <w:r>
        <w:rPr>
          <w:rFonts w:ascii="Calibri" w:eastAsia="Calibri" w:hAnsi="Calibri" w:cs="Calibri"/>
          <w:sz w:val="24"/>
          <w:szCs w:val="24"/>
        </w:rPr>
        <w:t>fewer than 100 interactions) were excluded.</w:t>
      </w:r>
    </w:p>
    <w:p w14:paraId="00000005" w14:textId="77777777" w:rsidR="00040136" w:rsidRDefault="0004013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0000006" w14:textId="77777777" w:rsidR="00040136" w:rsidRDefault="00FD2CC0">
      <w:pPr>
        <w:pStyle w:val="Heading2"/>
        <w:spacing w:line="360" w:lineRule="auto"/>
        <w:jc w:val="both"/>
        <w:rPr>
          <w:rFonts w:ascii="Calibri" w:eastAsia="Calibri" w:hAnsi="Calibri" w:cs="Calibri"/>
          <w:b/>
          <w:sz w:val="30"/>
          <w:szCs w:val="30"/>
        </w:rPr>
      </w:pPr>
      <w:bookmarkStart w:id="2" w:name="_heading=h.fus2esqure0p" w:colFirst="0" w:colLast="0"/>
      <w:bookmarkEnd w:id="2"/>
      <w:r>
        <w:rPr>
          <w:b/>
          <w:sz w:val="30"/>
          <w:szCs w:val="30"/>
        </w:rPr>
        <w:t>References</w:t>
      </w:r>
    </w:p>
    <w:p w14:paraId="00000007" w14:textId="77777777" w:rsidR="00040136" w:rsidRDefault="00FD2CC0">
      <w:pPr>
        <w:widowControl w:val="0"/>
        <w:spacing w:line="240" w:lineRule="auto"/>
      </w:pPr>
      <w:hyperlink r:id="rId40">
        <w:r>
          <w:t>1. Ding H, Takigawa I, Mamitsuka H, Zhu S. Similarity-based machine learning methods for predicting drug–target interactions: a brief review. Brief Bioinform. 2014;15:734–47.</w:t>
        </w:r>
      </w:hyperlink>
    </w:p>
    <w:p w14:paraId="00000008" w14:textId="77777777" w:rsidR="00040136" w:rsidRDefault="00FD2CC0">
      <w:pPr>
        <w:widowControl w:val="0"/>
        <w:spacing w:line="240" w:lineRule="auto"/>
      </w:pPr>
      <w:hyperlink r:id="rId41">
        <w:r>
          <w:t xml:space="preserve">2. Pliakos K, Vens </w:t>
        </w:r>
        <w:r>
          <w:t>C. Drug-target interaction prediction with tree-ensemble learning and output space reconstruction. BMC Bioinformatics. 2020;21:49.</w:t>
        </w:r>
      </w:hyperlink>
    </w:p>
    <w:p w14:paraId="00000009" w14:textId="77777777" w:rsidR="00040136" w:rsidRDefault="00FD2CC0">
      <w:pPr>
        <w:widowControl w:val="0"/>
        <w:spacing w:line="240" w:lineRule="auto"/>
      </w:pPr>
      <w:hyperlink r:id="rId42">
        <w:r>
          <w:t>3. Thafar MA, Olayan RS, Ashoor H, Albaradei S, Bajic VB, Gao X</w:t>
        </w:r>
        <w:r>
          <w:t>, et al. DTiGEMS+: drug–target interaction prediction using graph embedding, graph mining, and similarity-based techniques. Journal of Cheminformatics. 2020;12:44.</w:t>
        </w:r>
      </w:hyperlink>
    </w:p>
    <w:p w14:paraId="0000000A" w14:textId="77777777" w:rsidR="00040136" w:rsidRDefault="00FD2CC0">
      <w:pPr>
        <w:widowControl w:val="0"/>
        <w:spacing w:line="240" w:lineRule="auto"/>
      </w:pPr>
      <w:hyperlink r:id="rId43">
        <w:r>
          <w:t>4. Bagherian M, Sabeti E, Wang</w:t>
        </w:r>
        <w:r>
          <w:t xml:space="preserve"> K, Sartor MA, Nikolovska-Coleska Z, Najarian K. Machine learning approaches and databases for prediction of drug–target interaction: a survey paper. Briefings in Bioinformatics. 2021;22:247–69.</w:t>
        </w:r>
      </w:hyperlink>
    </w:p>
    <w:p w14:paraId="0000000B" w14:textId="77777777" w:rsidR="00040136" w:rsidRDefault="00FD2CC0">
      <w:pPr>
        <w:widowControl w:val="0"/>
        <w:spacing w:line="240" w:lineRule="auto"/>
      </w:pPr>
      <w:hyperlink r:id="rId44">
        <w:r>
          <w:t>5. Mohamed SK, Nováček V, Nounu A. Discovering Protein Drug Targets Using Knowledge Graph Embeddings. Bioinformatics. 2019;:btz600.</w:t>
        </w:r>
      </w:hyperlink>
    </w:p>
    <w:p w14:paraId="0000000C" w14:textId="77777777" w:rsidR="00040136" w:rsidRDefault="00FD2CC0">
      <w:pPr>
        <w:widowControl w:val="0"/>
        <w:spacing w:line="240" w:lineRule="auto"/>
      </w:pPr>
      <w:hyperlink r:id="rId45">
        <w:r>
          <w:t>6. Hao M, Bryant SH, Wang Y. Predicting drug-target interacti</w:t>
        </w:r>
        <w:r>
          <w:t>ons by dual-network integrated logistic matrix factorization. Sci Rep. 2017;7. doi:10.1038/srep40376.</w:t>
        </w:r>
      </w:hyperlink>
    </w:p>
    <w:p w14:paraId="0000000D" w14:textId="77777777" w:rsidR="00040136" w:rsidRDefault="00FD2CC0">
      <w:pPr>
        <w:widowControl w:val="0"/>
        <w:spacing w:line="240" w:lineRule="auto"/>
      </w:pPr>
      <w:hyperlink r:id="rId46">
        <w:r>
          <w:t>7. Kanehisa M, Goto S, Hattori M, Aoki-Kinoshita KF, Itoh M, Kawashima S, et al. From genomi</w:t>
        </w:r>
        <w:r>
          <w:t>cs to chemical genomics: new developments in KEGG. Nucleic Acids Research. 2006;34 suppl_1:D354–7.</w:t>
        </w:r>
      </w:hyperlink>
    </w:p>
    <w:p w14:paraId="0000000E" w14:textId="77777777" w:rsidR="00040136" w:rsidRDefault="00FD2CC0">
      <w:pPr>
        <w:widowControl w:val="0"/>
        <w:spacing w:line="240" w:lineRule="auto"/>
      </w:pPr>
      <w:hyperlink r:id="rId47">
        <w:r>
          <w:t>8. Wishart DS, Knox C, Guo AC, Cheng D, Shrivastava S, Tzur D, et al. DrugBank: a knowledgebase</w:t>
        </w:r>
        <w:r>
          <w:t xml:space="preserve"> for drugs, drug actions and drug targets. Nucleic Acids Research. 2008;36 suppl_1:D901–6.</w:t>
        </w:r>
      </w:hyperlink>
    </w:p>
    <w:p w14:paraId="0000000F" w14:textId="77777777" w:rsidR="00040136" w:rsidRDefault="00FD2CC0">
      <w:pPr>
        <w:widowControl w:val="0"/>
        <w:spacing w:line="240" w:lineRule="auto"/>
      </w:pPr>
      <w:hyperlink r:id="rId48">
        <w:r>
          <w:t>9. Günther S, Kuhn M, Dunkel M, Campillos M, Senger C, Petsalaki E, et al. SuperTarget and Matador: res</w:t>
        </w:r>
        <w:r>
          <w:t>ources for exploring drug-target relationships. Nucleic Acids Research. 2008;36 suppl_1:D919–22.</w:t>
        </w:r>
      </w:hyperlink>
    </w:p>
    <w:p w14:paraId="00000010" w14:textId="77777777" w:rsidR="00040136" w:rsidRDefault="00FD2CC0">
      <w:pPr>
        <w:widowControl w:val="0"/>
        <w:spacing w:line="240" w:lineRule="auto"/>
      </w:pPr>
      <w:hyperlink r:id="rId49">
        <w:r>
          <w:t>10. Schomburg I, Chang A, Ebeling C, Gremse M, Heldt C, Huhn G, et al. BRENDA, the enzyme databas</w:t>
        </w:r>
        <w:r>
          <w:t>e: updates and major new developments. Nucleic Acids Research. 2004;32 suppl_1:D431–3.</w:t>
        </w:r>
      </w:hyperlink>
    </w:p>
    <w:p w14:paraId="00000011" w14:textId="77777777" w:rsidR="00040136" w:rsidRDefault="00FD2CC0">
      <w:pPr>
        <w:widowControl w:val="0"/>
        <w:spacing w:line="240" w:lineRule="auto"/>
      </w:pPr>
      <w:hyperlink r:id="rId50">
        <w:r>
          <w:t>11. Hattori M, Okuno Y, Goto S, Kanehisa M. Development of a chemical structure comparison method for integ</w:t>
        </w:r>
        <w:r>
          <w:t>rated analysis of chemical and genomic information in the metabolic pathways. J Am Chem Soc. 2003;125:11853–65.</w:t>
        </w:r>
      </w:hyperlink>
    </w:p>
    <w:p w14:paraId="00000012" w14:textId="77777777" w:rsidR="00040136" w:rsidRDefault="00FD2CC0">
      <w:pPr>
        <w:widowControl w:val="0"/>
        <w:spacing w:line="240" w:lineRule="auto"/>
      </w:pPr>
      <w:hyperlink r:id="rId51">
        <w:r>
          <w:t>12. Smith TF, Waterman MS. Identification of common molecular subsequences. Journa</w:t>
        </w:r>
        <w:r>
          <w:t>l of Molecular Biology. 1981;147:195–7.</w:t>
        </w:r>
      </w:hyperlink>
    </w:p>
    <w:p w14:paraId="00000013" w14:textId="77777777" w:rsidR="00040136" w:rsidRDefault="00FD2CC0">
      <w:pPr>
        <w:widowControl w:val="0"/>
        <w:spacing w:line="240" w:lineRule="auto"/>
      </w:pPr>
      <w:hyperlink r:id="rId52">
        <w:r>
          <w:t>13. Yamanishi Y, Araki M, Gutteridge A, Honda W, Kanehisa M. Prediction of drug–target interaction networks from the integration of chemical and genomic s</w:t>
        </w:r>
        <w:r>
          <w:t>paces. Bioinformatics. 2008;24:i232–40.</w:t>
        </w:r>
      </w:hyperlink>
    </w:p>
    <w:p w14:paraId="00000014" w14:textId="77777777" w:rsidR="00040136" w:rsidRDefault="00FD2CC0">
      <w:pPr>
        <w:widowControl w:val="0"/>
        <w:spacing w:line="240" w:lineRule="auto"/>
      </w:pPr>
      <w:hyperlink r:id="rId53">
        <w:r>
          <w:t>14. Lenselink EB, ten Dijke N, Bongers B, Papadatos G, van Vlijmen HWT, Kowalczyk W, et al. Beyond the hype: deep neural networks outperform established m</w:t>
        </w:r>
        <w:r>
          <w:t>ethods using a ChEMBL bioactivity benchmark set. Journal of Cheminformatics. 2017;9:45.</w:t>
        </w:r>
      </w:hyperlink>
    </w:p>
    <w:p w14:paraId="00000015" w14:textId="77777777" w:rsidR="00040136" w:rsidRDefault="00FD2CC0">
      <w:pPr>
        <w:widowControl w:val="0"/>
        <w:spacing w:line="240" w:lineRule="auto"/>
      </w:pPr>
      <w:hyperlink r:id="rId54">
        <w:r>
          <w:t>15. Bento AP, Gaulton A, Hersey A, Bellis LJ, Chambers J, Davies M, et al. The ChEMBL bioactivity database</w:t>
        </w:r>
        <w:r>
          <w:t>: an update. Nucleic Acids Research. 2014;42:D1083–90.</w:t>
        </w:r>
      </w:hyperlink>
    </w:p>
    <w:p w14:paraId="00000016" w14:textId="77777777" w:rsidR="00040136" w:rsidRDefault="00FD2CC0">
      <w:pPr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  <w:hyperlink r:id="rId55">
        <w:r>
          <w:t>16. Cardoso-Silva J, Papageorgiou LG, Tsoka S. Network-based piecewise linear regression for QSAR modelling. J Comput Aided Mol Des. 2019;33:831–44.</w:t>
        </w:r>
      </w:hyperlink>
    </w:p>
    <w:sectPr w:rsidR="00040136">
      <w:footerReference w:type="default" r:id="rId56"/>
      <w:pgSz w:w="12240" w:h="15840"/>
      <w:pgMar w:top="1440" w:right="1440" w:bottom="153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AA16D" w14:textId="77777777" w:rsidR="00000000" w:rsidRDefault="00FD2CC0">
      <w:pPr>
        <w:spacing w:line="240" w:lineRule="auto"/>
      </w:pPr>
      <w:r>
        <w:separator/>
      </w:r>
    </w:p>
  </w:endnote>
  <w:endnote w:type="continuationSeparator" w:id="0">
    <w:p w14:paraId="213A552E" w14:textId="77777777" w:rsidR="00000000" w:rsidRDefault="00FD2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7" w14:textId="77777777" w:rsidR="00040136" w:rsidRDefault="00FD2CC0">
    <w:pPr>
      <w:jc w:val="right"/>
    </w:pPr>
    <w:r>
      <w:fldChar w:fldCharType="begin"/>
    </w:r>
    <w:r>
      <w:instrText>PAGE</w:instrText>
    </w:r>
    <w:r w:rsidR="00E31326"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73773" w14:textId="77777777" w:rsidR="00000000" w:rsidRDefault="00FD2CC0">
      <w:pPr>
        <w:spacing w:line="240" w:lineRule="auto"/>
      </w:pPr>
      <w:r>
        <w:separator/>
      </w:r>
    </w:p>
  </w:footnote>
  <w:footnote w:type="continuationSeparator" w:id="0">
    <w:p w14:paraId="6E0149FC" w14:textId="77777777" w:rsidR="00000000" w:rsidRDefault="00FD2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36"/>
    <w:rsid w:val="00040136"/>
    <w:rsid w:val="00E31326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243605-AB75-48AE-9AC5-2A74EFD5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C55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3"/>
    <w:rPr>
      <w:b/>
      <w:bCs/>
      <w:sz w:val="20"/>
      <w:szCs w:val="20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C3A9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A95"/>
  </w:style>
  <w:style w:type="paragraph" w:styleId="Footer">
    <w:name w:val="footer"/>
    <w:basedOn w:val="Normal"/>
    <w:link w:val="FooterChar"/>
    <w:uiPriority w:val="99"/>
    <w:unhideWhenUsed/>
    <w:rsid w:val="008C3A9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A95"/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otero.org/google-docs/?Kc4ZAK" TargetMode="External"/><Relationship Id="rId18" Type="http://schemas.openxmlformats.org/officeDocument/2006/relationships/hyperlink" Target="https://www.zotero.org/google-docs/?ddorrD" TargetMode="External"/><Relationship Id="rId26" Type="http://schemas.openxmlformats.org/officeDocument/2006/relationships/hyperlink" Target="https://www.zotero.org/google-docs/?SmX7IL" TargetMode="External"/><Relationship Id="rId39" Type="http://schemas.openxmlformats.org/officeDocument/2006/relationships/hyperlink" Target="https://www.zotero.org/google-docs/?K1xDtB" TargetMode="External"/><Relationship Id="rId21" Type="http://schemas.openxmlformats.org/officeDocument/2006/relationships/hyperlink" Target="https://www.zotero.org/google-docs/?S5n2QW" TargetMode="External"/><Relationship Id="rId34" Type="http://schemas.openxmlformats.org/officeDocument/2006/relationships/hyperlink" Target="https://www.zotero.org/google-docs/?YLCB8A" TargetMode="External"/><Relationship Id="rId42" Type="http://schemas.openxmlformats.org/officeDocument/2006/relationships/hyperlink" Target="https://www.zotero.org/google-docs/?Y8pngI" TargetMode="External"/><Relationship Id="rId47" Type="http://schemas.openxmlformats.org/officeDocument/2006/relationships/hyperlink" Target="https://www.zotero.org/google-docs/?Y8pngI" TargetMode="External"/><Relationship Id="rId50" Type="http://schemas.openxmlformats.org/officeDocument/2006/relationships/hyperlink" Target="https://www.zotero.org/google-docs/?Y8pngI" TargetMode="External"/><Relationship Id="rId55" Type="http://schemas.openxmlformats.org/officeDocument/2006/relationships/hyperlink" Target="https://www.zotero.org/google-docs/?Y8pngI" TargetMode="External"/><Relationship Id="rId7" Type="http://schemas.openxmlformats.org/officeDocument/2006/relationships/hyperlink" Target="https://www.zotero.org/google-docs/?0Vjbqg" TargetMode="External"/><Relationship Id="rId12" Type="http://schemas.openxmlformats.org/officeDocument/2006/relationships/hyperlink" Target="https://www.zotero.org/google-docs/?1MFAJG" TargetMode="External"/><Relationship Id="rId17" Type="http://schemas.openxmlformats.org/officeDocument/2006/relationships/hyperlink" Target="https://www.zotero.org/google-docs/?a6lk4F" TargetMode="External"/><Relationship Id="rId25" Type="http://schemas.openxmlformats.org/officeDocument/2006/relationships/hyperlink" Target="https://www.zotero.org/google-docs/?Ex3zYG" TargetMode="External"/><Relationship Id="rId33" Type="http://schemas.openxmlformats.org/officeDocument/2006/relationships/hyperlink" Target="http://web.kuicr.kyoto-u.ac.jp/supp/yoshi/drugtarget/" TargetMode="External"/><Relationship Id="rId38" Type="http://schemas.openxmlformats.org/officeDocument/2006/relationships/hyperlink" Target="https://www.zotero.org/google-docs/?uxtvvC" TargetMode="External"/><Relationship Id="rId46" Type="http://schemas.openxmlformats.org/officeDocument/2006/relationships/hyperlink" Target="https://www.zotero.org/google-docs/?Y8png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otero.org/google-docs/?2RPVc6" TargetMode="External"/><Relationship Id="rId20" Type="http://schemas.openxmlformats.org/officeDocument/2006/relationships/hyperlink" Target="https://www.zotero.org/google-docs/?EB5Yqj" TargetMode="External"/><Relationship Id="rId29" Type="http://schemas.openxmlformats.org/officeDocument/2006/relationships/hyperlink" Target="https://www.zotero.org/google-docs/?rUr4Lq" TargetMode="External"/><Relationship Id="rId41" Type="http://schemas.openxmlformats.org/officeDocument/2006/relationships/hyperlink" Target="https://www.zotero.org/google-docs/?Y8pngI" TargetMode="External"/><Relationship Id="rId54" Type="http://schemas.openxmlformats.org/officeDocument/2006/relationships/hyperlink" Target="https://www.zotero.org/google-docs/?Y8png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zotero.org/google-docs/?yg1vlT" TargetMode="External"/><Relationship Id="rId24" Type="http://schemas.openxmlformats.org/officeDocument/2006/relationships/hyperlink" Target="https://www.zotero.org/google-docs/?akFXn0" TargetMode="External"/><Relationship Id="rId32" Type="http://schemas.openxmlformats.org/officeDocument/2006/relationships/hyperlink" Target="http://web.kuicr.kyoto-u.ac.jp/supp/yoshi/drugtarget/" TargetMode="External"/><Relationship Id="rId37" Type="http://schemas.openxmlformats.org/officeDocument/2006/relationships/hyperlink" Target="https://www.zotero.org/google-docs/?0iwFQa" TargetMode="External"/><Relationship Id="rId40" Type="http://schemas.openxmlformats.org/officeDocument/2006/relationships/hyperlink" Target="https://www.zotero.org/google-docs/?Y8pngI" TargetMode="External"/><Relationship Id="rId45" Type="http://schemas.openxmlformats.org/officeDocument/2006/relationships/hyperlink" Target="https://www.zotero.org/google-docs/?Y8pngI" TargetMode="External"/><Relationship Id="rId53" Type="http://schemas.openxmlformats.org/officeDocument/2006/relationships/hyperlink" Target="https://www.zotero.org/google-docs/?Y8pngI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zotero.org/google-docs/?UP3vJq" TargetMode="External"/><Relationship Id="rId23" Type="http://schemas.openxmlformats.org/officeDocument/2006/relationships/hyperlink" Target="https://www.zotero.org/google-docs/?UP3vJq" TargetMode="External"/><Relationship Id="rId28" Type="http://schemas.openxmlformats.org/officeDocument/2006/relationships/hyperlink" Target="https://www.zotero.org/google-docs/?xnFVCR" TargetMode="External"/><Relationship Id="rId36" Type="http://schemas.openxmlformats.org/officeDocument/2006/relationships/hyperlink" Target="https://www.zotero.org/google-docs/?K1xDtB" TargetMode="External"/><Relationship Id="rId49" Type="http://schemas.openxmlformats.org/officeDocument/2006/relationships/hyperlink" Target="https://www.zotero.org/google-docs/?Y8pngI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zotero.org/google-docs/?fJ0PwB" TargetMode="External"/><Relationship Id="rId19" Type="http://schemas.openxmlformats.org/officeDocument/2006/relationships/hyperlink" Target="https://www.zotero.org/google-docs/?rZPHVm" TargetMode="External"/><Relationship Id="rId31" Type="http://schemas.openxmlformats.org/officeDocument/2006/relationships/hyperlink" Target="https://www.zotero.org/google-docs/?fJ0PwB" TargetMode="External"/><Relationship Id="rId44" Type="http://schemas.openxmlformats.org/officeDocument/2006/relationships/hyperlink" Target="https://www.zotero.org/google-docs/?Y8pngI" TargetMode="External"/><Relationship Id="rId52" Type="http://schemas.openxmlformats.org/officeDocument/2006/relationships/hyperlink" Target="https://www.zotero.org/google-docs/?Y8pn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otero.org/google-docs/?3MbbfL" TargetMode="External"/><Relationship Id="rId14" Type="http://schemas.openxmlformats.org/officeDocument/2006/relationships/hyperlink" Target="https://www.zotero.org/google-docs/?EAonDE" TargetMode="External"/><Relationship Id="rId22" Type="http://schemas.openxmlformats.org/officeDocument/2006/relationships/hyperlink" Target="https://www.zotero.org/google-docs/?eTcohm" TargetMode="External"/><Relationship Id="rId27" Type="http://schemas.openxmlformats.org/officeDocument/2006/relationships/hyperlink" Target="https://www.zotero.org/google-docs/?UP3vJq" TargetMode="External"/><Relationship Id="rId30" Type="http://schemas.openxmlformats.org/officeDocument/2006/relationships/hyperlink" Target="https://www.zotero.org/google-docs/?Bagu6o" TargetMode="External"/><Relationship Id="rId35" Type="http://schemas.openxmlformats.org/officeDocument/2006/relationships/hyperlink" Target="https://www.zotero.org/google-docs/?0iwFQa" TargetMode="External"/><Relationship Id="rId43" Type="http://schemas.openxmlformats.org/officeDocument/2006/relationships/hyperlink" Target="https://www.zotero.org/google-docs/?Y8pngI" TargetMode="External"/><Relationship Id="rId48" Type="http://schemas.openxmlformats.org/officeDocument/2006/relationships/hyperlink" Target="https://www.zotero.org/google-docs/?Y8pngI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zotero.org/google-docs/?Bagu6o" TargetMode="External"/><Relationship Id="rId51" Type="http://schemas.openxmlformats.org/officeDocument/2006/relationships/hyperlink" Target="https://www.zotero.org/google-docs/?Y8png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L0+HREqGG1Tm2+hkDn9ArwDpIQ==">AMUW2mVm5h7Tk3zexvAvkQGDFPw1uTzKfM6A7UGj/LKv3szdKpFfnzyoBRFRF/ugor4IGqHmUpRld1gDQ9WFIoSbKny+5n7DbuJfUQl3ow88qN5PD1akvocT+385j8m5/pPX4CvDWAX7yvP+nPw1ToEjUp3qlOYkjw==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Abirami R.</cp:lastModifiedBy>
  <cp:revision>2</cp:revision>
  <dcterms:created xsi:type="dcterms:W3CDTF">2021-06-29T11:14:00Z</dcterms:created>
  <dcterms:modified xsi:type="dcterms:W3CDTF">2022-03-27T01:59:00Z</dcterms:modified>
</cp:coreProperties>
</file>