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9.png" ContentType="image/png"/>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17.wmf" ContentType="image/x-wmf"/>
  <Override PartName="/word/media/image6.png" ContentType="image/png"/>
  <Override PartName="/word/media/image18.wmf" ContentType="image/x-wmf"/>
  <Override PartName="/word/media/image7.png" ContentType="image/png"/>
  <Override PartName="/word/media/image19.wmf" ContentType="image/x-wmf"/>
  <Override PartName="/word/media/image8.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media/image15.png" ContentType="image/png"/>
  <Override PartName="/word/media/image16.png" ContentType="image/png"/>
  <Override PartName="/word/media/image20.wmf" ContentType="image/x-wmf"/>
  <Override PartName="/word/media/image21.wmf" ContentType="image/x-wmf"/>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Web"/>
        <w:spacing w:before="0" w:after="280"/>
        <w:jc w:val="center"/>
        <w:rPr>
          <w:rFonts w:ascii="Helvetica" w:hAnsi="Helvetica"/>
          <w:b/>
          <w:b/>
          <w:bCs/>
          <w:sz w:val="40"/>
          <w:szCs w:val="40"/>
          <w:lang w:val="en-US"/>
        </w:rPr>
      </w:pPr>
      <w:r>
        <w:rPr>
          <w:rFonts w:ascii="Helvetica" w:hAnsi="Helvetica"/>
          <w:b/>
          <w:bCs/>
          <w:sz w:val="40"/>
          <w:szCs w:val="40"/>
          <w:lang w:val="en-US"/>
        </w:rPr>
        <w:t>Supplementary Material</w:t>
      </w:r>
    </w:p>
    <w:p>
      <w:pPr>
        <w:pStyle w:val="NormalWeb"/>
        <w:spacing w:before="280" w:after="280"/>
        <w:jc w:val="center"/>
        <w:rPr>
          <w:rFonts w:ascii="Helvetica" w:hAnsi="Helvetica"/>
          <w:b/>
          <w:b/>
          <w:bCs/>
          <w:sz w:val="36"/>
          <w:szCs w:val="36"/>
        </w:rPr>
      </w:pPr>
      <w:r>
        <w:rPr>
          <w:rFonts w:ascii="Helvetica" w:hAnsi="Helvetica"/>
          <w:b/>
          <w:bCs/>
          <w:sz w:val="36"/>
          <w:szCs w:val="36"/>
        </w:rPr>
      </w:r>
    </w:p>
    <w:p>
      <w:pPr>
        <w:pStyle w:val="NormalWeb"/>
        <w:spacing w:before="280" w:after="280"/>
        <w:jc w:val="center"/>
        <w:rPr>
          <w:rFonts w:ascii="Helvetica" w:hAnsi="Helvetica"/>
          <w:b/>
          <w:b/>
          <w:bCs/>
          <w:sz w:val="36"/>
          <w:szCs w:val="36"/>
        </w:rPr>
      </w:pPr>
      <w:r>
        <w:rPr>
          <w:rFonts w:ascii="Helvetica" w:hAnsi="Helvetica"/>
          <w:b/>
          <w:bCs/>
          <w:sz w:val="36"/>
          <w:szCs w:val="36"/>
        </w:rPr>
      </w:r>
    </w:p>
    <w:p>
      <w:pPr>
        <w:pStyle w:val="Normal"/>
        <w:spacing w:lineRule="auto" w:line="360"/>
        <w:ind w:firstLine="426"/>
        <w:jc w:val="center"/>
        <w:rPr>
          <w:rFonts w:ascii="Helvetica" w:hAnsi="Helvetica" w:cs="Arial"/>
          <w:b/>
          <w:b/>
          <w:sz w:val="40"/>
          <w:szCs w:val="40"/>
        </w:rPr>
      </w:pPr>
      <w:r>
        <w:rPr>
          <w:rFonts w:cs="Arial" w:ascii="Helvetica" w:hAnsi="Helvetica"/>
          <w:b/>
          <w:sz w:val="40"/>
          <w:szCs w:val="40"/>
        </w:rPr>
        <w:t>Metacells untangle large and complex single-cell transcriptome networks</w:t>
      </w:r>
    </w:p>
    <w:p>
      <w:pPr>
        <w:pStyle w:val="Normal"/>
        <w:spacing w:lineRule="auto" w:line="360"/>
        <w:ind w:firstLine="426"/>
        <w:jc w:val="center"/>
        <w:rPr>
          <w:rFonts w:ascii="Helvetica" w:hAnsi="Helvetica" w:cs="Arial"/>
          <w:b/>
          <w:b/>
          <w:sz w:val="40"/>
          <w:szCs w:val="40"/>
        </w:rPr>
      </w:pPr>
      <w:r>
        <w:rPr>
          <w:rFonts w:cs="Arial" w:ascii="Helvetica" w:hAnsi="Helvetica"/>
          <w:b/>
          <w:sz w:val="40"/>
          <w:szCs w:val="40"/>
        </w:rPr>
      </w:r>
    </w:p>
    <w:p>
      <w:pPr>
        <w:pStyle w:val="Normal"/>
        <w:spacing w:lineRule="auto" w:line="360"/>
        <w:ind w:firstLine="426"/>
        <w:jc w:val="both"/>
        <w:rPr>
          <w:rFonts w:ascii="Helvetica" w:hAnsi="Helvetica" w:cs="Arial"/>
        </w:rPr>
      </w:pPr>
      <w:r>
        <w:rPr>
          <w:rFonts w:cs="Arial" w:ascii="Helvetica" w:hAnsi="Helvetica"/>
        </w:rPr>
      </w:r>
    </w:p>
    <w:p>
      <w:pPr>
        <w:pStyle w:val="Normal"/>
        <w:ind w:firstLine="426"/>
        <w:rPr>
          <w:rFonts w:ascii="Helvetica" w:hAnsi="Helvetica" w:cs="Arial"/>
          <w:b/>
          <w:b/>
        </w:rPr>
      </w:pPr>
      <w:r>
        <w:rPr>
          <w:rFonts w:cs="Arial" w:ascii="Helvetica" w:hAnsi="Helvetica"/>
          <w:b/>
        </w:rPr>
      </w:r>
    </w:p>
    <w:p>
      <w:pPr>
        <w:pStyle w:val="Normal"/>
        <w:spacing w:lineRule="auto" w:line="360"/>
        <w:jc w:val="both"/>
        <w:rPr>
          <w:rFonts w:ascii="Helvetica" w:hAnsi="Helvetica"/>
          <w:lang w:val="it-CH"/>
        </w:rPr>
      </w:pPr>
      <w:r>
        <w:rPr>
          <w:rFonts w:ascii="Helvetica" w:hAnsi="Helvetica"/>
        </w:rPr>
        <w:t>Mariia Bilous</w:t>
      </w:r>
      <w:r>
        <w:rPr>
          <w:rFonts w:ascii="Helvetica" w:hAnsi="Helvetica"/>
          <w:vertAlign w:val="superscript"/>
        </w:rPr>
        <w:t>1,2</w:t>
      </w:r>
      <w:r>
        <w:rPr>
          <w:rFonts w:ascii="Helvetica" w:hAnsi="Helvetica"/>
          <w:lang w:val="it-CH"/>
        </w:rPr>
        <w:t>, Loc Tran</w:t>
      </w:r>
      <w:r>
        <w:rPr>
          <w:rFonts w:ascii="Helvetica" w:hAnsi="Helvetica"/>
          <w:vertAlign w:val="superscript"/>
          <w:lang w:val="it-CH"/>
        </w:rPr>
        <w:t>1,2</w:t>
      </w:r>
      <w:r>
        <w:rPr>
          <w:rFonts w:ascii="Helvetica" w:hAnsi="Helvetica"/>
          <w:lang w:val="it-CH"/>
        </w:rPr>
        <w:t>, Chiara Cianciaruso</w:t>
      </w:r>
      <w:r>
        <w:rPr>
          <w:rFonts w:ascii="Helvetica" w:hAnsi="Helvetica"/>
          <w:vertAlign w:val="superscript"/>
          <w:lang w:val="it-CH"/>
        </w:rPr>
        <w:t>3</w:t>
      </w:r>
      <w:r>
        <w:rPr>
          <w:rFonts w:ascii="Helvetica" w:hAnsi="Helvetica"/>
          <w:lang w:val="it-CH"/>
        </w:rPr>
        <w:t>, Aurélie Gabriel</w:t>
      </w:r>
      <w:r>
        <w:rPr>
          <w:rFonts w:ascii="Helvetica" w:hAnsi="Helvetica"/>
          <w:vertAlign w:val="superscript"/>
        </w:rPr>
        <w:t>1,2</w:t>
      </w:r>
      <w:r>
        <w:rPr>
          <w:rFonts w:ascii="Helvetica" w:hAnsi="Helvetica"/>
          <w:lang w:val="it-CH"/>
        </w:rPr>
        <w:t>, Hugo Michel</w:t>
      </w:r>
      <w:r>
        <w:rPr>
          <w:rFonts w:ascii="Helvetica" w:hAnsi="Helvetica"/>
          <w:vertAlign w:val="superscript"/>
        </w:rPr>
        <w:t>1</w:t>
      </w:r>
      <w:r>
        <w:rPr>
          <w:rFonts w:ascii="Helvetica" w:hAnsi="Helvetica"/>
          <w:lang w:val="it-CH"/>
        </w:rPr>
        <w:t>, Santiago J. Carmona</w:t>
      </w:r>
      <w:r>
        <w:rPr>
          <w:rFonts w:ascii="Helvetica" w:hAnsi="Helvetica"/>
          <w:vertAlign w:val="superscript"/>
          <w:lang w:val="it-CH"/>
        </w:rPr>
        <w:t>1,2</w:t>
      </w:r>
      <w:r>
        <w:rPr>
          <w:rFonts w:ascii="Helvetica" w:hAnsi="Helvetica"/>
          <w:lang w:val="it-CH"/>
        </w:rPr>
        <w:t>, Mikael J. Pittet</w:t>
      </w:r>
      <w:r>
        <w:rPr>
          <w:rFonts w:ascii="Helvetica" w:hAnsi="Helvetica"/>
          <w:vertAlign w:val="superscript"/>
          <w:lang w:val="it-CH"/>
        </w:rPr>
        <w:t>3,4,5</w:t>
      </w:r>
      <w:r>
        <w:rPr>
          <w:rFonts w:ascii="Helvetica" w:hAnsi="Helvetica"/>
          <w:lang w:val="it-CH"/>
        </w:rPr>
        <w:t>, David Gfeller</w:t>
      </w:r>
      <w:r>
        <w:rPr>
          <w:rFonts w:ascii="Helvetica" w:hAnsi="Helvetica"/>
          <w:vertAlign w:val="superscript"/>
          <w:lang w:val="it-CH"/>
        </w:rPr>
        <w:t>1,2,*</w:t>
      </w:r>
    </w:p>
    <w:p>
      <w:pPr>
        <w:pStyle w:val="ListParagraph"/>
        <w:spacing w:lineRule="auto" w:line="360"/>
        <w:ind w:left="0" w:hanging="0"/>
        <w:jc w:val="both"/>
        <w:rPr>
          <w:rFonts w:ascii="Helvetica" w:hAnsi="Helvetica"/>
          <w:vertAlign w:val="superscript"/>
          <w:lang w:val="it-CH"/>
        </w:rPr>
      </w:pPr>
      <w:r>
        <w:rPr>
          <w:rFonts w:ascii="Helvetica" w:hAnsi="Helvetica"/>
          <w:vertAlign w:val="superscript"/>
          <w:lang w:val="it-CH"/>
        </w:rPr>
      </w:r>
    </w:p>
    <w:p>
      <w:pPr>
        <w:pStyle w:val="ListParagraph"/>
        <w:spacing w:lineRule="auto" w:line="360"/>
        <w:ind w:left="0" w:hanging="0"/>
        <w:jc w:val="both"/>
        <w:rPr>
          <w:rFonts w:ascii="Helvetica" w:hAnsi="Helvetica"/>
          <w:vertAlign w:val="superscript"/>
        </w:rPr>
      </w:pPr>
      <w:r>
        <w:rPr>
          <w:rFonts w:ascii="Helvetica" w:hAnsi="Helvetica"/>
          <w:vertAlign w:val="superscript"/>
        </w:rPr>
        <w:t>1</w:t>
      </w:r>
      <w:r>
        <w:rPr>
          <w:rFonts w:ascii="Helvetica" w:hAnsi="Helvetica"/>
        </w:rPr>
        <w:t>Department of Oncology, Ludwig Institute for Cancer Research, University of Lausanne, Lausanne, Switzerland,</w:t>
      </w:r>
      <w:r>
        <w:rPr>
          <w:rFonts w:ascii="Helvetica" w:hAnsi="Helvetica"/>
          <w:vertAlign w:val="superscript"/>
        </w:rPr>
        <w:t xml:space="preserve"> </w:t>
      </w:r>
    </w:p>
    <w:p>
      <w:pPr>
        <w:pStyle w:val="ListParagraph"/>
        <w:spacing w:lineRule="auto" w:line="360"/>
        <w:ind w:left="0" w:hanging="0"/>
        <w:jc w:val="both"/>
        <w:rPr>
          <w:rFonts w:ascii="Helvetica" w:hAnsi="Helvetica"/>
        </w:rPr>
      </w:pPr>
      <w:r>
        <w:rPr>
          <w:rFonts w:ascii="Helvetica" w:hAnsi="Helvetica"/>
          <w:vertAlign w:val="superscript"/>
        </w:rPr>
        <w:t>2</w:t>
      </w:r>
      <w:r>
        <w:rPr>
          <w:rFonts w:ascii="Helvetica" w:hAnsi="Helvetica"/>
        </w:rPr>
        <w:t>Swiss Institute of Bioinformatics (SIB), Lausanne, Switzerland</w:t>
      </w:r>
    </w:p>
    <w:p>
      <w:pPr>
        <w:pStyle w:val="Normal"/>
        <w:spacing w:lineRule="auto" w:line="360"/>
        <w:textAlignment w:val="baseline"/>
        <w:rPr>
          <w:rFonts w:ascii="Helvetica" w:hAnsi="Helvetica"/>
          <w:color w:val="1A1A1A"/>
        </w:rPr>
      </w:pPr>
      <w:r>
        <w:rPr>
          <w:rFonts w:ascii="Helvetica" w:hAnsi="Helvetica"/>
          <w:color w:val="1A1A1A"/>
          <w:vertAlign w:val="superscript"/>
        </w:rPr>
        <w:t>3</w:t>
      </w:r>
      <w:r>
        <w:rPr>
          <w:rFonts w:ascii="Helvetica" w:hAnsi="Helvetica"/>
          <w:color w:val="1A1A1A"/>
        </w:rPr>
        <w:t>Department of Pathology and Immunology, University of Geneva, Geneva, Switzerland</w:t>
      </w:r>
    </w:p>
    <w:p>
      <w:pPr>
        <w:pStyle w:val="Normal"/>
        <w:spacing w:lineRule="auto" w:line="360"/>
        <w:textAlignment w:val="baseline"/>
        <w:rPr>
          <w:rFonts w:ascii="Helvetica" w:hAnsi="Helvetica"/>
          <w:color w:val="1A1A1A"/>
        </w:rPr>
      </w:pPr>
      <w:r>
        <w:rPr>
          <w:rStyle w:val="Label"/>
          <w:rFonts w:ascii="Helvetica" w:hAnsi="Helvetica"/>
          <w:color w:val="1A1A1A"/>
          <w:vertAlign w:val="superscript"/>
        </w:rPr>
        <w:t>4</w:t>
      </w:r>
      <w:r>
        <w:rPr>
          <w:rFonts w:ascii="Helvetica" w:hAnsi="Helvetica"/>
          <w:color w:val="1A1A1A"/>
        </w:rPr>
        <w:t>Department of Oncology, Geneva University Hospitals, Geneva, Switzerland</w:t>
      </w:r>
    </w:p>
    <w:p>
      <w:pPr>
        <w:pStyle w:val="Normal"/>
        <w:spacing w:lineRule="auto" w:line="360"/>
        <w:textAlignment w:val="baseline"/>
        <w:rPr>
          <w:vertAlign w:val="superscript"/>
        </w:rPr>
      </w:pPr>
      <w:r>
        <w:rPr>
          <w:rFonts w:ascii="Helvetica" w:hAnsi="Helvetica"/>
          <w:color w:val="1A1A1A"/>
          <w:vertAlign w:val="superscript"/>
        </w:rPr>
        <w:t>5</w:t>
      </w:r>
      <w:r>
        <w:rPr>
          <w:rFonts w:ascii="Helvetica" w:hAnsi="Helvetica"/>
          <w:color w:val="1A1A1A"/>
        </w:rPr>
        <w:t>Center for Systems Biology, Massachusetts General Hospital and Harvard Medical School, Boston, MA</w:t>
      </w:r>
    </w:p>
    <w:p>
      <w:pPr>
        <w:pStyle w:val="Normal"/>
        <w:spacing w:lineRule="auto" w:line="360"/>
        <w:ind w:firstLine="426"/>
        <w:jc w:val="both"/>
        <w:rPr>
          <w:rFonts w:ascii="Helvetica" w:hAnsi="Helvetica" w:cs="Arial"/>
          <w:b/>
          <w:b/>
        </w:rPr>
      </w:pPr>
      <w:r>
        <w:rPr>
          <w:rFonts w:cs="Arial" w:ascii="Helvetica" w:hAnsi="Helvetica"/>
          <w:b/>
        </w:rPr>
      </w:r>
    </w:p>
    <w:p>
      <w:pPr>
        <w:pStyle w:val="Normal"/>
        <w:rPr/>
      </w:pPr>
      <w:r>
        <w:rPr>
          <w:rFonts w:cs="Arial" w:ascii="Helvetica" w:hAnsi="Helvetica"/>
          <w:b/>
        </w:rPr>
        <w:t xml:space="preserve">*Corresponding author: </w:t>
      </w:r>
      <w:hyperlink r:id="rId2">
        <w:r>
          <w:rPr>
            <w:rStyle w:val="Style14"/>
            <w:rFonts w:ascii="Helvetica" w:hAnsi="Helvetica"/>
          </w:rPr>
          <w:t>David.Gfeller@unil.ch</w:t>
        </w:r>
      </w:hyperlink>
    </w:p>
    <w:p>
      <w:pPr>
        <w:pStyle w:val="Normal"/>
        <w:ind w:firstLine="567"/>
        <w:rPr>
          <w:rStyle w:val="Style14"/>
          <w:rFonts w:ascii="Helvetica" w:hAnsi="Helvetica"/>
        </w:rPr>
      </w:pPr>
      <w:r>
        <w:rPr>
          <w:rFonts w:ascii="Helvetica" w:hAnsi="Helvetica"/>
        </w:rPr>
      </w:r>
    </w:p>
    <w:p>
      <w:pPr>
        <w:pStyle w:val="Normal"/>
        <w:ind w:firstLine="567"/>
        <w:rPr>
          <w:rStyle w:val="Style14"/>
          <w:rFonts w:ascii="Helvetica" w:hAnsi="Helvetica"/>
        </w:rPr>
      </w:pPr>
      <w:r>
        <w:rPr>
          <w:rFonts w:ascii="Helvetica" w:hAnsi="Helvetica"/>
        </w:rPr>
      </w:r>
      <w:r>
        <w:br w:type="page"/>
      </w:r>
    </w:p>
    <w:p>
      <w:pPr>
        <w:pStyle w:val="Normal"/>
        <w:spacing w:lineRule="auto" w:line="360"/>
        <w:jc w:val="center"/>
        <w:rPr>
          <w:rFonts w:ascii="Helvetica" w:hAnsi="Helvetica"/>
          <w:b/>
          <w:b/>
          <w:sz w:val="36"/>
          <w:szCs w:val="36"/>
        </w:rPr>
      </w:pPr>
      <w:r>
        <w:rPr>
          <w:rFonts w:ascii="Helvetica" w:hAnsi="Helvetica"/>
          <w:b/>
          <w:sz w:val="36"/>
          <w:szCs w:val="36"/>
        </w:rPr>
        <w:t>Supplementary Figures</w:t>
      </w:r>
    </w:p>
    <w:p>
      <w:pPr>
        <w:pStyle w:val="Normal"/>
        <w:rPr>
          <w:rFonts w:ascii="Helvetica" w:hAnsi="Helvetica"/>
          <w:b/>
          <w:b/>
        </w:rPr>
      </w:pPr>
      <w:r>
        <w:rPr/>
        <w:drawing>
          <wp:inline distT="0" distB="0" distL="0" distR="0">
            <wp:extent cx="5727700" cy="6544945"/>
            <wp:effectExtent l="0" t="0" r="0" b="0"/>
            <wp:docPr id="1" name="Picture 20"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0" descr="Calendar&#10;&#10;Description automatically generated"/>
                    <pic:cNvPicPr>
                      <a:picLocks noChangeAspect="1" noChangeArrowheads="1"/>
                    </pic:cNvPicPr>
                  </pic:nvPicPr>
                  <pic:blipFill>
                    <a:blip r:embed="rId3"/>
                    <a:srcRect l="0" t="3407" r="0" b="0"/>
                    <a:stretch>
                      <a:fillRect/>
                    </a:stretch>
                  </pic:blipFill>
                  <pic:spPr bwMode="auto">
                    <a:xfrm>
                      <a:off x="0" y="0"/>
                      <a:ext cx="5727700" cy="6544945"/>
                    </a:xfrm>
                    <a:prstGeom prst="rect">
                      <a:avLst/>
                    </a:prstGeom>
                  </pic:spPr>
                </pic:pic>
              </a:graphicData>
            </a:graphic>
          </wp:inline>
        </w:drawing>
      </w:r>
    </w:p>
    <w:p>
      <w:pPr>
        <w:pStyle w:val="Normal"/>
        <w:spacing w:lineRule="auto" w:line="360"/>
        <w:rPr>
          <w:rFonts w:ascii="Helvetica" w:hAnsi="Helvetica"/>
          <w:b/>
          <w:b/>
        </w:rPr>
      </w:pPr>
      <w:r>
        <w:rPr>
          <w:rFonts w:ascii="Helvetica" w:hAnsi="Helvetica"/>
          <w:b/>
        </w:rPr>
        <w:t>Supplementary Figure 1. Metacells are compatible with UMAP visualization.</w:t>
      </w:r>
    </w:p>
    <w:p>
      <w:pPr>
        <w:pStyle w:val="Normal"/>
        <w:spacing w:lineRule="auto" w:line="360"/>
        <w:jc w:val="both"/>
        <w:rPr>
          <w:rFonts w:ascii="Helvetica" w:hAnsi="Helvetica"/>
          <w:iCs/>
        </w:rPr>
      </w:pPr>
      <w:r>
        <w:rPr>
          <w:rFonts w:ascii="Helvetica" w:hAnsi="Helvetica"/>
        </w:rPr>
        <w:t>Examples of UMAPs of metacells at several graining levels. Colors indicate the initial cell type annotation and metacells are colored according to the majority of cells in each metacell. (</w:t>
      </w:r>
      <w:r>
        <w:rPr>
          <w:rFonts w:ascii="Helvetica" w:hAnsi="Helvetica"/>
          <w:b/>
          <w:bCs/>
        </w:rPr>
        <w:t>a</w:t>
      </w:r>
      <w:r>
        <w:rPr>
          <w:rFonts w:ascii="Helvetica" w:hAnsi="Helvetica"/>
        </w:rPr>
        <w:t>) Five cancer cell lines (</w:t>
      </w:r>
      <w:r>
        <w:rPr>
          <w:rFonts w:ascii="Helvetica" w:hAnsi="Helvetica"/>
          <w:i/>
        </w:rPr>
        <w:t>cell_lines</w:t>
      </w:r>
      <w:r>
        <w:rPr>
          <w:rFonts w:ascii="Helvetica" w:hAnsi="Helvetica"/>
        </w:rPr>
        <w:t>). (</w:t>
      </w:r>
      <w:r>
        <w:rPr>
          <w:rFonts w:ascii="Helvetica" w:hAnsi="Helvetica"/>
          <w:b/>
          <w:bCs/>
        </w:rPr>
        <w:t>b</w:t>
      </w:r>
      <w:r>
        <w:rPr>
          <w:rFonts w:ascii="Helvetica" w:hAnsi="Helvetica"/>
        </w:rPr>
        <w:t>) Tumor-infiltrating immune cells (</w:t>
      </w:r>
      <w:r>
        <w:rPr>
          <w:rFonts w:ascii="Helvetica" w:hAnsi="Helvetica"/>
          <w:i/>
          <w:iCs/>
        </w:rPr>
        <w:t>TIICs</w:t>
      </w:r>
      <w:r>
        <w:rPr>
          <w:rFonts w:ascii="Helvetica" w:hAnsi="Helvetica"/>
        </w:rPr>
        <w:t>). (</w:t>
      </w:r>
      <w:r>
        <w:rPr>
          <w:rFonts w:ascii="Helvetica" w:hAnsi="Helvetica"/>
          <w:b/>
          <w:bCs/>
        </w:rPr>
        <w:t>c</w:t>
      </w:r>
      <w:r>
        <w:rPr>
          <w:rFonts w:ascii="Helvetica" w:hAnsi="Helvetica"/>
        </w:rPr>
        <w:t>) T cells sorted from PBMC</w:t>
      </w:r>
      <w:r>
        <w:rPr>
          <w:rFonts w:ascii="Helvetica" w:hAnsi="Helvetica"/>
          <w:i/>
        </w:rPr>
        <w:t xml:space="preserve"> </w:t>
      </w:r>
      <w:r>
        <w:rPr>
          <w:rFonts w:ascii="Helvetica" w:hAnsi="Helvetica"/>
        </w:rPr>
        <w:t>(</w:t>
      </w:r>
      <w:r>
        <w:rPr>
          <w:rFonts w:ascii="Helvetica" w:hAnsi="Helvetica"/>
          <w:i/>
        </w:rPr>
        <w:t>Tcells</w:t>
      </w:r>
      <w:r>
        <w:rPr>
          <w:rFonts w:ascii="Helvetica" w:hAnsi="Helvetica"/>
        </w:rPr>
        <w:t>)</w:t>
      </w:r>
      <w:r>
        <w:rPr>
          <w:rFonts w:ascii="Helvetica" w:hAnsi="Helvetica"/>
          <w:iCs/>
        </w:rPr>
        <w:t>.</w:t>
      </w:r>
      <w:r>
        <w:rPr>
          <w:rFonts w:ascii="Helvetica" w:hAnsi="Helvetica"/>
        </w:rPr>
        <w:t xml:space="preserve"> (</w:t>
      </w:r>
      <w:r>
        <w:rPr>
          <w:rFonts w:ascii="Helvetica" w:hAnsi="Helvetica"/>
          <w:b/>
          <w:bCs/>
        </w:rPr>
        <w:t>d</w:t>
      </w:r>
      <w:r>
        <w:rPr>
          <w:rFonts w:ascii="Helvetica" w:hAnsi="Helvetica"/>
        </w:rPr>
        <w:t>) Tumor-infiltrating CD8 T lymphocytes</w:t>
      </w:r>
      <w:r>
        <w:rPr>
          <w:rFonts w:ascii="Helvetica" w:hAnsi="Helvetica"/>
          <w:i/>
        </w:rPr>
        <w:t xml:space="preserve"> </w:t>
      </w:r>
      <w:r>
        <w:rPr>
          <w:rFonts w:ascii="Helvetica" w:hAnsi="Helvetica"/>
        </w:rPr>
        <w:t>(</w:t>
      </w:r>
      <w:r>
        <w:rPr>
          <w:rFonts w:ascii="Helvetica" w:hAnsi="Helvetica"/>
          <w:i/>
          <w:iCs/>
        </w:rPr>
        <w:t>Cd8_</w:t>
      </w:r>
      <w:r>
        <w:rPr>
          <w:rFonts w:ascii="Helvetica" w:hAnsi="Helvetica"/>
          <w:i/>
        </w:rPr>
        <w:t>TILs</w:t>
      </w:r>
      <w:r>
        <w:rPr>
          <w:rFonts w:ascii="Helvetica" w:hAnsi="Helvetica"/>
        </w:rPr>
        <w:t>)</w:t>
      </w:r>
      <w:r>
        <w:rPr>
          <w:rFonts w:ascii="Helvetica" w:hAnsi="Helvetica"/>
          <w:iCs/>
        </w:rPr>
        <w:t>.</w:t>
      </w:r>
      <w:r>
        <w:br w:type="page"/>
      </w:r>
    </w:p>
    <w:p>
      <w:pPr>
        <w:pStyle w:val="Normal"/>
        <w:rPr>
          <w:rFonts w:ascii="Helvetica" w:hAnsi="Helvetica"/>
          <w:b/>
          <w:b/>
        </w:rPr>
      </w:pPr>
      <w:r>
        <w:rPr/>
        <w:drawing>
          <wp:inline distT="0" distB="3810" distL="0" distR="0">
            <wp:extent cx="5727700" cy="4860290"/>
            <wp:effectExtent l="0" t="0" r="0" b="0"/>
            <wp:docPr id="2" name="Picture 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A picture containing diagram&#10;&#10;Description automatically generated"/>
                    <pic:cNvPicPr>
                      <a:picLocks noChangeAspect="1" noChangeArrowheads="1"/>
                    </pic:cNvPicPr>
                  </pic:nvPicPr>
                  <pic:blipFill>
                    <a:blip r:embed="rId4"/>
                    <a:srcRect l="0" t="4739" r="0" b="0"/>
                    <a:stretch>
                      <a:fillRect/>
                    </a:stretch>
                  </pic:blipFill>
                  <pic:spPr bwMode="auto">
                    <a:xfrm>
                      <a:off x="0" y="0"/>
                      <a:ext cx="5727700" cy="4860290"/>
                    </a:xfrm>
                    <a:prstGeom prst="rect">
                      <a:avLst/>
                    </a:prstGeom>
                  </pic:spPr>
                </pic:pic>
              </a:graphicData>
            </a:graphic>
          </wp:inline>
        </w:drawing>
      </w:r>
    </w:p>
    <w:p>
      <w:pPr>
        <w:pStyle w:val="Normal"/>
        <w:rPr>
          <w:rFonts w:ascii="Helvetica" w:hAnsi="Helvetica"/>
          <w:b/>
          <w:b/>
        </w:rPr>
      </w:pPr>
      <w:r>
        <w:rPr>
          <w:rFonts w:ascii="Helvetica" w:hAnsi="Helvetica"/>
          <w:b/>
        </w:rPr>
      </w:r>
    </w:p>
    <w:p>
      <w:pPr>
        <w:pStyle w:val="Normal"/>
        <w:spacing w:lineRule="auto" w:line="360"/>
        <w:jc w:val="both"/>
        <w:rPr>
          <w:rFonts w:ascii="Helvetica" w:hAnsi="Helvetica"/>
          <w:b/>
          <w:b/>
        </w:rPr>
      </w:pPr>
      <w:r>
        <w:rPr>
          <w:rFonts w:ascii="Helvetica" w:hAnsi="Helvetica"/>
          <w:b/>
        </w:rPr>
        <w:t>Supplementary Figure 2. Metacell size and gene coverage distributions.</w:t>
      </w:r>
    </w:p>
    <w:p>
      <w:pPr>
        <w:pStyle w:val="Normal"/>
        <w:spacing w:lineRule="auto" w:line="360"/>
        <w:jc w:val="both"/>
        <w:rPr>
          <w:rFonts w:ascii="Helvetica" w:hAnsi="Helvetica"/>
          <w:bCs/>
        </w:rPr>
      </w:pPr>
      <w:r>
        <w:rPr>
          <w:rFonts w:ascii="Helvetica" w:hAnsi="Helvetica"/>
          <w:b/>
        </w:rPr>
        <w:t>a</w:t>
      </w:r>
      <w:r>
        <w:rPr>
          <w:rFonts w:ascii="Helvetica" w:hAnsi="Helvetica"/>
          <w:bCs/>
        </w:rPr>
        <w:t xml:space="preserve">, Distribution of metacell sizes, defined as the number of single cells in each metacell. </w:t>
      </w:r>
      <w:r>
        <w:rPr>
          <w:rFonts w:ascii="Helvetica" w:hAnsi="Helvetica"/>
          <w:b/>
        </w:rPr>
        <w:t>b</w:t>
      </w:r>
      <w:r>
        <w:rPr>
          <w:rFonts w:ascii="Helvetica" w:hAnsi="Helvetica"/>
          <w:bCs/>
        </w:rPr>
        <w:t>, Distribution of metacell coverage, computed as the proportion of non-zero genes within each metacell. The white dots denote the median, and the boxes denote the interquartile range.</w:t>
      </w:r>
    </w:p>
    <w:p>
      <w:pPr>
        <w:pStyle w:val="Normal"/>
        <w:rPr>
          <w:rFonts w:ascii="Helvetica" w:hAnsi="Helvetica"/>
          <w:b/>
          <w:b/>
        </w:rPr>
      </w:pPr>
      <w:r>
        <w:rPr>
          <w:rFonts w:ascii="Helvetica" w:hAnsi="Helvetica"/>
          <w:b/>
        </w:rPr>
      </w:r>
      <w:r>
        <w:br w:type="page"/>
      </w:r>
    </w:p>
    <w:p>
      <w:pPr>
        <w:pStyle w:val="Normal"/>
        <w:rPr>
          <w:rFonts w:ascii="Helvetica" w:hAnsi="Helvetica"/>
          <w:b/>
          <w:b/>
          <w:bCs/>
        </w:rPr>
      </w:pPr>
      <w:r>
        <w:rPr/>
        <w:drawing>
          <wp:inline distT="0" distB="3810" distL="0" distR="0">
            <wp:extent cx="5727700" cy="2714625"/>
            <wp:effectExtent l="0" t="0" r="0" b="0"/>
            <wp:docPr id="3" name="Picture 1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4" descr="Chart, line chart&#10;&#10;Description automatically generated"/>
                    <pic:cNvPicPr>
                      <a:picLocks noChangeAspect="1" noChangeArrowheads="1"/>
                    </pic:cNvPicPr>
                  </pic:nvPicPr>
                  <pic:blipFill>
                    <a:blip r:embed="rId5"/>
                    <a:srcRect l="0" t="8497" r="0" b="0"/>
                    <a:stretch>
                      <a:fillRect/>
                    </a:stretch>
                  </pic:blipFill>
                  <pic:spPr bwMode="auto">
                    <a:xfrm>
                      <a:off x="0" y="0"/>
                      <a:ext cx="5727700" cy="2714625"/>
                    </a:xfrm>
                    <a:prstGeom prst="rect">
                      <a:avLst/>
                    </a:prstGeom>
                  </pic:spPr>
                </pic:pic>
              </a:graphicData>
            </a:graphic>
          </wp:inline>
        </w:drawing>
      </w:r>
    </w:p>
    <w:p>
      <w:pPr>
        <w:pStyle w:val="Normal"/>
        <w:rPr>
          <w:rFonts w:ascii="Helvetica" w:hAnsi="Helvetica"/>
          <w:b/>
          <w:b/>
          <w:bCs/>
        </w:rPr>
      </w:pPr>
      <w:r>
        <w:rPr>
          <w:rFonts w:ascii="Helvetica" w:hAnsi="Helvetica"/>
          <w:b/>
          <w:bCs/>
        </w:rPr>
      </w:r>
    </w:p>
    <w:p>
      <w:pPr>
        <w:pStyle w:val="Normal"/>
        <w:spacing w:lineRule="auto" w:line="360"/>
        <w:jc w:val="both"/>
        <w:rPr>
          <w:rFonts w:ascii="Helvetica" w:hAnsi="Helvetica"/>
          <w:b/>
          <w:b/>
          <w:bCs/>
        </w:rPr>
      </w:pPr>
      <w:r>
        <w:rPr>
          <w:rFonts w:ascii="Helvetica" w:hAnsi="Helvetica"/>
          <w:b/>
          <w:bCs/>
        </w:rPr>
        <w:t>Supplementary Figure 3. Metacells recover rare cell types.</w:t>
      </w:r>
    </w:p>
    <w:p>
      <w:pPr>
        <w:pStyle w:val="Normal"/>
        <w:spacing w:lineRule="auto" w:line="360"/>
        <w:jc w:val="both"/>
        <w:rPr>
          <w:rFonts w:ascii="Helvetica" w:hAnsi="Helvetica"/>
        </w:rPr>
      </w:pPr>
      <w:r>
        <w:rPr>
          <w:rFonts w:ascii="Helvetica" w:hAnsi="Helvetica"/>
          <w:b/>
          <w:bCs/>
        </w:rPr>
        <w:t>a</w:t>
      </w:r>
      <w:r>
        <w:rPr>
          <w:rFonts w:ascii="Helvetica" w:hAnsi="Helvetica"/>
        </w:rPr>
        <w:t xml:space="preserve">, Proportion of correctly recovered single-cells from pDCs (left) and basophils (right), computed as a fraction of single cells of a particular cell types found in a metacell annotated to the same cell type. For the subsampling, it is computed as the proportion of subsampled single cells of the cell type of interest. </w:t>
      </w:r>
      <w:r>
        <w:rPr>
          <w:rFonts w:ascii="Helvetica" w:hAnsi="Helvetica"/>
          <w:b/>
          <w:bCs/>
        </w:rPr>
        <w:t>b</w:t>
      </w:r>
      <w:r>
        <w:rPr>
          <w:rFonts w:ascii="Helvetica" w:hAnsi="Helvetica"/>
        </w:rPr>
        <w:t>, Median purity of single cells within pDC metacells (left) or basophil metacells (right) (see Methods). Error bars denote the 1</w:t>
      </w:r>
      <w:r>
        <w:rPr>
          <w:rFonts w:ascii="Helvetica" w:hAnsi="Helvetica"/>
          <w:vertAlign w:val="superscript"/>
        </w:rPr>
        <w:t>st</w:t>
      </w:r>
      <w:r>
        <w:rPr>
          <w:rFonts w:ascii="Helvetica" w:hAnsi="Helvetica"/>
        </w:rPr>
        <w:t xml:space="preserve"> and 3</w:t>
      </w:r>
      <w:r>
        <w:rPr>
          <w:rFonts w:ascii="Helvetica" w:hAnsi="Helvetica"/>
          <w:vertAlign w:val="superscript"/>
        </w:rPr>
        <w:t>rd</w:t>
      </w:r>
      <w:r>
        <w:rPr>
          <w:rFonts w:ascii="Helvetica" w:hAnsi="Helvetica"/>
        </w:rPr>
        <w:t xml:space="preserve"> quartiles.</w:t>
      </w:r>
    </w:p>
    <w:p>
      <w:pPr>
        <w:pStyle w:val="Normal"/>
        <w:rPr>
          <w:rFonts w:ascii="Helvetica" w:hAnsi="Helvetica"/>
          <w:b/>
          <w:b/>
        </w:rPr>
      </w:pPr>
      <w:r>
        <w:rPr>
          <w:rFonts w:ascii="Helvetica" w:hAnsi="Helvetica"/>
          <w:b/>
        </w:rPr>
      </w:r>
      <w:r>
        <w:br w:type="page"/>
      </w:r>
    </w:p>
    <w:p>
      <w:pPr>
        <w:pStyle w:val="Normal"/>
        <w:spacing w:lineRule="auto" w:line="360"/>
        <w:jc w:val="both"/>
        <w:rPr>
          <w:rFonts w:ascii="Helvetica" w:hAnsi="Helvetica"/>
          <w:b/>
          <w:b/>
        </w:rPr>
      </w:pPr>
      <w:r>
        <w:rPr/>
        <w:drawing>
          <wp:inline distT="0" distB="0" distL="0" distR="0">
            <wp:extent cx="5727700" cy="4559935"/>
            <wp:effectExtent l="0" t="0" r="0" b="0"/>
            <wp:docPr id="4"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Diagram&#10;&#10;Description automatically generated"/>
                    <pic:cNvPicPr>
                      <a:picLocks noChangeAspect="1" noChangeArrowheads="1"/>
                    </pic:cNvPicPr>
                  </pic:nvPicPr>
                  <pic:blipFill>
                    <a:blip r:embed="rId6"/>
                    <a:srcRect l="0" t="5445" r="0" b="0"/>
                    <a:stretch>
                      <a:fillRect/>
                    </a:stretch>
                  </pic:blipFill>
                  <pic:spPr bwMode="auto">
                    <a:xfrm>
                      <a:off x="0" y="0"/>
                      <a:ext cx="5727700" cy="4559935"/>
                    </a:xfrm>
                    <a:prstGeom prst="rect">
                      <a:avLst/>
                    </a:prstGeom>
                  </pic:spPr>
                </pic:pic>
              </a:graphicData>
            </a:graphic>
          </wp:inline>
        </w:drawing>
      </w:r>
    </w:p>
    <w:p>
      <w:pPr>
        <w:pStyle w:val="Normal"/>
        <w:spacing w:lineRule="auto" w:line="360"/>
        <w:jc w:val="both"/>
        <w:rPr>
          <w:rFonts w:ascii="Helvetica" w:hAnsi="Helvetica"/>
          <w:b/>
          <w:b/>
        </w:rPr>
      </w:pPr>
      <w:r>
        <w:rPr>
          <w:rFonts w:ascii="Helvetica" w:hAnsi="Helvetica"/>
          <w:b/>
        </w:rPr>
        <w:t>Supplementary Figure 4. Metacells preserve clustering.</w:t>
      </w:r>
    </w:p>
    <w:p>
      <w:pPr>
        <w:pStyle w:val="Normal"/>
        <w:spacing w:lineRule="auto" w:line="360"/>
        <w:jc w:val="both"/>
        <w:rPr>
          <w:rFonts w:ascii="Helvetica" w:hAnsi="Helvetica"/>
        </w:rPr>
      </w:pPr>
      <w:r>
        <w:rPr>
          <w:rFonts w:ascii="Helvetica" w:hAnsi="Helvetica"/>
          <w:b/>
          <w:bCs/>
        </w:rPr>
        <w:t>a</w:t>
      </w:r>
      <w:r>
        <w:rPr>
          <w:rFonts w:ascii="Helvetica" w:hAnsi="Helvetica"/>
        </w:rPr>
        <w:t>, Consistency of the metacell clustering obtained using k-means (green) and Seurat (blue) clustering algorithms.</w:t>
      </w:r>
      <w:r>
        <w:rPr>
          <w:rFonts w:ascii="Helvetica" w:hAnsi="Helvetica"/>
          <w:b/>
        </w:rPr>
        <w:t xml:space="preserve"> b</w:t>
      </w:r>
      <w:r>
        <w:rPr>
          <w:rFonts w:ascii="Helvetica" w:hAnsi="Helvetica"/>
          <w:bCs/>
        </w:rPr>
        <w:t xml:space="preserve">, Optimal number of clusters based on the maximum silhouette coefficient. </w:t>
      </w:r>
      <w:r>
        <w:rPr>
          <w:rFonts w:ascii="Helvetica" w:hAnsi="Helvetica"/>
          <w:b/>
          <w:bCs/>
        </w:rPr>
        <w:t>c</w:t>
      </w:r>
      <w:r>
        <w:rPr>
          <w:rFonts w:ascii="Helvetica" w:hAnsi="Helvetica"/>
        </w:rPr>
        <w:t xml:space="preserve">, ARI values representing the consistency between clusters identified in metacells using the predicted optimal number of clusters (based on the maximum silhouette coefficient) and those identified in single cells. </w:t>
      </w:r>
    </w:p>
    <w:p>
      <w:pPr>
        <w:pStyle w:val="Normal"/>
        <w:spacing w:lineRule="auto" w:line="360"/>
        <w:jc w:val="both"/>
        <w:rPr>
          <w:rFonts w:ascii="Helvetica" w:hAnsi="Helvetica"/>
        </w:rPr>
      </w:pPr>
      <w:r>
        <w:rPr>
          <w:rFonts w:ascii="Helvetica" w:hAnsi="Helvetica"/>
        </w:rPr>
      </w:r>
    </w:p>
    <w:p>
      <w:pPr>
        <w:pStyle w:val="Normal"/>
        <w:spacing w:lineRule="auto" w:line="360"/>
        <w:jc w:val="both"/>
        <w:rPr>
          <w:rFonts w:ascii="Helvetica" w:hAnsi="Helvetica"/>
        </w:rPr>
      </w:pPr>
      <w:r>
        <w:rPr>
          <w:rFonts w:ascii="Helvetica" w:hAnsi="Helvetica"/>
        </w:rPr>
      </w:r>
      <w:r>
        <w:br w:type="page"/>
      </w:r>
    </w:p>
    <w:p>
      <w:pPr>
        <w:pStyle w:val="Normal"/>
        <w:rPr>
          <w:rFonts w:ascii="Helvetica" w:hAnsi="Helvetica"/>
          <w:b/>
          <w:b/>
        </w:rPr>
      </w:pPr>
      <w:r>
        <w:rPr/>
        <w:drawing>
          <wp:inline distT="0" distB="1905" distL="0" distR="0">
            <wp:extent cx="5727700" cy="4951095"/>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a:blip r:embed="rId7"/>
                    <a:srcRect l="0" t="5801" r="0" b="0"/>
                    <a:stretch>
                      <a:fillRect/>
                    </a:stretch>
                  </pic:blipFill>
                  <pic:spPr bwMode="auto">
                    <a:xfrm>
                      <a:off x="0" y="0"/>
                      <a:ext cx="5727700" cy="4951095"/>
                    </a:xfrm>
                    <a:prstGeom prst="rect">
                      <a:avLst/>
                    </a:prstGeom>
                  </pic:spPr>
                </pic:pic>
              </a:graphicData>
            </a:graphic>
          </wp:inline>
        </w:drawing>
      </w:r>
    </w:p>
    <w:p>
      <w:pPr>
        <w:pStyle w:val="Normal"/>
        <w:rPr>
          <w:rFonts w:ascii="Helvetica" w:hAnsi="Helvetica"/>
          <w:b/>
          <w:b/>
        </w:rPr>
      </w:pPr>
      <w:r>
        <w:rPr>
          <w:rFonts w:ascii="Helvetica" w:hAnsi="Helvetica"/>
          <w:b/>
        </w:rPr>
      </w:r>
    </w:p>
    <w:p>
      <w:pPr>
        <w:pStyle w:val="Normal"/>
        <w:spacing w:lineRule="auto" w:line="360"/>
        <w:jc w:val="both"/>
        <w:rPr>
          <w:rFonts w:ascii="Helvetica" w:hAnsi="Helvetica"/>
          <w:b/>
          <w:b/>
          <w:bCs/>
        </w:rPr>
      </w:pPr>
      <w:r>
        <w:rPr>
          <w:rFonts w:ascii="Helvetica" w:hAnsi="Helvetica"/>
          <w:b/>
          <w:bCs/>
        </w:rPr>
        <w:t xml:space="preserve">Supplementary Figure 5. </w:t>
      </w:r>
      <w:r>
        <w:rPr>
          <w:rFonts w:ascii="Helvetica" w:hAnsi="Helvetica"/>
          <w:b/>
        </w:rPr>
        <w:t>Metacells are compatible with unweighted clustering.</w:t>
      </w:r>
    </w:p>
    <w:p>
      <w:pPr>
        <w:pStyle w:val="Normal"/>
        <w:spacing w:lineRule="auto" w:line="360"/>
        <w:jc w:val="both"/>
        <w:rPr>
          <w:rFonts w:ascii="Helvetica" w:hAnsi="Helvetica"/>
          <w:b/>
          <w:b/>
        </w:rPr>
      </w:pPr>
      <w:r>
        <w:rPr>
          <w:rFonts w:ascii="Helvetica" w:hAnsi="Helvetica"/>
          <w:b/>
          <w:bCs/>
        </w:rPr>
        <w:t>a</w:t>
      </w:r>
      <w:r>
        <w:rPr>
          <w:rFonts w:ascii="Helvetica" w:hAnsi="Helvetica"/>
        </w:rPr>
        <w:t xml:space="preserve">, Consistency of the metacell clustering obtained using weighted (solid dark red line) and unweighted (dashed orchid line) hierarchical clustering algorithms. </w:t>
      </w:r>
      <w:r>
        <w:rPr>
          <w:rFonts w:ascii="Helvetica" w:hAnsi="Helvetica"/>
          <w:b/>
          <w:bCs/>
        </w:rPr>
        <w:t>b</w:t>
      </w:r>
      <w:r>
        <w:rPr>
          <w:rFonts w:ascii="Helvetica" w:hAnsi="Helvetica"/>
        </w:rPr>
        <w:t>, Optimal number of clusters based on the maximum silhouette coefficient for the weighted (dark red) and unweighted (orchid) hierarchical clustering.</w:t>
      </w:r>
    </w:p>
    <w:p>
      <w:pPr>
        <w:pStyle w:val="Normal"/>
        <w:rPr>
          <w:rFonts w:ascii="Helvetica" w:hAnsi="Helvetica"/>
          <w:b/>
          <w:b/>
        </w:rPr>
      </w:pPr>
      <w:r>
        <w:rPr/>
        <w:drawing>
          <wp:inline distT="0" distB="0" distL="0" distR="0">
            <wp:extent cx="5727700" cy="7181215"/>
            <wp:effectExtent l="0" t="0" r="0" b="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a:picLocks noChangeAspect="1" noChangeArrowheads="1"/>
                    </pic:cNvPicPr>
                  </pic:nvPicPr>
                  <pic:blipFill>
                    <a:blip r:embed="rId8"/>
                    <a:srcRect l="0" t="3117" r="0" b="0"/>
                    <a:stretch>
                      <a:fillRect/>
                    </a:stretch>
                  </pic:blipFill>
                  <pic:spPr bwMode="auto">
                    <a:xfrm>
                      <a:off x="0" y="0"/>
                      <a:ext cx="5727700" cy="7181215"/>
                    </a:xfrm>
                    <a:prstGeom prst="rect">
                      <a:avLst/>
                    </a:prstGeom>
                  </pic:spPr>
                </pic:pic>
              </a:graphicData>
            </a:graphic>
          </wp:inline>
        </w:drawing>
      </w:r>
    </w:p>
    <w:p>
      <w:pPr>
        <w:pStyle w:val="Normal"/>
        <w:rPr>
          <w:rFonts w:ascii="Helvetica" w:hAnsi="Helvetica"/>
          <w:b/>
          <w:b/>
        </w:rPr>
      </w:pPr>
      <w:r>
        <w:rPr>
          <w:rFonts w:ascii="Helvetica" w:hAnsi="Helvetica"/>
          <w:b/>
        </w:rPr>
      </w:r>
      <w:r>
        <w:br w:type="page"/>
      </w:r>
    </w:p>
    <w:p>
      <w:pPr>
        <w:pStyle w:val="Normal"/>
        <w:spacing w:lineRule="auto" w:line="360"/>
        <w:jc w:val="both"/>
        <w:rPr>
          <w:rFonts w:ascii="Helvetica" w:hAnsi="Helvetica"/>
          <w:b/>
          <w:b/>
          <w:bCs/>
        </w:rPr>
      </w:pPr>
      <w:r>
        <w:rPr>
          <w:rFonts w:ascii="Helvetica" w:hAnsi="Helvetica"/>
          <w:b/>
        </w:rPr>
        <w:t>Supplementary Figure 6.</w:t>
      </w:r>
      <w:r>
        <w:rPr>
          <w:rFonts w:ascii="Helvetica" w:hAnsi="Helvetica"/>
          <w:b/>
          <w:bCs/>
        </w:rPr>
        <w:t xml:space="preserve"> Clustering of metacells is robust to different ways of building metacells.</w:t>
      </w:r>
    </w:p>
    <w:p>
      <w:pPr>
        <w:pStyle w:val="Normal"/>
        <w:spacing w:lineRule="auto" w:line="360"/>
        <w:jc w:val="both"/>
        <w:rPr>
          <w:rFonts w:ascii="Helvetica" w:hAnsi="Helvetica"/>
        </w:rPr>
      </w:pPr>
      <w:r>
        <w:rPr>
          <w:rFonts w:ascii="Helvetica" w:hAnsi="Helvetica"/>
        </w:rPr>
        <w:t>Consistency of clustering (</w:t>
      </w:r>
      <w:r>
        <w:rPr>
          <w:rFonts w:ascii="Helvetica" w:hAnsi="Helvetica"/>
          <w:b/>
          <w:bCs/>
        </w:rPr>
        <w:t>a</w:t>
      </w:r>
      <w:r>
        <w:rPr>
          <w:rFonts w:ascii="Helvetica" w:hAnsi="Helvetica"/>
        </w:rPr>
        <w:t>) and optimal number of clusters (</w:t>
      </w:r>
      <w:r>
        <w:rPr>
          <w:rFonts w:ascii="Helvetica" w:hAnsi="Helvetica"/>
          <w:b/>
          <w:bCs/>
        </w:rPr>
        <w:t>b</w:t>
      </w:r>
      <w:r>
        <w:rPr>
          <w:rFonts w:ascii="Helvetica" w:hAnsi="Helvetica"/>
        </w:rPr>
        <w:t xml:space="preserve">) of metacells computed with different values for the parameter </w:t>
      </w:r>
      <w:r>
        <w:rPr/>
      </w:r>
      <m:oMath xmlns:m="http://schemas.openxmlformats.org/officeDocument/2006/math">
        <m:r>
          <w:rPr>
            <w:rFonts w:ascii="Cambria Math" w:hAnsi="Cambria Math"/>
          </w:rPr>
          <m:t xml:space="preserve">k</m:t>
        </m:r>
      </m:oMath>
      <w:r>
        <w:rPr>
          <w:rFonts w:ascii="Helvetica" w:hAnsi="Helvetica"/>
        </w:rPr>
        <w:t xml:space="preserve"> in kNN single-cell network (left), or different ways of the construction of single-cell network including Seurat kNN and Seurat sNN (shared nearest neighbors) (middle), or different ways of single-cell network clustering into metacells including Louvain algorithm for four datasets (right). The default parameters of the SuperCell algorithm are shown in dark red (i.e., kNN with </w:t>
      </w:r>
      <w:r>
        <w:rPr/>
      </w:r>
      <m:oMath xmlns:m="http://schemas.openxmlformats.org/officeDocument/2006/math">
        <m:r>
          <w:rPr>
            <w:rFonts w:ascii="Cambria Math" w:hAnsi="Cambria Math"/>
          </w:rPr>
          <m:t xml:space="preserve">k</m:t>
        </m:r>
        <m:r>
          <w:rPr>
            <w:rFonts w:ascii="Cambria Math" w:hAnsi="Cambria Math"/>
          </w:rPr>
          <m:t xml:space="preserve">=</m:t>
        </m:r>
        <m:r>
          <w:rPr>
            <w:rFonts w:ascii="Cambria Math" w:hAnsi="Cambria Math"/>
          </w:rPr>
          <m:t xml:space="preserve">5</m:t>
        </m:r>
      </m:oMath>
      <w:r>
        <w:rPr>
          <w:rFonts w:ascii="Helvetica" w:hAnsi="Helvetica"/>
        </w:rPr>
        <w:t xml:space="preserve"> and walktrap clustering). The blue line shows the range of ARI values when other clustering algorithms are applied to the single-cell data (median shown with “X”).</w:t>
      </w:r>
    </w:p>
    <w:p>
      <w:pPr>
        <w:pStyle w:val="Normal"/>
        <w:rPr>
          <w:rFonts w:ascii="Helvetica" w:hAnsi="Helvetica"/>
        </w:rPr>
      </w:pPr>
      <w:r>
        <w:rPr>
          <w:rFonts w:ascii="Helvetica" w:hAnsi="Helvetica"/>
        </w:rPr>
      </w:r>
      <w:r>
        <w:br w:type="page"/>
      </w:r>
    </w:p>
    <w:p>
      <w:pPr>
        <w:pStyle w:val="Normal"/>
        <w:rPr>
          <w:rFonts w:ascii="Helvetica" w:hAnsi="Helvetica"/>
          <w:b/>
          <w:b/>
        </w:rPr>
      </w:pPr>
      <w:r>
        <w:rPr/>
        <w:drawing>
          <wp:inline distT="0" distB="4445" distL="0" distR="0">
            <wp:extent cx="5727700" cy="4364355"/>
            <wp:effectExtent l="0" t="0" r="0" b="0"/>
            <wp:docPr id="7"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3" descr="Diagram&#10;&#10;Description automatically generated"/>
                    <pic:cNvPicPr>
                      <a:picLocks noChangeAspect="1" noChangeArrowheads="1"/>
                    </pic:cNvPicPr>
                  </pic:nvPicPr>
                  <pic:blipFill>
                    <a:blip r:embed="rId9"/>
                    <a:srcRect l="0" t="6314" r="0" b="0"/>
                    <a:stretch>
                      <a:fillRect/>
                    </a:stretch>
                  </pic:blipFill>
                  <pic:spPr bwMode="auto">
                    <a:xfrm>
                      <a:off x="0" y="0"/>
                      <a:ext cx="5727700" cy="4364355"/>
                    </a:xfrm>
                    <a:prstGeom prst="rect">
                      <a:avLst/>
                    </a:prstGeom>
                  </pic:spPr>
                </pic:pic>
              </a:graphicData>
            </a:graphic>
          </wp:inline>
        </w:drawing>
      </w:r>
    </w:p>
    <w:p>
      <w:pPr>
        <w:pStyle w:val="Normal"/>
        <w:rPr>
          <w:rFonts w:ascii="Helvetica" w:hAnsi="Helvetica"/>
          <w:b/>
          <w:b/>
        </w:rPr>
      </w:pPr>
      <w:r>
        <w:rPr>
          <w:rFonts w:ascii="Helvetica" w:hAnsi="Helvetica"/>
          <w:b/>
        </w:rPr>
      </w:r>
    </w:p>
    <w:p>
      <w:pPr>
        <w:pStyle w:val="Normal"/>
        <w:spacing w:lineRule="auto" w:line="360"/>
        <w:jc w:val="both"/>
        <w:rPr>
          <w:rFonts w:ascii="Helvetica" w:hAnsi="Helvetica"/>
          <w:b/>
          <w:b/>
          <w:bCs/>
        </w:rPr>
      </w:pPr>
      <w:r>
        <w:rPr>
          <w:rFonts w:ascii="Helvetica" w:hAnsi="Helvetica"/>
          <w:b/>
          <w:bCs/>
        </w:rPr>
        <w:t>Supplementary Figure 7. Metacells are compatible with unweighted differential expression analysis.</w:t>
      </w:r>
    </w:p>
    <w:p>
      <w:pPr>
        <w:pStyle w:val="Normal"/>
        <w:spacing w:lineRule="auto" w:line="360"/>
        <w:jc w:val="both"/>
        <w:rPr>
          <w:rFonts w:ascii="Helvetica" w:hAnsi="Helvetica"/>
        </w:rPr>
      </w:pPr>
      <w:r>
        <w:rPr>
          <w:rFonts w:ascii="Helvetica" w:hAnsi="Helvetica"/>
        </w:rPr>
        <w:t>Recovery of the cluster-specific differentially expressed genes using unweighted differential expression algorithm (i.e., unweighted t-test) for four datasets.</w:t>
      </w:r>
    </w:p>
    <w:p>
      <w:pPr>
        <w:pStyle w:val="Normal"/>
        <w:rPr>
          <w:rFonts w:ascii="Helvetica" w:hAnsi="Helvetica"/>
          <w:b/>
          <w:b/>
        </w:rPr>
      </w:pPr>
      <w:r>
        <w:rPr>
          <w:rFonts w:ascii="Helvetica" w:hAnsi="Helvetica"/>
          <w:b/>
        </w:rPr>
      </w:r>
    </w:p>
    <w:p>
      <w:pPr>
        <w:pStyle w:val="Normal"/>
        <w:rPr>
          <w:rFonts w:ascii="Helvetica" w:hAnsi="Helvetica"/>
          <w:b/>
          <w:b/>
        </w:rPr>
      </w:pPr>
      <w:r>
        <w:rPr/>
        <w:drawing>
          <wp:inline distT="0" distB="6350" distL="0" distR="0">
            <wp:extent cx="5727700" cy="4185285"/>
            <wp:effectExtent l="0" t="0" r="0" b="0"/>
            <wp:docPr id="8" name="Picture 2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4" descr="Diagram, engineering drawing&#10;&#10;Description automatically generated"/>
                    <pic:cNvPicPr>
                      <a:picLocks noChangeAspect="1" noChangeArrowheads="1"/>
                    </pic:cNvPicPr>
                  </pic:nvPicPr>
                  <pic:blipFill>
                    <a:blip r:embed="rId10"/>
                    <a:srcRect l="0" t="5460" r="0" b="0"/>
                    <a:stretch>
                      <a:fillRect/>
                    </a:stretch>
                  </pic:blipFill>
                  <pic:spPr bwMode="auto">
                    <a:xfrm>
                      <a:off x="0" y="0"/>
                      <a:ext cx="5727700" cy="4185285"/>
                    </a:xfrm>
                    <a:prstGeom prst="rect">
                      <a:avLst/>
                    </a:prstGeom>
                  </pic:spPr>
                </pic:pic>
              </a:graphicData>
            </a:graphic>
          </wp:inline>
        </w:drawing>
      </w:r>
    </w:p>
    <w:p>
      <w:pPr>
        <w:pStyle w:val="Normal"/>
        <w:rPr>
          <w:rFonts w:ascii="Helvetica" w:hAnsi="Helvetica"/>
          <w:b/>
          <w:b/>
        </w:rPr>
      </w:pPr>
      <w:r>
        <w:rPr>
          <w:rFonts w:ascii="Helvetica" w:hAnsi="Helvetica"/>
          <w:b/>
        </w:rPr>
      </w:r>
    </w:p>
    <w:p>
      <w:pPr>
        <w:pStyle w:val="Normal"/>
        <w:spacing w:lineRule="auto" w:line="360"/>
        <w:jc w:val="both"/>
        <w:rPr>
          <w:rFonts w:ascii="Helvetica" w:hAnsi="Helvetica"/>
          <w:b/>
          <w:b/>
          <w:bCs/>
        </w:rPr>
      </w:pPr>
      <w:r>
        <w:rPr>
          <w:rFonts w:ascii="Helvetica" w:hAnsi="Helvetica"/>
          <w:b/>
          <w:bCs/>
        </w:rPr>
        <w:t>Supplementary Figure 8. Differential expression of metacells is robust to different ways of building metacells.</w:t>
      </w:r>
    </w:p>
    <w:p>
      <w:pPr>
        <w:pStyle w:val="Normal"/>
        <w:spacing w:lineRule="auto" w:line="360"/>
        <w:jc w:val="both"/>
        <w:rPr>
          <w:rFonts w:ascii="Helvetica" w:hAnsi="Helvetica"/>
          <w:b/>
          <w:b/>
          <w:bCs/>
        </w:rPr>
      </w:pPr>
      <w:r>
        <w:rPr>
          <w:rFonts w:ascii="Helvetica" w:hAnsi="Helvetica"/>
        </w:rPr>
        <w:t xml:space="preserve">Recovery of cluster-specific differentially expressed genes of metacells computed with different values for the parameter </w:t>
      </w:r>
      <w:r>
        <w:rPr/>
      </w:r>
      <m:oMath xmlns:m="http://schemas.openxmlformats.org/officeDocument/2006/math">
        <m:r>
          <w:rPr>
            <w:rFonts w:ascii="Cambria Math" w:hAnsi="Cambria Math"/>
          </w:rPr>
          <m:t xml:space="preserve">k</m:t>
        </m:r>
      </m:oMath>
      <w:r>
        <w:rPr>
          <w:rFonts w:ascii="Helvetica" w:hAnsi="Helvetica"/>
        </w:rPr>
        <w:t xml:space="preserve"> in kNN single-cell network (left), or different ways of the construction of single-cell network, including Seurat kNN and Seurat sNN (shared nearest neighbors) (middle), or different ways of single-cell network clustering into metacells including Louvain algorithm for four datasets (right). The default parameters of the SuperCell algorithm are shown in dark red (i.e., kNN with </w:t>
      </w:r>
      <w:r>
        <w:rPr/>
      </w:r>
      <m:oMath xmlns:m="http://schemas.openxmlformats.org/officeDocument/2006/math">
        <m:r>
          <w:rPr>
            <w:rFonts w:ascii="Cambria Math" w:hAnsi="Cambria Math"/>
          </w:rPr>
          <m:t xml:space="preserve">k</m:t>
        </m:r>
        <m:r>
          <w:rPr>
            <w:rFonts w:ascii="Cambria Math" w:hAnsi="Cambria Math"/>
          </w:rPr>
          <m:t xml:space="preserve">=</m:t>
        </m:r>
        <m:r>
          <w:rPr>
            <w:rFonts w:ascii="Cambria Math" w:hAnsi="Cambria Math"/>
          </w:rPr>
          <m:t xml:space="preserve">5</m:t>
        </m:r>
      </m:oMath>
      <w:r>
        <w:rPr>
          <w:rFonts w:ascii="Helvetica" w:hAnsi="Helvetica"/>
        </w:rPr>
        <w:t xml:space="preserve"> and walktrap clustering).</w:t>
      </w:r>
    </w:p>
    <w:p>
      <w:pPr>
        <w:pStyle w:val="Normal"/>
        <w:rPr>
          <w:rFonts w:ascii="Helvetica" w:hAnsi="Helvetica"/>
          <w:b/>
          <w:b/>
        </w:rPr>
      </w:pPr>
      <w:r>
        <w:rPr/>
        <w:drawing>
          <wp:inline distT="0" distB="4445" distL="0" distR="0">
            <wp:extent cx="5727700" cy="2954655"/>
            <wp:effectExtent l="0" t="0" r="0" b="0"/>
            <wp:docPr id="9"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Graphical user interface&#10;&#10;Description automatically generated"/>
                    <pic:cNvPicPr>
                      <a:picLocks noChangeAspect="1" noChangeArrowheads="1"/>
                    </pic:cNvPicPr>
                  </pic:nvPicPr>
                  <pic:blipFill>
                    <a:blip r:embed="rId11"/>
                    <a:srcRect l="0" t="8757" r="0" b="0"/>
                    <a:stretch>
                      <a:fillRect/>
                    </a:stretch>
                  </pic:blipFill>
                  <pic:spPr bwMode="auto">
                    <a:xfrm>
                      <a:off x="0" y="0"/>
                      <a:ext cx="5727700" cy="2954655"/>
                    </a:xfrm>
                    <a:prstGeom prst="rect">
                      <a:avLst/>
                    </a:prstGeom>
                  </pic:spPr>
                </pic:pic>
              </a:graphicData>
            </a:graphic>
          </wp:inline>
        </w:drawing>
      </w:r>
    </w:p>
    <w:p>
      <w:pPr>
        <w:pStyle w:val="Normal"/>
        <w:rPr>
          <w:rFonts w:ascii="Helvetica" w:hAnsi="Helvetica"/>
          <w:b/>
          <w:b/>
        </w:rPr>
      </w:pPr>
      <w:r>
        <w:rPr>
          <w:rFonts w:ascii="Helvetica" w:hAnsi="Helvetica"/>
          <w:b/>
        </w:rPr>
      </w:r>
    </w:p>
    <w:p>
      <w:pPr>
        <w:pStyle w:val="Normal"/>
        <w:spacing w:lineRule="auto" w:line="360"/>
        <w:jc w:val="both"/>
        <w:rPr>
          <w:rFonts w:ascii="Helvetica" w:hAnsi="Helvetica"/>
          <w:b/>
          <w:b/>
          <w:bCs/>
        </w:rPr>
      </w:pPr>
      <w:r>
        <w:rPr>
          <w:rFonts w:ascii="Helvetica" w:hAnsi="Helvetica"/>
          <w:b/>
          <w:bCs/>
        </w:rPr>
        <w:t>Supplementary Figure 9. Metacells preserve differential expression between conditions.</w:t>
      </w:r>
    </w:p>
    <w:p>
      <w:pPr>
        <w:pStyle w:val="Normal"/>
        <w:spacing w:lineRule="auto" w:line="360"/>
        <w:jc w:val="both"/>
        <w:rPr>
          <w:rFonts w:ascii="Helvetica" w:hAnsi="Helvetica"/>
        </w:rPr>
      </w:pPr>
      <w:r>
        <w:rPr>
          <w:rFonts w:ascii="Helvetica" w:hAnsi="Helvetica"/>
        </w:rPr>
        <w:t>TPR (</w:t>
      </w:r>
      <w:r>
        <w:rPr>
          <w:rFonts w:ascii="Helvetica" w:hAnsi="Helvetica"/>
          <w:b/>
          <w:bCs/>
        </w:rPr>
        <w:t>a</w:t>
      </w:r>
      <w:r>
        <w:rPr>
          <w:rFonts w:ascii="Helvetica" w:hAnsi="Helvetica"/>
        </w:rPr>
        <w:t>) and AUC (</w:t>
      </w:r>
      <w:r>
        <w:rPr>
          <w:rFonts w:ascii="Helvetica" w:hAnsi="Helvetica"/>
          <w:b/>
          <w:bCs/>
        </w:rPr>
        <w:t>b</w:t>
      </w:r>
      <w:r>
        <w:rPr>
          <w:rFonts w:ascii="Helvetica" w:hAnsi="Helvetica"/>
        </w:rPr>
        <w:t>) of the recovery of differentially expressed genes between treated and control samples using EdgeR, DESeq2 and t-test approaches. The ground truth is the differential expression analysis from bulk RNA-seq.</w:t>
      </w:r>
    </w:p>
    <w:p>
      <w:pPr>
        <w:pStyle w:val="Normal"/>
        <w:rPr>
          <w:rFonts w:ascii="Helvetica" w:hAnsi="Helvetica"/>
          <w:b/>
          <w:b/>
          <w:bCs/>
        </w:rPr>
      </w:pPr>
      <w:r>
        <w:rPr/>
        <w:drawing>
          <wp:inline distT="0" distB="1270" distL="0" distR="0">
            <wp:extent cx="5727700" cy="5307330"/>
            <wp:effectExtent l="0" t="0" r="0" b="0"/>
            <wp:docPr id="10" name="Picture 2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7" descr="Diagram, engineering drawing&#10;&#10;Description automatically generated"/>
                    <pic:cNvPicPr>
                      <a:picLocks noChangeAspect="1" noChangeArrowheads="1"/>
                    </pic:cNvPicPr>
                  </pic:nvPicPr>
                  <pic:blipFill>
                    <a:blip r:embed="rId12"/>
                    <a:srcRect l="0" t="5431" r="0" b="0"/>
                    <a:stretch>
                      <a:fillRect/>
                    </a:stretch>
                  </pic:blipFill>
                  <pic:spPr bwMode="auto">
                    <a:xfrm>
                      <a:off x="0" y="0"/>
                      <a:ext cx="5727700" cy="5307330"/>
                    </a:xfrm>
                    <a:prstGeom prst="rect">
                      <a:avLst/>
                    </a:prstGeom>
                  </pic:spPr>
                </pic:pic>
              </a:graphicData>
            </a:graphic>
          </wp:inline>
        </w:drawing>
      </w:r>
    </w:p>
    <w:p>
      <w:pPr>
        <w:pStyle w:val="Normal"/>
        <w:rPr>
          <w:rFonts w:ascii="Helvetica" w:hAnsi="Helvetica"/>
          <w:b/>
          <w:b/>
        </w:rPr>
      </w:pPr>
      <w:r>
        <w:rPr>
          <w:rFonts w:ascii="Helvetica" w:hAnsi="Helvetica"/>
          <w:b/>
        </w:rPr>
      </w:r>
    </w:p>
    <w:p>
      <w:pPr>
        <w:pStyle w:val="NormalWeb"/>
        <w:spacing w:lineRule="auto" w:line="360" w:before="280" w:after="280"/>
        <w:jc w:val="both"/>
        <w:rPr>
          <w:rFonts w:ascii="Helvetica" w:hAnsi="Helvetica"/>
          <w:b/>
          <w:b/>
        </w:rPr>
      </w:pPr>
      <w:r>
        <w:rPr>
          <w:rFonts w:ascii="Helvetica" w:hAnsi="Helvetica"/>
          <w:b/>
        </w:rPr>
        <w:t xml:space="preserve">Supplementary Figure </w:t>
      </w:r>
      <w:r>
        <w:rPr>
          <w:rFonts w:ascii="Helvetica" w:hAnsi="Helvetica"/>
          <w:b/>
          <w:lang w:val="en-US"/>
        </w:rPr>
        <w:t>10</w:t>
      </w:r>
      <w:r>
        <w:rPr>
          <w:rFonts w:ascii="Helvetica" w:hAnsi="Helvetica"/>
          <w:b/>
        </w:rPr>
        <w:t xml:space="preserve">. Gating strategy for the flow cytometry analysis of DCs from murine KP1.9 lung adenocarcinoma for one representative sample. </w:t>
      </w:r>
    </w:p>
    <w:p>
      <w:pPr>
        <w:pStyle w:val="Normal"/>
        <w:spacing w:lineRule="auto" w:line="360"/>
        <w:jc w:val="both"/>
        <w:rPr>
          <w:rFonts w:ascii="Helvetica" w:hAnsi="Helvetica"/>
          <w:b/>
          <w:b/>
        </w:rPr>
      </w:pPr>
      <w:r>
        <w:rPr/>
        <w:drawing>
          <wp:inline distT="0" distB="3175" distL="0" distR="0">
            <wp:extent cx="5727700" cy="4683125"/>
            <wp:effectExtent l="0" t="0" r="0" b="0"/>
            <wp:docPr id="11"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8" descr="Diagram&#10;&#10;Description automatically generated"/>
                    <pic:cNvPicPr>
                      <a:picLocks noChangeAspect="1" noChangeArrowheads="1"/>
                    </pic:cNvPicPr>
                  </pic:nvPicPr>
                  <pic:blipFill>
                    <a:blip r:embed="rId13"/>
                    <a:srcRect l="0" t="5711" r="0" b="0"/>
                    <a:stretch>
                      <a:fillRect/>
                    </a:stretch>
                  </pic:blipFill>
                  <pic:spPr bwMode="auto">
                    <a:xfrm>
                      <a:off x="0" y="0"/>
                      <a:ext cx="5727700" cy="4683125"/>
                    </a:xfrm>
                    <a:prstGeom prst="rect">
                      <a:avLst/>
                    </a:prstGeom>
                  </pic:spPr>
                </pic:pic>
              </a:graphicData>
            </a:graphic>
          </wp:inline>
        </w:drawing>
      </w:r>
    </w:p>
    <w:p>
      <w:pPr>
        <w:pStyle w:val="Normal"/>
        <w:spacing w:lineRule="auto" w:line="360"/>
        <w:jc w:val="both"/>
        <w:rPr>
          <w:rFonts w:ascii="Helvetica" w:hAnsi="Helvetica"/>
          <w:b/>
          <w:b/>
        </w:rPr>
      </w:pPr>
      <w:r>
        <w:rPr>
          <w:rFonts w:ascii="Helvetica" w:hAnsi="Helvetica"/>
          <w:b/>
        </w:rPr>
      </w:r>
    </w:p>
    <w:p>
      <w:pPr>
        <w:pStyle w:val="Normal"/>
        <w:spacing w:lineRule="auto" w:line="360"/>
        <w:jc w:val="both"/>
        <w:rPr>
          <w:rFonts w:ascii="Helvetica" w:hAnsi="Helvetica"/>
          <w:b/>
          <w:b/>
          <w:i/>
          <w:i/>
        </w:rPr>
      </w:pPr>
      <w:r>
        <w:rPr>
          <w:rFonts w:ascii="Helvetica" w:hAnsi="Helvetica"/>
          <w:b/>
        </w:rPr>
        <w:t xml:space="preserve">Supplementary Figure 11. Cell type annotation in the </w:t>
      </w:r>
      <w:r>
        <w:rPr>
          <w:rFonts w:ascii="Helvetica" w:hAnsi="Helvetica"/>
          <w:b/>
          <w:i/>
          <w:iCs/>
        </w:rPr>
        <w:t>Cd8_</w:t>
      </w:r>
      <w:r>
        <w:rPr>
          <w:rFonts w:ascii="Helvetica" w:hAnsi="Helvetica"/>
          <w:b/>
          <w:i/>
        </w:rPr>
        <w:t xml:space="preserve">TILs </w:t>
      </w:r>
      <w:r>
        <w:rPr>
          <w:rFonts w:ascii="Helvetica" w:hAnsi="Helvetica"/>
          <w:b/>
          <w:iCs/>
        </w:rPr>
        <w:t>dataset.</w:t>
      </w:r>
    </w:p>
    <w:p>
      <w:pPr>
        <w:pStyle w:val="Normal"/>
        <w:spacing w:lineRule="auto" w:line="360"/>
        <w:jc w:val="both"/>
        <w:rPr>
          <w:rFonts w:ascii="Helvetica" w:hAnsi="Helvetica"/>
        </w:rPr>
      </w:pPr>
      <w:r>
        <w:rPr>
          <w:rFonts w:ascii="Helvetica" w:hAnsi="Helvetica"/>
          <w:b/>
          <w:bCs/>
        </w:rPr>
        <w:t>a</w:t>
      </w:r>
      <w:r>
        <w:rPr>
          <w:rFonts w:ascii="Helvetica" w:hAnsi="Helvetica"/>
        </w:rPr>
        <w:t>-</w:t>
      </w:r>
      <w:r>
        <w:rPr>
          <w:rFonts w:ascii="Helvetica" w:hAnsi="Helvetica"/>
          <w:b/>
          <w:bCs/>
        </w:rPr>
        <w:t>b</w:t>
      </w:r>
      <w:r>
        <w:rPr>
          <w:rFonts w:ascii="Helvetica" w:hAnsi="Helvetica"/>
        </w:rPr>
        <w:t xml:space="preserve">, AUC of the recovery of naïve (top), exhausted/progenitor exhausted (middle) and effector memory-like (bottom) CD8 T cells from the </w:t>
      </w:r>
      <w:r>
        <w:rPr>
          <w:rFonts w:ascii="Helvetica" w:hAnsi="Helvetica"/>
          <w:i/>
        </w:rPr>
        <w:t>TILs</w:t>
      </w:r>
      <w:r>
        <w:rPr>
          <w:rFonts w:ascii="Helvetica" w:hAnsi="Helvetica"/>
        </w:rPr>
        <w:t xml:space="preserve"> dataset using single markers (</w:t>
      </w:r>
      <w:r>
        <w:rPr>
          <w:rFonts w:ascii="Helvetica" w:hAnsi="Helvetica"/>
          <w:b/>
          <w:bCs/>
        </w:rPr>
        <w:t>a</w:t>
      </w:r>
      <w:r>
        <w:rPr>
          <w:rFonts w:ascii="Helvetica" w:hAnsi="Helvetica"/>
        </w:rPr>
        <w:t>) or signatures defined from the same dataset (</w:t>
      </w:r>
      <w:r>
        <w:rPr>
          <w:rFonts w:ascii="Helvetica" w:hAnsi="Helvetica"/>
          <w:b/>
          <w:bCs/>
        </w:rPr>
        <w:t>b</w:t>
      </w:r>
      <w:r>
        <w:rPr>
          <w:rFonts w:ascii="Helvetica" w:hAnsi="Helvetica"/>
        </w:rPr>
        <w:t xml:space="preserve">) that consists of the top 5 or 20 upregulated genes. </w:t>
      </w:r>
    </w:p>
    <w:p>
      <w:pPr>
        <w:pStyle w:val="Normal"/>
        <w:rPr>
          <w:rFonts w:ascii="Helvetica" w:hAnsi="Helvetica"/>
          <w:b/>
          <w:b/>
        </w:rPr>
      </w:pPr>
      <w:r>
        <w:rPr>
          <w:rFonts w:ascii="Helvetica" w:hAnsi="Helvetica"/>
          <w:b/>
        </w:rPr>
      </w:r>
      <w:r>
        <w:br w:type="page"/>
      </w:r>
    </w:p>
    <w:p>
      <w:pPr>
        <w:pStyle w:val="Normal"/>
        <w:spacing w:lineRule="auto" w:line="360"/>
        <w:jc w:val="both"/>
        <w:rPr>
          <w:rFonts w:ascii="Helvetica" w:hAnsi="Helvetica"/>
          <w:b/>
          <w:b/>
        </w:rPr>
      </w:pPr>
      <w:r>
        <w:rPr/>
        <w:drawing>
          <wp:inline distT="0" distB="0" distL="0" distR="0">
            <wp:extent cx="5727700" cy="7811770"/>
            <wp:effectExtent l="0" t="0" r="0" b="0"/>
            <wp:docPr id="12" name="Picture 2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9" descr="Chart, scatter chart&#10;&#10;Description automatically generated"/>
                    <pic:cNvPicPr>
                      <a:picLocks noChangeAspect="1" noChangeArrowheads="1"/>
                    </pic:cNvPicPr>
                  </pic:nvPicPr>
                  <pic:blipFill>
                    <a:blip r:embed="rId14"/>
                    <a:srcRect l="0" t="3509" r="0" b="0"/>
                    <a:stretch>
                      <a:fillRect/>
                    </a:stretch>
                  </pic:blipFill>
                  <pic:spPr bwMode="auto">
                    <a:xfrm>
                      <a:off x="0" y="0"/>
                      <a:ext cx="5727700" cy="7811770"/>
                    </a:xfrm>
                    <a:prstGeom prst="rect">
                      <a:avLst/>
                    </a:prstGeom>
                  </pic:spPr>
                </pic:pic>
              </a:graphicData>
            </a:graphic>
          </wp:inline>
        </w:drawing>
      </w:r>
    </w:p>
    <w:p>
      <w:pPr>
        <w:pStyle w:val="Normal"/>
        <w:rPr>
          <w:rFonts w:ascii="Helvetica" w:hAnsi="Helvetica"/>
          <w:b/>
          <w:b/>
        </w:rPr>
      </w:pPr>
      <w:r>
        <w:rPr>
          <w:rFonts w:ascii="Helvetica" w:hAnsi="Helvetica"/>
          <w:b/>
        </w:rPr>
      </w:r>
      <w:r>
        <w:br w:type="page"/>
      </w:r>
    </w:p>
    <w:p>
      <w:pPr>
        <w:pStyle w:val="Normal"/>
        <w:spacing w:lineRule="auto" w:line="360"/>
        <w:jc w:val="both"/>
        <w:rPr>
          <w:rFonts w:ascii="Helvetica" w:hAnsi="Helvetica"/>
          <w:b/>
          <w:b/>
        </w:rPr>
      </w:pPr>
      <w:r>
        <w:rPr>
          <w:rFonts w:ascii="Helvetica" w:hAnsi="Helvetica"/>
          <w:b/>
        </w:rPr>
        <w:t xml:space="preserve">Supplementary Figure 12. Conservation of RNA velocity results in the </w:t>
      </w:r>
      <w:r>
        <w:rPr>
          <w:rFonts w:ascii="Helvetica" w:hAnsi="Helvetica"/>
          <w:b/>
          <w:i/>
        </w:rPr>
        <w:t>brain_cells</w:t>
      </w:r>
      <w:r>
        <w:rPr>
          <w:rFonts w:ascii="Helvetica" w:hAnsi="Helvetica"/>
          <w:b/>
        </w:rPr>
        <w:t xml:space="preserve"> dataset.</w:t>
      </w:r>
    </w:p>
    <w:p>
      <w:pPr>
        <w:pStyle w:val="Normal"/>
        <w:spacing w:lineRule="auto" w:line="360"/>
        <w:jc w:val="both"/>
        <w:rPr>
          <w:rFonts w:ascii="Helvetica" w:hAnsi="Helvetica" w:cs="Helvetica Neue"/>
        </w:rPr>
      </w:pPr>
      <w:r>
        <w:rPr>
          <w:rFonts w:ascii="Helvetica" w:hAnsi="Helvetica"/>
          <w:b/>
          <w:bCs/>
        </w:rPr>
        <w:t>a</w:t>
      </w:r>
      <w:r>
        <w:rPr>
          <w:rFonts w:ascii="Helvetica" w:hAnsi="Helvetica"/>
        </w:rPr>
        <w:t>,</w:t>
      </w:r>
      <w:r>
        <w:rPr>
          <w:rFonts w:cs="Arial" w:ascii="Helvetica" w:hAnsi="Helvetica"/>
        </w:rPr>
        <w:t xml:space="preserve"> Spliced/un-spliced phase portraits and estimated equilibrium slopes (red dashed lines) for the single cells (left), metacells </w:t>
      </w:r>
      <w:r>
        <w:rPr>
          <w:rFonts w:ascii="Helvetica" w:hAnsi="Helvetica"/>
        </w:rPr>
        <w:t>(</w:t>
      </w:r>
      <w:r>
        <w:rPr/>
      </w:r>
      <m:oMath xmlns:m="http://schemas.openxmlformats.org/officeDocument/2006/math">
        <m:r>
          <w:rPr>
            <w:rFonts w:ascii="Cambria Math" w:hAnsi="Cambria Math"/>
          </w:rPr>
          <m:t xml:space="preserve">γ</m:t>
        </m:r>
        <m:r>
          <w:rPr>
            <w:rFonts w:ascii="Cambria Math" w:hAnsi="Cambria Math"/>
          </w:rPr>
          <m:t xml:space="preserve">=</m:t>
        </m:r>
        <m:r>
          <w:rPr>
            <w:rFonts w:ascii="Cambria Math" w:hAnsi="Cambria Math"/>
          </w:rPr>
          <m:t xml:space="preserve">10</m:t>
        </m:r>
      </m:oMath>
      <w:r>
        <w:rPr>
          <w:rFonts w:ascii="Helvetica" w:hAnsi="Helvetica"/>
        </w:rPr>
        <w:t>)</w:t>
      </w:r>
      <w:r>
        <w:rPr>
          <w:rFonts w:cs="Helvetica Neue" w:ascii="Helvetica" w:hAnsi="Helvetica"/>
        </w:rPr>
        <w:t xml:space="preserve"> (middle) and subsampling </w:t>
      </w:r>
      <w:r>
        <w:rPr>
          <w:rFonts w:ascii="Helvetica" w:hAnsi="Helvetica"/>
        </w:rPr>
        <w:t>(</w:t>
      </w:r>
      <w:r>
        <w:rPr/>
      </w:r>
      <m:oMath xmlns:m="http://schemas.openxmlformats.org/officeDocument/2006/math">
        <m:r>
          <w:rPr>
            <w:rFonts w:ascii="Cambria Math" w:hAnsi="Cambria Math"/>
          </w:rPr>
          <m:t xml:space="preserve">γ</m:t>
        </m:r>
        <m:r>
          <w:rPr>
            <w:rFonts w:ascii="Cambria Math" w:hAnsi="Cambria Math"/>
          </w:rPr>
          <m:t xml:space="preserve">=</m:t>
        </m:r>
        <m:r>
          <w:rPr>
            <w:rFonts w:ascii="Cambria Math" w:hAnsi="Cambria Math"/>
          </w:rPr>
          <m:t xml:space="preserve">10</m:t>
        </m:r>
      </m:oMath>
      <w:r>
        <w:rPr>
          <w:rFonts w:ascii="Helvetica" w:hAnsi="Helvetica"/>
        </w:rPr>
        <w:t>)</w:t>
      </w:r>
      <w:r>
        <w:rPr>
          <w:rFonts w:cs="Helvetica Neue" w:ascii="Helvetica" w:hAnsi="Helvetica"/>
        </w:rPr>
        <w:t xml:space="preserve"> (right) in the </w:t>
      </w:r>
      <w:r>
        <w:rPr>
          <w:rFonts w:cs="Helvetica Neue" w:ascii="Helvetica" w:hAnsi="Helvetica"/>
          <w:i/>
        </w:rPr>
        <w:t>brain_cell</w:t>
      </w:r>
      <w:r>
        <w:rPr>
          <w:rFonts w:cs="Helvetica Neue" w:ascii="Helvetica" w:hAnsi="Helvetica"/>
        </w:rPr>
        <w:t xml:space="preserve"> dataset</w:t>
      </w:r>
      <w:r>
        <w:rPr>
          <w:rFonts w:cs="Arial" w:ascii="Helvetica" w:hAnsi="Helvetica"/>
        </w:rPr>
        <w:t xml:space="preserve">. </w:t>
      </w:r>
      <w:r>
        <w:rPr>
          <w:rFonts w:cs="Arial" w:ascii="Helvetica" w:hAnsi="Helvetica"/>
          <w:b/>
          <w:bCs/>
        </w:rPr>
        <w:t>b</w:t>
      </w:r>
      <w:r>
        <w:rPr>
          <w:rFonts w:cs="Arial" w:ascii="Helvetica" w:hAnsi="Helvetica"/>
        </w:rPr>
        <w:t xml:space="preserve">, Separate tSNE visualization of RNA velocity for the single cells (left), metacells </w:t>
      </w:r>
      <w:r>
        <w:rPr>
          <w:rFonts w:ascii="Helvetica" w:hAnsi="Helvetica"/>
        </w:rPr>
        <w:t>(</w:t>
      </w:r>
      <w:r>
        <w:rPr/>
      </w:r>
      <m:oMath xmlns:m="http://schemas.openxmlformats.org/officeDocument/2006/math">
        <m:r>
          <w:rPr>
            <w:rFonts w:ascii="Cambria Math" w:hAnsi="Cambria Math"/>
          </w:rPr>
          <m:t xml:space="preserve">γ</m:t>
        </m:r>
        <m:r>
          <w:rPr>
            <w:rFonts w:ascii="Cambria Math" w:hAnsi="Cambria Math"/>
          </w:rPr>
          <m:t xml:space="preserve">=</m:t>
        </m:r>
        <m:r>
          <w:rPr>
            <w:rFonts w:ascii="Cambria Math" w:hAnsi="Cambria Math"/>
          </w:rPr>
          <m:t xml:space="preserve">10</m:t>
        </m:r>
      </m:oMath>
      <w:r>
        <w:rPr>
          <w:rFonts w:ascii="Helvetica" w:hAnsi="Helvetica"/>
        </w:rPr>
        <w:t>)</w:t>
      </w:r>
      <w:r>
        <w:rPr>
          <w:rFonts w:cs="Helvetica Neue" w:ascii="Helvetica" w:hAnsi="Helvetica"/>
        </w:rPr>
        <w:t xml:space="preserve"> (middle) and subsampling </w:t>
      </w:r>
      <w:r>
        <w:rPr>
          <w:rFonts w:ascii="Helvetica" w:hAnsi="Helvetica"/>
        </w:rPr>
        <w:t>(</w:t>
      </w:r>
      <w:r>
        <w:rPr/>
      </w:r>
      <m:oMath xmlns:m="http://schemas.openxmlformats.org/officeDocument/2006/math">
        <m:r>
          <w:rPr>
            <w:rFonts w:ascii="Cambria Math" w:hAnsi="Cambria Math"/>
          </w:rPr>
          <m:t xml:space="preserve">γ</m:t>
        </m:r>
        <m:r>
          <w:rPr>
            <w:rFonts w:ascii="Cambria Math" w:hAnsi="Cambria Math"/>
          </w:rPr>
          <m:t xml:space="preserve">=</m:t>
        </m:r>
        <m:r>
          <w:rPr>
            <w:rFonts w:ascii="Cambria Math" w:hAnsi="Cambria Math"/>
          </w:rPr>
          <m:t xml:space="preserve">10</m:t>
        </m:r>
      </m:oMath>
      <w:r>
        <w:rPr>
          <w:rFonts w:ascii="Helvetica" w:hAnsi="Helvetica"/>
        </w:rPr>
        <w:t>)</w:t>
      </w:r>
      <w:r>
        <w:rPr>
          <w:rFonts w:cs="Helvetica Neue" w:ascii="Helvetica" w:hAnsi="Helvetica"/>
        </w:rPr>
        <w:t xml:space="preserve"> (right). Colors indicate the cell type annotation </w:t>
      </w:r>
      <w:r>
        <w:rPr>
          <w:rFonts w:ascii="Helvetica" w:hAnsi="Helvetica"/>
        </w:rPr>
        <w:t>of single-cell data and metacells are colored according to the majority of cells in each metacell</w:t>
      </w:r>
      <w:r>
        <w:rPr>
          <w:rFonts w:cs="Helvetica Neue" w:ascii="Helvetica" w:hAnsi="Helvetica"/>
        </w:rPr>
        <w:t>.</w:t>
      </w:r>
    </w:p>
    <w:p>
      <w:pPr>
        <w:pStyle w:val="Normal"/>
        <w:spacing w:lineRule="auto" w:line="360"/>
        <w:jc w:val="both"/>
        <w:rPr>
          <w:rFonts w:ascii="Helvetica" w:hAnsi="Helvetica"/>
          <w:b/>
          <w:b/>
        </w:rPr>
      </w:pPr>
      <w:r>
        <w:rPr/>
        <w:drawing>
          <wp:inline distT="0" distB="0" distL="0" distR="0">
            <wp:extent cx="5727700" cy="7853680"/>
            <wp:effectExtent l="0" t="0" r="0" b="0"/>
            <wp:docPr id="13" name="Picture 3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1" descr="Diagram, engineering drawing&#10;&#10;Description automatically generated"/>
                    <pic:cNvPicPr>
                      <a:picLocks noChangeAspect="1" noChangeArrowheads="1"/>
                    </pic:cNvPicPr>
                  </pic:nvPicPr>
                  <pic:blipFill>
                    <a:blip r:embed="rId15"/>
                    <a:srcRect l="0" t="2983" r="0" b="0"/>
                    <a:stretch>
                      <a:fillRect/>
                    </a:stretch>
                  </pic:blipFill>
                  <pic:spPr bwMode="auto">
                    <a:xfrm>
                      <a:off x="0" y="0"/>
                      <a:ext cx="5727700" cy="7853680"/>
                    </a:xfrm>
                    <a:prstGeom prst="rect">
                      <a:avLst/>
                    </a:prstGeom>
                  </pic:spPr>
                </pic:pic>
              </a:graphicData>
            </a:graphic>
          </wp:inline>
        </w:drawing>
      </w:r>
    </w:p>
    <w:p>
      <w:pPr>
        <w:pStyle w:val="Normal"/>
        <w:rPr>
          <w:rFonts w:ascii="Helvetica" w:hAnsi="Helvetica"/>
          <w:b/>
          <w:b/>
        </w:rPr>
      </w:pPr>
      <w:r>
        <w:rPr>
          <w:rFonts w:ascii="Helvetica" w:hAnsi="Helvetica"/>
          <w:b/>
        </w:rPr>
      </w:r>
      <w:r>
        <w:br w:type="page"/>
      </w:r>
    </w:p>
    <w:p>
      <w:pPr>
        <w:pStyle w:val="Normal"/>
        <w:spacing w:lineRule="auto" w:line="360"/>
        <w:jc w:val="both"/>
        <w:rPr>
          <w:rFonts w:ascii="Helvetica" w:hAnsi="Helvetica"/>
          <w:b/>
          <w:b/>
        </w:rPr>
      </w:pPr>
      <w:r>
        <w:rPr>
          <w:rFonts w:ascii="Helvetica" w:hAnsi="Helvetica"/>
          <w:b/>
        </w:rPr>
        <w:t>Supplementary Figure 13. Conservation of RNA velocity results in the</w:t>
      </w:r>
      <w:r>
        <w:rPr>
          <w:rFonts w:ascii="Helvetica" w:hAnsi="Helvetica"/>
          <w:b/>
          <w:i/>
        </w:rPr>
        <w:t xml:space="preserve"> pancreatic_cells</w:t>
      </w:r>
      <w:r>
        <w:rPr>
          <w:rFonts w:ascii="Helvetica" w:hAnsi="Helvetica"/>
          <w:b/>
        </w:rPr>
        <w:t xml:space="preserve"> dataset.</w:t>
      </w:r>
    </w:p>
    <w:p>
      <w:pPr>
        <w:pStyle w:val="Normal"/>
        <w:spacing w:lineRule="auto" w:line="360"/>
        <w:jc w:val="both"/>
        <w:rPr>
          <w:rFonts w:ascii="Helvetica" w:hAnsi="Helvetica"/>
          <w:b/>
          <w:b/>
        </w:rPr>
      </w:pPr>
      <w:r>
        <w:rPr>
          <w:rFonts w:ascii="Helvetica" w:hAnsi="Helvetica"/>
          <w:b/>
          <w:bCs/>
        </w:rPr>
        <w:t>a</w:t>
      </w:r>
      <w:r>
        <w:rPr>
          <w:rFonts w:ascii="Helvetica" w:hAnsi="Helvetica"/>
        </w:rPr>
        <w:t xml:space="preserve">, Joint tSNE visualization of </w:t>
      </w:r>
      <w:r>
        <w:rPr>
          <w:rFonts w:cs="Helvetica Neue" w:ascii="Helvetica" w:hAnsi="Helvetica"/>
        </w:rPr>
        <w:t xml:space="preserve">RNA velocity for single cells (left) and metacells </w:t>
      </w:r>
      <w:r>
        <w:rPr>
          <w:rFonts w:ascii="Helvetica" w:hAnsi="Helvetica"/>
        </w:rPr>
        <w:t>(</w:t>
      </w:r>
      <w:r>
        <w:rPr/>
      </w:r>
      <m:oMath xmlns:m="http://schemas.openxmlformats.org/officeDocument/2006/math">
        <m:r>
          <w:rPr>
            <w:rFonts w:ascii="Cambria Math" w:hAnsi="Cambria Math"/>
          </w:rPr>
          <m:t xml:space="preserve">γ</m:t>
        </m:r>
        <m:r>
          <w:rPr>
            <w:rFonts w:ascii="Cambria Math" w:hAnsi="Cambria Math"/>
          </w:rPr>
          <m:t xml:space="preserve">=</m:t>
        </m:r>
        <m:r>
          <w:rPr>
            <w:rFonts w:ascii="Cambria Math" w:hAnsi="Cambria Math"/>
          </w:rPr>
          <m:t xml:space="preserve">10</m:t>
        </m:r>
      </m:oMath>
      <w:r>
        <w:rPr>
          <w:rFonts w:ascii="Helvetica" w:hAnsi="Helvetica"/>
        </w:rPr>
        <w:t>)</w:t>
      </w:r>
      <w:r>
        <w:rPr>
          <w:rFonts w:cs="Helvetica Neue" w:ascii="Helvetica" w:hAnsi="Helvetica"/>
        </w:rPr>
        <w:t xml:space="preserve"> (right) in the </w:t>
      </w:r>
      <w:r>
        <w:rPr>
          <w:rFonts w:cs="Helvetica Neue" w:ascii="Helvetica" w:hAnsi="Helvetica"/>
          <w:i/>
        </w:rPr>
        <w:t>pancreatic_cells</w:t>
      </w:r>
      <w:r>
        <w:rPr>
          <w:rFonts w:cs="Helvetica Neue" w:ascii="Helvetica" w:hAnsi="Helvetica"/>
        </w:rPr>
        <w:t xml:space="preserve"> dataset </w:t>
      </w:r>
      <w:r>
        <w:rPr>
          <w:rFonts w:ascii="Helvetica" w:hAnsi="Helvetica"/>
        </w:rPr>
        <w:t>(</w:t>
      </w:r>
      <w:r>
        <w:rPr/>
      </w:r>
      <m:oMath xmlns:m="http://schemas.openxmlformats.org/officeDocument/2006/math">
        <m:r>
          <w:rPr>
            <w:rFonts w:ascii="Cambria Math" w:hAnsi="Cambria Math"/>
          </w:rPr>
          <m:t xml:space="preserve">N</m:t>
        </m:r>
        <m:r>
          <w:rPr>
            <w:rFonts w:ascii="Cambria Math" w:hAnsi="Cambria Math"/>
          </w:rPr>
          <m:t xml:space="preserve">=</m:t>
        </m:r>
        <m:r>
          <w:rPr>
            <w:rFonts w:ascii="Cambria Math" w:hAnsi="Cambria Math"/>
          </w:rPr>
          <m:t xml:space="preserve">3</m:t>
        </m:r>
        <m:r>
          <w:rPr>
            <w:rFonts w:ascii="Cambria Math" w:hAnsi="Cambria Math"/>
          </w:rPr>
          <m:t xml:space="preserve">’</m:t>
        </m:r>
        <m:r>
          <w:rPr>
            <w:rFonts w:ascii="Cambria Math" w:hAnsi="Cambria Math"/>
          </w:rPr>
          <m:t xml:space="preserve">696</m:t>
        </m:r>
      </m:oMath>
      <w:r>
        <w:rPr>
          <w:rFonts w:ascii="Helvetica" w:hAnsi="Helvetica"/>
        </w:rPr>
        <w:t>)</w:t>
      </w:r>
      <w:r>
        <w:rPr>
          <w:rFonts w:cs="Helvetica Neue" w:ascii="Helvetica" w:hAnsi="Helvetica"/>
        </w:rPr>
        <w:t xml:space="preserve">. </w:t>
      </w:r>
      <w:r>
        <w:rPr>
          <w:rFonts w:ascii="Helvetica" w:hAnsi="Helvetica"/>
        </w:rPr>
        <w:t xml:space="preserve">Colors indicate the cell type annotation of single-cell data and metacells are colored according to the majority of cells in each metacell. </w:t>
      </w:r>
      <w:r>
        <w:rPr>
          <w:rFonts w:ascii="Helvetica" w:hAnsi="Helvetica"/>
          <w:b/>
          <w:bCs/>
        </w:rPr>
        <w:t>b</w:t>
      </w:r>
      <w:r>
        <w:rPr>
          <w:rFonts w:ascii="Helvetica" w:hAnsi="Helvetica"/>
        </w:rPr>
        <w:t xml:space="preserve">, Median purity of metacell velocity computed as a cosine similarity of velocities within each metacell. </w:t>
      </w:r>
      <w:r>
        <w:rPr>
          <w:rFonts w:ascii="Helvetica" w:hAnsi="Helvetica"/>
          <w:b/>
          <w:bCs/>
        </w:rPr>
        <w:t>c</w:t>
      </w:r>
      <w:r>
        <w:rPr>
          <w:rFonts w:ascii="Helvetica" w:hAnsi="Helvetica"/>
        </w:rPr>
        <w:t>,</w:t>
      </w:r>
      <w:r>
        <w:rPr>
          <w:rFonts w:cs="Helvetica Neue" w:ascii="Helvetica" w:hAnsi="Helvetica"/>
        </w:rPr>
        <w:t xml:space="preserve"> Number of genes with valid estimated equilibrium slope values</w:t>
      </w:r>
      <w:r>
        <w:rPr>
          <w:rFonts w:ascii="Helvetica" w:hAnsi="Helvetica"/>
        </w:rPr>
        <w:t xml:space="preserve">. </w:t>
      </w:r>
      <w:r>
        <w:rPr>
          <w:rFonts w:ascii="Helvetica" w:hAnsi="Helvetica"/>
          <w:b/>
          <w:bCs/>
        </w:rPr>
        <w:t>d</w:t>
      </w:r>
      <w:r>
        <w:rPr>
          <w:rFonts w:ascii="Helvetica" w:hAnsi="Helvetica"/>
        </w:rPr>
        <w:t xml:space="preserve">, Median </w:t>
      </w:r>
      <w:r>
        <w:rPr>
          <w:rFonts w:cs="Helvetica Neue" w:ascii="Helvetica" w:hAnsi="Helvetica"/>
        </w:rPr>
        <w:t xml:space="preserve">Pearson correlation of gene equilibrium slope values obtained in single cells and metacells. </w:t>
      </w:r>
      <w:r>
        <w:rPr>
          <w:rFonts w:cs="Helvetica Neue" w:ascii="Helvetica" w:hAnsi="Helvetica"/>
          <w:b/>
          <w:bCs/>
        </w:rPr>
        <w:t>e</w:t>
      </w:r>
      <w:r>
        <w:rPr>
          <w:rFonts w:cs="Helvetica Neue" w:ascii="Helvetica" w:hAnsi="Helvetica"/>
        </w:rPr>
        <w:t xml:space="preserve">, </w:t>
      </w:r>
      <w:r>
        <w:rPr>
          <w:rFonts w:cs="Arial" w:ascii="Helvetica" w:hAnsi="Helvetica"/>
        </w:rPr>
        <w:t xml:space="preserve">Median </w:t>
      </w:r>
      <w:r>
        <w:rPr>
          <w:rFonts w:cs="Helvetica Neue" w:ascii="Helvetica" w:hAnsi="Helvetica"/>
        </w:rPr>
        <w:t>similarity of 2D RNA velocities computed as</w:t>
      </w:r>
      <w:r>
        <w:rPr>
          <w:rFonts w:cs="Arial" w:ascii="Helvetica" w:hAnsi="Helvetica"/>
        </w:rPr>
        <w:t xml:space="preserve"> a cosine similarity between a 2D RNA velocity of each single cell and a 2D RNA velocity of the metacell it belongs to. </w:t>
      </w:r>
      <w:r>
        <w:rPr>
          <w:rFonts w:cs="Arial" w:ascii="Helvetica" w:hAnsi="Helvetica"/>
          <w:b/>
          <w:bCs/>
        </w:rPr>
        <w:t>f</w:t>
      </w:r>
      <w:r>
        <w:rPr>
          <w:rFonts w:cs="Arial" w:ascii="Helvetica" w:hAnsi="Helvetica"/>
        </w:rPr>
        <w:t xml:space="preserve">, Spliced/un-spliced phase portraits and estimated equilibrium slopes (red dashed lines) for the single cells (left), metacells </w:t>
      </w:r>
      <w:r>
        <w:rPr>
          <w:rFonts w:ascii="Helvetica" w:hAnsi="Helvetica"/>
        </w:rPr>
        <w:t>(</w:t>
      </w:r>
      <w:r>
        <w:rPr/>
      </w:r>
      <m:oMath xmlns:m="http://schemas.openxmlformats.org/officeDocument/2006/math">
        <m:r>
          <w:rPr>
            <w:rFonts w:ascii="Cambria Math" w:hAnsi="Cambria Math"/>
          </w:rPr>
          <m:t xml:space="preserve">γ</m:t>
        </m:r>
        <m:r>
          <w:rPr>
            <w:rFonts w:ascii="Cambria Math" w:hAnsi="Cambria Math"/>
          </w:rPr>
          <m:t xml:space="preserve">=</m:t>
        </m:r>
        <m:r>
          <w:rPr>
            <w:rFonts w:ascii="Cambria Math" w:hAnsi="Cambria Math"/>
          </w:rPr>
          <m:t xml:space="preserve">10</m:t>
        </m:r>
      </m:oMath>
      <w:r>
        <w:rPr>
          <w:rFonts w:ascii="Helvetica" w:hAnsi="Helvetica"/>
        </w:rPr>
        <w:t>)</w:t>
      </w:r>
      <w:r>
        <w:rPr>
          <w:rFonts w:cs="Helvetica Neue" w:ascii="Helvetica" w:hAnsi="Helvetica"/>
        </w:rPr>
        <w:t xml:space="preserve"> (middle) and subsampling </w:t>
      </w:r>
      <w:r>
        <w:rPr>
          <w:rFonts w:ascii="Helvetica" w:hAnsi="Helvetica"/>
        </w:rPr>
        <w:t>(</w:t>
      </w:r>
      <w:r>
        <w:rPr/>
      </w:r>
      <m:oMath xmlns:m="http://schemas.openxmlformats.org/officeDocument/2006/math">
        <m:r>
          <w:rPr>
            <w:rFonts w:ascii="Cambria Math" w:hAnsi="Cambria Math"/>
          </w:rPr>
          <m:t xml:space="preserve">γ</m:t>
        </m:r>
        <m:r>
          <w:rPr>
            <w:rFonts w:ascii="Cambria Math" w:hAnsi="Cambria Math"/>
          </w:rPr>
          <m:t xml:space="preserve">=</m:t>
        </m:r>
        <m:r>
          <w:rPr>
            <w:rFonts w:ascii="Cambria Math" w:hAnsi="Cambria Math"/>
          </w:rPr>
          <m:t xml:space="preserve">10</m:t>
        </m:r>
      </m:oMath>
      <w:r>
        <w:rPr>
          <w:rFonts w:ascii="Helvetica" w:hAnsi="Helvetica"/>
        </w:rPr>
        <w:t>)</w:t>
      </w:r>
      <w:r>
        <w:rPr>
          <w:rFonts w:cs="Helvetica Neue" w:ascii="Helvetica" w:hAnsi="Helvetica"/>
        </w:rPr>
        <w:t xml:space="preserve"> (right)</w:t>
      </w:r>
      <w:r>
        <w:rPr>
          <w:rFonts w:cs="Arial" w:ascii="Helvetica" w:hAnsi="Helvetica"/>
        </w:rPr>
        <w:t xml:space="preserve">. </w:t>
      </w:r>
      <w:r>
        <w:rPr>
          <w:rFonts w:cs="Arial" w:ascii="Helvetica" w:hAnsi="Helvetica"/>
          <w:b/>
          <w:bCs/>
        </w:rPr>
        <w:t>g</w:t>
      </w:r>
      <w:r>
        <w:rPr>
          <w:rFonts w:cs="Arial" w:ascii="Helvetica" w:hAnsi="Helvetica"/>
        </w:rPr>
        <w:t xml:space="preserve">, Separate tSNE visualization of RNA velocity for the single cells (left), metacells </w:t>
      </w:r>
      <w:r>
        <w:rPr>
          <w:rFonts w:ascii="Helvetica" w:hAnsi="Helvetica"/>
        </w:rPr>
        <w:t>(</w:t>
      </w:r>
      <w:r>
        <w:rPr/>
      </w:r>
      <m:oMath xmlns:m="http://schemas.openxmlformats.org/officeDocument/2006/math">
        <m:r>
          <w:rPr>
            <w:rFonts w:ascii="Cambria Math" w:hAnsi="Cambria Math"/>
          </w:rPr>
          <m:t xml:space="preserve">γ</m:t>
        </m:r>
        <m:r>
          <w:rPr>
            <w:rFonts w:ascii="Cambria Math" w:hAnsi="Cambria Math"/>
          </w:rPr>
          <m:t xml:space="preserve">=</m:t>
        </m:r>
        <m:r>
          <w:rPr>
            <w:rFonts w:ascii="Cambria Math" w:hAnsi="Cambria Math"/>
          </w:rPr>
          <m:t xml:space="preserve">10</m:t>
        </m:r>
      </m:oMath>
      <w:r>
        <w:rPr>
          <w:rFonts w:ascii="Helvetica" w:hAnsi="Helvetica"/>
        </w:rPr>
        <w:t>)</w:t>
      </w:r>
      <w:r>
        <w:rPr>
          <w:rFonts w:cs="Helvetica Neue" w:ascii="Helvetica" w:hAnsi="Helvetica"/>
        </w:rPr>
        <w:t xml:space="preserve"> (middle) and subsampling </w:t>
      </w:r>
      <w:r>
        <w:rPr>
          <w:rFonts w:ascii="Helvetica" w:hAnsi="Helvetica"/>
        </w:rPr>
        <w:t>(</w:t>
      </w:r>
      <w:r>
        <w:rPr/>
      </w:r>
      <m:oMath xmlns:m="http://schemas.openxmlformats.org/officeDocument/2006/math">
        <m:r>
          <w:rPr>
            <w:rFonts w:ascii="Cambria Math" w:hAnsi="Cambria Math"/>
          </w:rPr>
          <m:t xml:space="preserve">γ</m:t>
        </m:r>
        <m:r>
          <w:rPr>
            <w:rFonts w:ascii="Cambria Math" w:hAnsi="Cambria Math"/>
          </w:rPr>
          <m:t xml:space="preserve">=</m:t>
        </m:r>
        <m:r>
          <w:rPr>
            <w:rFonts w:ascii="Cambria Math" w:hAnsi="Cambria Math"/>
          </w:rPr>
          <m:t xml:space="preserve">10</m:t>
        </m:r>
      </m:oMath>
      <w:r>
        <w:rPr>
          <w:rFonts w:ascii="Helvetica" w:hAnsi="Helvetica"/>
        </w:rPr>
        <w:t>)</w:t>
      </w:r>
      <w:r>
        <w:rPr>
          <w:rFonts w:cs="Helvetica Neue" w:ascii="Helvetica" w:hAnsi="Helvetica"/>
        </w:rPr>
        <w:t xml:space="preserve"> (right).</w:t>
      </w:r>
    </w:p>
    <w:p>
      <w:pPr>
        <w:pStyle w:val="Normal"/>
        <w:rPr>
          <w:rFonts w:ascii="Helvetica" w:hAnsi="Helvetica"/>
          <w:b/>
          <w:b/>
        </w:rPr>
      </w:pPr>
      <w:r>
        <w:rPr>
          <w:rFonts w:ascii="Helvetica" w:hAnsi="Helvetica"/>
          <w:b/>
        </w:rPr>
      </w:r>
    </w:p>
    <w:p>
      <w:pPr>
        <w:pStyle w:val="Normal"/>
        <w:rPr>
          <w:rFonts w:ascii="Helvetica" w:hAnsi="Helvetica"/>
          <w:b/>
          <w:b/>
        </w:rPr>
      </w:pPr>
      <w:r>
        <w:rPr>
          <w:rFonts w:ascii="Helvetica" w:hAnsi="Helvetica"/>
          <w:b/>
        </w:rPr>
      </w:r>
    </w:p>
    <w:p>
      <w:pPr>
        <w:pStyle w:val="Normal"/>
        <w:spacing w:lineRule="auto" w:line="360"/>
        <w:jc w:val="both"/>
        <w:rPr>
          <w:rFonts w:ascii="Helvetica" w:hAnsi="Helvetica"/>
          <w:b/>
          <w:b/>
        </w:rPr>
      </w:pPr>
      <w:r>
        <w:rPr/>
        <w:drawing>
          <wp:inline distT="0" distB="4445" distL="0" distR="0">
            <wp:extent cx="5727700" cy="1544955"/>
            <wp:effectExtent l="0" t="0" r="0" b="0"/>
            <wp:docPr id="14" name="Picture 3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2" descr="Chart, line chart&#10;&#10;Description automatically generated"/>
                    <pic:cNvPicPr>
                      <a:picLocks noChangeAspect="1" noChangeArrowheads="1"/>
                    </pic:cNvPicPr>
                  </pic:nvPicPr>
                  <pic:blipFill>
                    <a:blip r:embed="rId16"/>
                    <a:srcRect l="0" t="15501" r="0" b="0"/>
                    <a:stretch>
                      <a:fillRect/>
                    </a:stretch>
                  </pic:blipFill>
                  <pic:spPr bwMode="auto">
                    <a:xfrm>
                      <a:off x="0" y="0"/>
                      <a:ext cx="5727700" cy="1544955"/>
                    </a:xfrm>
                    <a:prstGeom prst="rect">
                      <a:avLst/>
                    </a:prstGeom>
                  </pic:spPr>
                </pic:pic>
              </a:graphicData>
            </a:graphic>
          </wp:inline>
        </w:drawing>
      </w:r>
    </w:p>
    <w:p>
      <w:pPr>
        <w:pStyle w:val="Normal"/>
        <w:spacing w:lineRule="auto" w:line="360"/>
        <w:jc w:val="both"/>
        <w:rPr>
          <w:rFonts w:ascii="Helvetica" w:hAnsi="Helvetica"/>
          <w:b/>
          <w:b/>
        </w:rPr>
      </w:pPr>
      <w:r>
        <w:rPr>
          <w:rFonts w:ascii="Helvetica" w:hAnsi="Helvetica"/>
          <w:b/>
        </w:rPr>
        <w:t>Supplementary Figure 14. Computational time and memory allocation for RNA velocity.</w:t>
      </w:r>
    </w:p>
    <w:p>
      <w:pPr>
        <w:pStyle w:val="Normal"/>
        <w:spacing w:lineRule="auto" w:line="360"/>
        <w:jc w:val="both"/>
        <w:rPr>
          <w:rFonts w:ascii="Helvetica" w:hAnsi="Helvetica"/>
        </w:rPr>
      </w:pPr>
      <w:r>
        <w:rPr>
          <w:rFonts w:ascii="Helvetica" w:hAnsi="Helvetica"/>
          <w:b/>
          <w:bCs/>
        </w:rPr>
        <w:t>a</w:t>
      </w:r>
      <w:r>
        <w:rPr>
          <w:rFonts w:ascii="Helvetica" w:hAnsi="Helvetica"/>
        </w:rPr>
        <w:t>-</w:t>
      </w:r>
      <w:r>
        <w:rPr>
          <w:rFonts w:ascii="Helvetica" w:hAnsi="Helvetica"/>
          <w:b/>
          <w:bCs/>
        </w:rPr>
        <w:t>b</w:t>
      </w:r>
      <w:r>
        <w:rPr>
          <w:rFonts w:ascii="Helvetica" w:hAnsi="Helvetica"/>
        </w:rPr>
        <w:t>, Computational time (</w:t>
      </w:r>
      <w:r>
        <w:rPr>
          <w:rFonts w:ascii="Helvetica" w:hAnsi="Helvetica"/>
          <w:b/>
          <w:bCs/>
        </w:rPr>
        <w:t>a</w:t>
      </w:r>
      <w:r>
        <w:rPr>
          <w:rFonts w:ascii="Helvetica" w:hAnsi="Helvetica"/>
        </w:rPr>
        <w:t>) and memory allocation (</w:t>
      </w:r>
      <w:r>
        <w:rPr>
          <w:rFonts w:ascii="Helvetica" w:hAnsi="Helvetica"/>
          <w:b/>
          <w:bCs/>
        </w:rPr>
        <w:t>b</w:t>
      </w:r>
      <w:r>
        <w:rPr>
          <w:rFonts w:ascii="Helvetica" w:hAnsi="Helvetica"/>
        </w:rPr>
        <w:t xml:space="preserve">) for the RNA velocity over different graining levels for the </w:t>
      </w:r>
      <w:r>
        <w:rPr>
          <w:rFonts w:ascii="Helvetica" w:hAnsi="Helvetica"/>
          <w:i/>
        </w:rPr>
        <w:t>brain_cells</w:t>
      </w:r>
      <w:r>
        <w:rPr>
          <w:rFonts w:ascii="Helvetica" w:hAnsi="Helvetica"/>
        </w:rPr>
        <w:t xml:space="preserve"> dataset (</w:t>
      </w:r>
      <w:r>
        <w:rPr/>
      </w:r>
      <m:oMath xmlns:m="http://schemas.openxmlformats.org/officeDocument/2006/math">
        <m:r>
          <w:rPr>
            <w:rFonts w:ascii="Cambria Math" w:hAnsi="Cambria Math"/>
          </w:rPr>
          <m:t xml:space="preserve">N</m:t>
        </m:r>
        <m:r>
          <w:rPr>
            <w:rFonts w:ascii="Cambria Math" w:hAnsi="Cambria Math"/>
          </w:rPr>
          <m:t xml:space="preserve">=</m:t>
        </m:r>
        <m:r>
          <w:rPr>
            <w:rFonts w:ascii="Cambria Math" w:hAnsi="Cambria Math"/>
          </w:rPr>
          <m:t xml:space="preserve">3</m:t>
        </m:r>
        <m:r>
          <w:rPr>
            <w:rFonts w:ascii="Cambria Math" w:hAnsi="Cambria Math"/>
          </w:rPr>
          <m:t xml:space="preserve">’</m:t>
        </m:r>
        <m:r>
          <w:rPr>
            <w:rFonts w:ascii="Cambria Math" w:hAnsi="Cambria Math"/>
          </w:rPr>
          <m:t xml:space="preserve">396</m:t>
        </m:r>
      </m:oMath>
      <w:r>
        <w:rPr>
          <w:rFonts w:ascii="Helvetica" w:hAnsi="Helvetica"/>
        </w:rPr>
        <w:t xml:space="preserve">). </w:t>
      </w:r>
    </w:p>
    <w:p>
      <w:pPr>
        <w:pStyle w:val="Normal"/>
        <w:rPr>
          <w:rFonts w:ascii="Helvetica" w:hAnsi="Helvetica"/>
          <w:b/>
          <w:b/>
        </w:rPr>
      </w:pPr>
      <w:r>
        <w:rPr>
          <w:rFonts w:ascii="Helvetica" w:hAnsi="Helvetica"/>
          <w:b/>
        </w:rPr>
      </w:r>
      <w:r>
        <w:br w:type="page"/>
      </w:r>
    </w:p>
    <w:p>
      <w:pPr>
        <w:pStyle w:val="Normal"/>
        <w:spacing w:lineRule="auto" w:line="360"/>
        <w:jc w:val="both"/>
        <w:rPr>
          <w:rFonts w:ascii="Helvetica" w:hAnsi="Helvetica"/>
          <w:b/>
          <w:b/>
        </w:rPr>
      </w:pPr>
      <w:r>
        <w:rPr/>
        <w:drawing>
          <wp:inline distT="0" distB="635" distL="0" distR="635">
            <wp:extent cx="5727065" cy="6032500"/>
            <wp:effectExtent l="0" t="0" r="0" b="0"/>
            <wp:docPr id="15"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descr="Diagram&#10;&#10;Description automatically generated"/>
                    <pic:cNvPicPr>
                      <a:picLocks noChangeAspect="1" noChangeArrowheads="1"/>
                    </pic:cNvPicPr>
                  </pic:nvPicPr>
                  <pic:blipFill>
                    <a:blip r:embed="rId17"/>
                    <a:srcRect l="0" t="3111" r="0" b="22366"/>
                    <a:stretch>
                      <a:fillRect/>
                    </a:stretch>
                  </pic:blipFill>
                  <pic:spPr bwMode="auto">
                    <a:xfrm>
                      <a:off x="0" y="0"/>
                      <a:ext cx="5727065" cy="6032500"/>
                    </a:xfrm>
                    <a:prstGeom prst="rect">
                      <a:avLst/>
                    </a:prstGeom>
                  </pic:spPr>
                </pic:pic>
              </a:graphicData>
            </a:graphic>
          </wp:inline>
        </w:drawing>
      </w:r>
    </w:p>
    <w:p>
      <w:pPr>
        <w:pStyle w:val="Normal"/>
        <w:rPr>
          <w:rFonts w:ascii="Helvetica" w:hAnsi="Helvetica"/>
          <w:b/>
          <w:b/>
          <w:lang w:val="ru-RU"/>
        </w:rPr>
      </w:pPr>
      <w:r>
        <w:rPr>
          <w:rFonts w:ascii="Helvetica" w:hAnsi="Helvetica"/>
          <w:b/>
          <w:lang w:val="ru-RU"/>
        </w:rPr>
      </w:r>
    </w:p>
    <w:p>
      <w:pPr>
        <w:pStyle w:val="Normal"/>
        <w:spacing w:lineRule="auto" w:line="360"/>
        <w:jc w:val="both"/>
        <w:rPr>
          <w:rFonts w:ascii="Helvetica" w:hAnsi="Helvetica"/>
          <w:b/>
          <w:b/>
        </w:rPr>
      </w:pPr>
      <w:r>
        <w:rPr>
          <w:rFonts w:ascii="Helvetica" w:hAnsi="Helvetica"/>
          <w:b/>
        </w:rPr>
        <w:t>Supplementary Figure 15. Approximate coarse-graining in SuperCell.</w:t>
      </w:r>
    </w:p>
    <w:p>
      <w:pPr>
        <w:pStyle w:val="ListParagraph"/>
        <w:spacing w:lineRule="auto" w:line="360"/>
        <w:ind w:left="0" w:hanging="0"/>
        <w:jc w:val="both"/>
        <w:rPr>
          <w:rFonts w:ascii="Helvetica" w:hAnsi="Helvetica"/>
        </w:rPr>
      </w:pPr>
      <w:r>
        <w:rPr>
          <w:rFonts w:ascii="Helvetica" w:hAnsi="Helvetica"/>
          <w:b/>
          <w:bCs/>
        </w:rPr>
        <w:t>a</w:t>
      </w:r>
      <w:r>
        <w:rPr>
          <w:rFonts w:ascii="Helvetica" w:hAnsi="Helvetica"/>
        </w:rPr>
        <w:t>, Overview of the approximate coarse-graining approach. (1) A subset of cells is randomly selected. (2) The single-cell network is constructed from the subsampled single-cell gene expression matrix using k-nearest neighbors (kNN) algorithm. (3) The metacell network is constructed by grouping similar cells into metacells at a user-defined graining level (</w:t>
      </w:r>
      <w:r>
        <w:rPr/>
      </w:r>
      <m:oMath xmlns:m="http://schemas.openxmlformats.org/officeDocument/2006/math">
        <m:r>
          <w:rPr>
            <w:rFonts w:ascii="Cambria Math" w:hAnsi="Cambria Math"/>
          </w:rPr>
          <m:t xml:space="preserve">γ</m:t>
        </m:r>
      </m:oMath>
      <w:r>
        <w:rPr>
          <w:rFonts w:ascii="Helvetica" w:hAnsi="Helvetica"/>
        </w:rPr>
        <w:t>). (4) Remaining cells are mapped to the most similar metacell. (5) The metacell network is reweighted. (6) The gene expression matrix of metacells is computed by averaging gene expression within each metacell. (7) This metacell gene expression matrix can be used for visualization and downstream analyses such as clustering, differential expression, cell type annotation, gene correlation, RNA velocity and data integration.</w:t>
      </w:r>
      <w:r>
        <w:rPr>
          <w:rFonts w:ascii="Helvetica" w:hAnsi="Helvetica"/>
          <w:b/>
        </w:rPr>
        <w:t xml:space="preserve"> </w:t>
      </w:r>
      <w:r>
        <w:rPr>
          <w:rFonts w:ascii="Helvetica" w:hAnsi="Helvetica"/>
          <w:b/>
          <w:bCs/>
        </w:rPr>
        <w:t>b-d</w:t>
      </w:r>
      <w:r>
        <w:rPr>
          <w:rFonts w:ascii="Helvetica" w:hAnsi="Helvetica"/>
        </w:rPr>
        <w:t>, Comparison of the results of the exact and the approximate coarse-graining in terms of metacell purity (</w:t>
      </w:r>
      <w:r>
        <w:rPr>
          <w:rFonts w:ascii="Helvetica" w:hAnsi="Helvetica"/>
          <w:b/>
          <w:bCs/>
        </w:rPr>
        <w:t>b</w:t>
      </w:r>
      <w:r>
        <w:rPr>
          <w:rFonts w:ascii="Helvetica" w:hAnsi="Helvetica"/>
        </w:rPr>
        <w:t>), consistency of clustering (</w:t>
      </w:r>
      <w:r>
        <w:rPr>
          <w:rFonts w:ascii="Helvetica" w:hAnsi="Helvetica"/>
          <w:b/>
          <w:bCs/>
        </w:rPr>
        <w:t>c</w:t>
      </w:r>
      <w:r>
        <w:rPr>
          <w:rFonts w:ascii="Helvetica" w:hAnsi="Helvetica"/>
        </w:rPr>
        <w:t>), optimal number of clusters (</w:t>
      </w:r>
      <w:r>
        <w:rPr>
          <w:rFonts w:ascii="Helvetica" w:hAnsi="Helvetica"/>
          <w:b/>
          <w:bCs/>
        </w:rPr>
        <w:t>d</w:t>
      </w:r>
      <w:r>
        <w:rPr>
          <w:rFonts w:ascii="Helvetica" w:hAnsi="Helvetica"/>
        </w:rPr>
        <w:t>) and recovery of cluster-specific differentially expressed genes (</w:t>
      </w:r>
      <w:r>
        <w:rPr>
          <w:rFonts w:ascii="Helvetica" w:hAnsi="Helvetica"/>
          <w:b/>
          <w:bCs/>
        </w:rPr>
        <w:t>e</w:t>
      </w:r>
      <w:r>
        <w:rPr>
          <w:rFonts w:ascii="Helvetica" w:hAnsi="Helvetica"/>
        </w:rPr>
        <w:t xml:space="preserve">) for the exact (red) and the approximate (blue) coarse-graining. </w:t>
      </w:r>
      <w:r>
        <w:rPr>
          <w:rFonts w:cs="Arial" w:ascii="Helvetica" w:hAnsi="Helvetica"/>
        </w:rPr>
        <w:t>For the approximate coarse-graining, the center of the error bars denotes the median, and the extrema denote the 1</w:t>
      </w:r>
      <w:r>
        <w:rPr>
          <w:rFonts w:cs="Arial" w:ascii="Helvetica" w:hAnsi="Helvetica"/>
          <w:vertAlign w:val="superscript"/>
        </w:rPr>
        <w:t>st</w:t>
      </w:r>
      <w:r>
        <w:rPr>
          <w:rFonts w:cs="Arial" w:ascii="Helvetica" w:hAnsi="Helvetica"/>
        </w:rPr>
        <w:t xml:space="preserve"> and 3</w:t>
      </w:r>
      <w:r>
        <w:rPr>
          <w:rFonts w:cs="Arial" w:ascii="Helvetica" w:hAnsi="Helvetica"/>
          <w:vertAlign w:val="superscript"/>
        </w:rPr>
        <w:t>rd</w:t>
      </w:r>
      <w:r>
        <w:rPr>
          <w:rFonts w:cs="Arial" w:ascii="Helvetica" w:hAnsi="Helvetica"/>
        </w:rPr>
        <w:t xml:space="preserve"> quartiles (obtained with different random seeds).</w:t>
      </w:r>
      <w:r>
        <w:rPr>
          <w:rFonts w:ascii="Helvetica" w:hAnsi="Helvetica"/>
        </w:rPr>
        <w:t xml:space="preserve"> </w:t>
      </w:r>
    </w:p>
    <w:p>
      <w:pPr>
        <w:pStyle w:val="Normal"/>
        <w:rPr>
          <w:rFonts w:ascii="Helvetica" w:hAnsi="Helvetica"/>
        </w:rPr>
      </w:pPr>
      <w:r>
        <w:rPr>
          <w:rFonts w:ascii="Helvetica" w:hAnsi="Helvetica"/>
        </w:rPr>
      </w:r>
      <w:r>
        <w:br w:type="page"/>
      </w:r>
    </w:p>
    <w:p>
      <w:pPr>
        <w:pStyle w:val="Normal"/>
        <w:rPr>
          <w:rFonts w:ascii="Helvetica" w:hAnsi="Helvetica"/>
          <w:b/>
          <w:b/>
        </w:rPr>
      </w:pPr>
      <w:r>
        <w:rPr/>
        <w:drawing>
          <wp:inline distT="0" distB="0" distL="0" distR="0">
            <wp:extent cx="5727700" cy="3683635"/>
            <wp:effectExtent l="0" t="0" r="0" b="0"/>
            <wp:docPr id="16"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4" descr="Diagram&#10;&#10;Description automatically generated"/>
                    <pic:cNvPicPr>
                      <a:picLocks noChangeAspect="1" noChangeArrowheads="1"/>
                    </pic:cNvPicPr>
                  </pic:nvPicPr>
                  <pic:blipFill>
                    <a:blip r:embed="rId18"/>
                    <a:srcRect l="0" t="6902" r="0" b="0"/>
                    <a:stretch>
                      <a:fillRect/>
                    </a:stretch>
                  </pic:blipFill>
                  <pic:spPr bwMode="auto">
                    <a:xfrm>
                      <a:off x="0" y="0"/>
                      <a:ext cx="5727700" cy="3683635"/>
                    </a:xfrm>
                    <a:prstGeom prst="rect">
                      <a:avLst/>
                    </a:prstGeom>
                  </pic:spPr>
                </pic:pic>
              </a:graphicData>
            </a:graphic>
          </wp:inline>
        </w:drawing>
      </w:r>
    </w:p>
    <w:p>
      <w:pPr>
        <w:pStyle w:val="Normal"/>
        <w:spacing w:lineRule="auto" w:line="360"/>
        <w:jc w:val="both"/>
        <w:rPr>
          <w:rFonts w:ascii="Helvetica" w:hAnsi="Helvetica"/>
          <w:b/>
          <w:b/>
        </w:rPr>
      </w:pPr>
      <w:r>
        <w:rPr>
          <w:rFonts w:ascii="Helvetica" w:hAnsi="Helvetica"/>
          <w:b/>
        </w:rPr>
      </w:r>
    </w:p>
    <w:p>
      <w:pPr>
        <w:pStyle w:val="Normal"/>
        <w:spacing w:lineRule="auto" w:line="360"/>
        <w:jc w:val="both"/>
        <w:rPr>
          <w:rFonts w:ascii="Helvetica" w:hAnsi="Helvetica"/>
          <w:b/>
          <w:b/>
        </w:rPr>
      </w:pPr>
      <w:r>
        <w:rPr>
          <w:rFonts w:ascii="Helvetica" w:hAnsi="Helvetica"/>
          <w:b/>
        </w:rPr>
        <w:t>Supplementary Figure 16. Computational time and memory allocation for metacell construction and downstream analyses.</w:t>
      </w:r>
    </w:p>
    <w:p>
      <w:pPr>
        <w:pStyle w:val="Normal"/>
        <w:spacing w:lineRule="auto" w:line="360"/>
        <w:jc w:val="both"/>
        <w:rPr>
          <w:rFonts w:ascii="Helvetica" w:hAnsi="Helvetica"/>
        </w:rPr>
      </w:pPr>
      <w:r>
        <w:rPr>
          <w:rFonts w:ascii="Helvetica" w:hAnsi="Helvetica"/>
          <w:b/>
          <w:bCs/>
        </w:rPr>
        <w:t>a</w:t>
      </w:r>
      <w:r>
        <w:rPr>
          <w:rFonts w:ascii="Helvetica" w:hAnsi="Helvetica"/>
        </w:rPr>
        <w:t>,</w:t>
      </w:r>
      <w:r>
        <w:rPr>
          <w:rFonts w:ascii="Helvetica" w:hAnsi="Helvetica"/>
          <w:b/>
          <w:bCs/>
        </w:rPr>
        <w:t>b</w:t>
      </w:r>
      <w:r>
        <w:rPr>
          <w:rFonts w:ascii="Helvetica" w:hAnsi="Helvetica"/>
        </w:rPr>
        <w:t>, Computational time (top) and memory allocation (bottom) for the building of metacells with MetaCell, exact (</w:t>
      </w:r>
      <w:r>
        <w:rPr>
          <w:rFonts w:ascii="Helvetica" w:hAnsi="Helvetica"/>
          <w:b/>
          <w:bCs/>
        </w:rPr>
        <w:t>a</w:t>
      </w:r>
      <w:r>
        <w:rPr>
          <w:rFonts w:ascii="Helvetica" w:hAnsi="Helvetica"/>
        </w:rPr>
        <w:t>) or the approximate (</w:t>
      </w:r>
      <w:r>
        <w:rPr>
          <w:rFonts w:ascii="Helvetica" w:hAnsi="Helvetica"/>
          <w:b/>
          <w:bCs/>
        </w:rPr>
        <w:t>b</w:t>
      </w:r>
      <w:r>
        <w:rPr>
          <w:rFonts w:ascii="Helvetica" w:hAnsi="Helvetica"/>
        </w:rPr>
        <w:t>) SuperCell followed by downstream analyses including dimensionality reduction, clustering and DE analysis for the metacell and the single-cell data on a single dataset</w:t>
      </w:r>
      <w:r>
        <w:rPr>
          <w:rFonts w:cs="Arial" w:ascii="Helvetica" w:hAnsi="Helvetica"/>
          <w:iCs/>
        </w:rPr>
        <w:t xml:space="preserve"> (extracted from </w:t>
      </w:r>
      <w:r>
        <w:rPr>
          <w:rFonts w:eastAsia="" w:cs="Arial" w:ascii="Helvetica" w:hAnsi="Helvetica" w:eastAsiaTheme="minorEastAsia"/>
        </w:rPr>
        <w:t xml:space="preserve">GSE136831, </w:t>
      </w:r>
      <w:r>
        <w:rPr>
          <w:rFonts w:cs="Arial" w:ascii="Helvetica" w:hAnsi="Helvetica"/>
          <w:iCs/>
        </w:rPr>
        <w:t>see Methods)</w:t>
      </w:r>
      <w:r>
        <w:rPr>
          <w:rFonts w:ascii="Helvetica" w:hAnsi="Helvetica"/>
        </w:rPr>
        <w:t xml:space="preserve">. </w:t>
      </w:r>
      <w:r>
        <w:rPr>
          <w:rFonts w:ascii="Helvetica" w:hAnsi="Helvetica"/>
          <w:b/>
          <w:bCs/>
        </w:rPr>
        <w:t>c</w:t>
      </w:r>
      <w:r>
        <w:rPr>
          <w:rFonts w:ascii="Helvetica" w:hAnsi="Helvetica"/>
        </w:rPr>
        <w:t>, Computational time (top) and memory allocation (bottom) for the building of metacells with MetaCell or the exact and approximate SuperCell. Red dots represent the limits reached on standard desktops (16G of RAM).</w:t>
      </w:r>
    </w:p>
    <w:p>
      <w:pPr>
        <w:pStyle w:val="Normal"/>
        <w:rPr>
          <w:rFonts w:ascii="Helvetica" w:hAnsi="Helvetica"/>
        </w:rPr>
      </w:pPr>
      <w:r>
        <w:rPr>
          <w:rFonts w:ascii="Helvetica" w:hAnsi="Helvetica"/>
        </w:rPr>
      </w:r>
      <w:r>
        <w:br w:type="page"/>
      </w:r>
    </w:p>
    <w:p>
      <w:pPr>
        <w:pStyle w:val="Normal"/>
        <w:spacing w:lineRule="auto" w:line="360"/>
        <w:jc w:val="both"/>
        <w:rPr>
          <w:rFonts w:ascii="Helvetica" w:hAnsi="Helvetica"/>
        </w:rPr>
      </w:pPr>
      <w:r>
        <w:rPr>
          <w:rFonts w:ascii="Helvetica" w:hAnsi="Helvetica"/>
          <w:b/>
          <w:bCs/>
        </w:rPr>
        <w:t xml:space="preserve">Supplementary Table 1. Datasets used for the analysis. </w:t>
      </w:r>
    </w:p>
    <w:p>
      <w:pPr>
        <w:pStyle w:val="Normal"/>
        <w:spacing w:lineRule="auto" w:line="360"/>
        <w:jc w:val="both"/>
        <w:rPr>
          <w:rFonts w:ascii="Helvetica" w:hAnsi="Helvetica"/>
        </w:rPr>
      </w:pPr>
      <w:r>
        <w:rPr/>
        <w:drawing>
          <wp:inline distT="0" distB="5080" distL="0" distR="0">
            <wp:extent cx="5727700" cy="4058920"/>
            <wp:effectExtent l="0" t="0" r="0" b="0"/>
            <wp:docPr id="17"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descr=""/>
                    <pic:cNvPicPr>
                      <a:picLocks noChangeAspect="1" noChangeArrowheads="1"/>
                    </pic:cNvPicPr>
                  </pic:nvPicPr>
                  <pic:blipFill>
                    <a:blip r:embed="rId19"/>
                    <a:stretch>
                      <a:fillRect/>
                    </a:stretch>
                  </pic:blipFill>
                  <pic:spPr bwMode="auto">
                    <a:xfrm>
                      <a:off x="0" y="0"/>
                      <a:ext cx="5727700" cy="4058920"/>
                    </a:xfrm>
                    <a:prstGeom prst="rect">
                      <a:avLst/>
                    </a:prstGeom>
                  </pic:spPr>
                </pic:pic>
              </a:graphicData>
            </a:graphic>
          </wp:inline>
        </w:drawing>
      </w:r>
    </w:p>
    <w:p>
      <w:pPr>
        <w:pStyle w:val="Normal"/>
        <w:spacing w:lineRule="auto" w:line="360"/>
        <w:jc w:val="both"/>
        <w:rPr>
          <w:rFonts w:ascii="Helvetica" w:hAnsi="Helvetica"/>
        </w:rPr>
      </w:pPr>
      <w:r>
        <w:rPr>
          <w:rFonts w:ascii="Helvetica" w:hAnsi="Helvetica"/>
        </w:rPr>
      </w:r>
    </w:p>
    <w:p>
      <w:pPr>
        <w:pStyle w:val="Normal"/>
        <w:spacing w:lineRule="auto" w:line="360"/>
        <w:jc w:val="both"/>
        <w:rPr>
          <w:rFonts w:ascii="Helvetica" w:hAnsi="Helvetica"/>
        </w:rPr>
      </w:pPr>
      <w:r>
        <w:rPr>
          <w:rFonts w:ascii="Helvetica" w:hAnsi="Helvetica"/>
        </w:rPr>
      </w:r>
    </w:p>
    <w:p>
      <w:pPr>
        <w:pStyle w:val="Normal"/>
        <w:spacing w:lineRule="auto" w:line="360"/>
        <w:jc w:val="both"/>
        <w:rPr>
          <w:rFonts w:ascii="Helvetica" w:hAnsi="Helvetica"/>
          <w:b/>
          <w:b/>
          <w:bCs/>
        </w:rPr>
      </w:pPr>
      <w:r>
        <w:rPr>
          <w:rFonts w:ascii="Helvetica" w:hAnsi="Helvetica"/>
          <w:b/>
          <w:bCs/>
        </w:rPr>
        <w:t xml:space="preserve">Supplementary Table 2. Datasets integrated in the </w:t>
      </w:r>
      <w:r>
        <w:rPr>
          <w:rFonts w:ascii="Helvetica" w:hAnsi="Helvetica"/>
          <w:b/>
          <w:bCs/>
          <w:i/>
          <w:iCs/>
        </w:rPr>
        <w:t>TIM_atlas</w:t>
      </w:r>
      <w:r>
        <w:rPr>
          <w:rFonts w:ascii="Helvetica" w:hAnsi="Helvetica"/>
          <w:b/>
          <w:bCs/>
        </w:rPr>
        <w:t xml:space="preserve"> dataset.</w:t>
      </w:r>
    </w:p>
    <w:p>
      <w:pPr>
        <w:pStyle w:val="Normal"/>
        <w:spacing w:lineRule="auto" w:line="360"/>
        <w:jc w:val="both"/>
        <w:rPr>
          <w:rFonts w:ascii="Helvetica" w:hAnsi="Helvetica"/>
        </w:rPr>
      </w:pPr>
      <w:r>
        <w:rPr/>
        <w:drawing>
          <wp:inline distT="0" distB="0" distL="0" distR="0">
            <wp:extent cx="5727700" cy="2974975"/>
            <wp:effectExtent l="0" t="0" r="0" b="0"/>
            <wp:docPr id="18"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
                    <pic:cNvPicPr>
                      <a:picLocks noChangeAspect="1" noChangeArrowheads="1"/>
                    </pic:cNvPicPr>
                  </pic:nvPicPr>
                  <pic:blipFill>
                    <a:blip r:embed="rId20"/>
                    <a:stretch>
                      <a:fillRect/>
                    </a:stretch>
                  </pic:blipFill>
                  <pic:spPr bwMode="auto">
                    <a:xfrm>
                      <a:off x="0" y="0"/>
                      <a:ext cx="5727700" cy="2974975"/>
                    </a:xfrm>
                    <a:prstGeom prst="rect">
                      <a:avLst/>
                    </a:prstGeom>
                  </pic:spPr>
                </pic:pic>
              </a:graphicData>
            </a:graphic>
          </wp:inline>
        </w:drawing>
      </w:r>
    </w:p>
    <w:p>
      <w:pPr>
        <w:pStyle w:val="Normal"/>
        <w:spacing w:lineRule="auto" w:line="360"/>
        <w:jc w:val="both"/>
        <w:rPr>
          <w:rFonts w:ascii="Helvetica" w:hAnsi="Helvetica"/>
        </w:rPr>
      </w:pPr>
      <w:r>
        <w:rPr>
          <w:rFonts w:ascii="Helvetica" w:hAnsi="Helvetica"/>
        </w:rPr>
      </w:r>
    </w:p>
    <w:p>
      <w:pPr>
        <w:pStyle w:val="Normal"/>
        <w:spacing w:lineRule="auto" w:line="360"/>
        <w:jc w:val="both"/>
        <w:rPr>
          <w:rFonts w:ascii="Helvetica" w:hAnsi="Helvetica"/>
          <w:b/>
          <w:b/>
          <w:bCs/>
        </w:rPr>
      </w:pPr>
      <w:r>
        <w:rPr>
          <w:rFonts w:ascii="Helvetica" w:hAnsi="Helvetica"/>
          <w:b/>
          <w:bCs/>
        </w:rPr>
        <w:t>Supplementary Table 3. Genes ranked better in differential expression analysis (cDC vs pDC) at metacell level.</w:t>
      </w:r>
    </w:p>
    <w:p>
      <w:pPr>
        <w:pStyle w:val="Normal"/>
        <w:spacing w:lineRule="auto" w:line="360"/>
        <w:jc w:val="both"/>
        <w:rPr>
          <w:rFonts w:ascii="Helvetica" w:hAnsi="Helvetica"/>
        </w:rPr>
      </w:pPr>
      <w:r>
        <w:rPr/>
        <w:drawing>
          <wp:inline distT="0" distB="0" distL="0" distR="0">
            <wp:extent cx="5727700" cy="3903345"/>
            <wp:effectExtent l="0" t="0" r="0" b="0"/>
            <wp:docPr id="19"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
                    <pic:cNvPicPr>
                      <a:picLocks noChangeAspect="1" noChangeArrowheads="1"/>
                    </pic:cNvPicPr>
                  </pic:nvPicPr>
                  <pic:blipFill>
                    <a:blip r:embed="rId21"/>
                    <a:stretch>
                      <a:fillRect/>
                    </a:stretch>
                  </pic:blipFill>
                  <pic:spPr bwMode="auto">
                    <a:xfrm>
                      <a:off x="0" y="0"/>
                      <a:ext cx="5727700" cy="3903345"/>
                    </a:xfrm>
                    <a:prstGeom prst="rect">
                      <a:avLst/>
                    </a:prstGeom>
                  </pic:spPr>
                </pic:pic>
              </a:graphicData>
            </a:graphic>
          </wp:inline>
        </w:drawing>
      </w:r>
    </w:p>
    <w:p>
      <w:pPr>
        <w:pStyle w:val="Normal"/>
        <w:spacing w:lineRule="auto" w:line="360"/>
        <w:jc w:val="both"/>
        <w:rPr>
          <w:rFonts w:ascii="Helvetica" w:hAnsi="Helvetica"/>
        </w:rPr>
      </w:pPr>
      <w:r>
        <w:rPr>
          <w:rFonts w:ascii="Helvetica" w:hAnsi="Helvetica"/>
        </w:rPr>
      </w:r>
    </w:p>
    <w:p>
      <w:pPr>
        <w:pStyle w:val="Normal"/>
        <w:spacing w:lineRule="auto" w:line="360"/>
        <w:jc w:val="both"/>
        <w:rPr>
          <w:rFonts w:ascii="Helvetica" w:hAnsi="Helvetica"/>
        </w:rPr>
      </w:pPr>
      <w:r>
        <w:rPr>
          <w:rFonts w:ascii="Helvetica" w:hAnsi="Helvetica"/>
        </w:rPr>
      </w:r>
    </w:p>
    <w:p>
      <w:pPr>
        <w:pStyle w:val="Normal"/>
        <w:spacing w:lineRule="auto" w:line="360"/>
        <w:jc w:val="both"/>
        <w:rPr>
          <w:rFonts w:ascii="Helvetica" w:hAnsi="Helvetica"/>
          <w:b/>
          <w:b/>
          <w:bCs/>
        </w:rPr>
      </w:pPr>
      <w:r>
        <w:rPr>
          <w:rFonts w:ascii="Helvetica" w:hAnsi="Helvetica"/>
          <w:b/>
          <w:bCs/>
        </w:rPr>
        <w:t>Supplementary Table 4. Genes ranked better in differential expression analysis (pDC vs cDC) at metacell level.</w:t>
      </w:r>
    </w:p>
    <w:p>
      <w:pPr>
        <w:pStyle w:val="Normal"/>
        <w:spacing w:lineRule="auto" w:line="360"/>
        <w:jc w:val="both"/>
        <w:rPr>
          <w:rFonts w:ascii="Helvetica" w:hAnsi="Helvetica"/>
          <w:b/>
          <w:b/>
          <w:bCs/>
        </w:rPr>
      </w:pPr>
      <w:r>
        <w:rPr/>
        <w:drawing>
          <wp:inline distT="0" distB="2540" distL="0" distR="0">
            <wp:extent cx="5727700" cy="2143760"/>
            <wp:effectExtent l="0" t="0" r="0" b="0"/>
            <wp:docPr id="20"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1" descr=""/>
                    <pic:cNvPicPr>
                      <a:picLocks noChangeAspect="1" noChangeArrowheads="1"/>
                    </pic:cNvPicPr>
                  </pic:nvPicPr>
                  <pic:blipFill>
                    <a:blip r:embed="rId22"/>
                    <a:stretch>
                      <a:fillRect/>
                    </a:stretch>
                  </pic:blipFill>
                  <pic:spPr bwMode="auto">
                    <a:xfrm>
                      <a:off x="0" y="0"/>
                      <a:ext cx="5727700" cy="2143760"/>
                    </a:xfrm>
                    <a:prstGeom prst="rect">
                      <a:avLst/>
                    </a:prstGeom>
                  </pic:spPr>
                </pic:pic>
              </a:graphicData>
            </a:graphic>
          </wp:inline>
        </w:drawing>
      </w:r>
    </w:p>
    <w:p>
      <w:pPr>
        <w:pStyle w:val="Normal"/>
        <w:rPr>
          <w:rFonts w:ascii="Helvetica" w:hAnsi="Helvetica"/>
          <w:b/>
          <w:b/>
          <w:bCs/>
        </w:rPr>
      </w:pPr>
      <w:r>
        <w:rPr>
          <w:rFonts w:ascii="Helvetica" w:hAnsi="Helvetica"/>
          <w:b/>
          <w:bCs/>
        </w:rPr>
      </w:r>
      <w:r>
        <w:br w:type="page"/>
      </w:r>
    </w:p>
    <w:p>
      <w:pPr>
        <w:pStyle w:val="Normal"/>
        <w:spacing w:lineRule="auto" w:line="360"/>
        <w:jc w:val="both"/>
        <w:rPr/>
      </w:pPr>
      <w:r>
        <w:rPr>
          <w:rFonts w:ascii="Helvetica" w:hAnsi="Helvetica"/>
          <w:b/>
          <w:bCs/>
        </w:rPr>
        <w:t>Supplementary Table 5. Antibodies used in flow cytometry (Fig. 2f, Supplementary Fig. 1</w:t>
      </w:r>
      <w:r>
        <w:rPr>
          <w:rFonts w:ascii="Helvetica" w:hAnsi="Helvetica"/>
          <w:b/>
          <w:bCs/>
        </w:rPr>
        <w:t>0</w:t>
      </w:r>
      <w:r>
        <w:rPr>
          <w:rFonts w:ascii="Helvetica" w:hAnsi="Helvetica"/>
          <w:b/>
          <w:bCs/>
        </w:rPr>
        <w:t>).</w:t>
      </w:r>
    </w:p>
    <w:p>
      <w:pPr>
        <w:pStyle w:val="Normal"/>
        <w:spacing w:lineRule="auto" w:line="360"/>
        <w:jc w:val="both"/>
        <w:rPr>
          <w:rFonts w:ascii="Helvetica" w:hAnsi="Helvetica"/>
        </w:rPr>
      </w:pPr>
      <w:r>
        <w:rPr/>
        <w:drawing>
          <wp:inline distT="0" distB="3175" distL="0" distR="0">
            <wp:extent cx="5727700" cy="1863725"/>
            <wp:effectExtent l="0" t="0" r="0" b="0"/>
            <wp:docPr id="21"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5" descr=""/>
                    <pic:cNvPicPr>
                      <a:picLocks noChangeAspect="1" noChangeArrowheads="1"/>
                    </pic:cNvPicPr>
                  </pic:nvPicPr>
                  <pic:blipFill>
                    <a:blip r:embed="rId23"/>
                    <a:stretch>
                      <a:fillRect/>
                    </a:stretch>
                  </pic:blipFill>
                  <pic:spPr bwMode="auto">
                    <a:xfrm>
                      <a:off x="0" y="0"/>
                      <a:ext cx="5727700" cy="1863725"/>
                    </a:xfrm>
                    <a:prstGeom prst="rect">
                      <a:avLst/>
                    </a:prstGeom>
                  </pic:spPr>
                </pic:pic>
              </a:graphicData>
            </a:graphic>
          </wp:inline>
        </w:drawing>
      </w:r>
    </w:p>
    <w:p>
      <w:pPr>
        <w:pStyle w:val="Normal"/>
        <w:spacing w:lineRule="auto" w:line="360"/>
        <w:jc w:val="both"/>
        <w:rPr/>
      </w:pPr>
      <w:r>
        <w:rPr/>
      </w:r>
    </w:p>
    <w:sectPr>
      <w:type w:val="nextPage"/>
      <w:pgSz w:w="11906" w:h="16838"/>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Times New Roman">
    <w:charset w:val="cc"/>
    <w:family w:val="roman"/>
    <w:pitch w:val="variable"/>
  </w:font>
  <w:font w:name="Helvetica">
    <w:altName w:val="Arial"/>
    <w:charset w:val="cc"/>
    <w:family w:val="roman"/>
    <w:pitch w:val="variable"/>
  </w:font>
  <w:font w:name="Liberation Sans">
    <w:altName w:val="Arial"/>
    <w:charset w:val="cc"/>
    <w:family w:val="swiss"/>
    <w:pitch w:val="variable"/>
  </w:font>
</w:fonts>
</file>

<file path=word/settings.xml><?xml version="1.0" encoding="utf-8"?>
<w:settings xmlns:w="http://schemas.openxmlformats.org/wordprocessingml/2006/main">
  <w:zoom w:percent="121"/>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en-U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pPr>
      <w:widowControl/>
      <w:bidi w:val="0"/>
      <w:jc w:val="left"/>
    </w:pPr>
    <w:rPr>
      <w:rFonts w:ascii="Calibri" w:hAnsi="Calibri" w:eastAsia="Calibri" w:cs="" w:asciiTheme="minorHAnsi" w:cstheme="minorBidi" w:eastAsiaTheme="minorHAnsi" w:hAnsiTheme="minorHAnsi"/>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TitleChar" w:customStyle="1">
    <w:name w:val="Title Char"/>
    <w:basedOn w:val="DefaultParagraphFont"/>
    <w:link w:val="Title"/>
    <w:uiPriority w:val="10"/>
    <w:qFormat/>
    <w:rsid w:val="004d0dd9"/>
    <w:rPr>
      <w:rFonts w:ascii="Calibri Light" w:hAnsi="Calibri Light" w:eastAsia="" w:cs="" w:asciiTheme="majorHAnsi" w:cstheme="majorBidi" w:eastAsiaTheme="majorEastAsia" w:hAnsiTheme="majorHAnsi"/>
      <w:spacing w:val="-10"/>
      <w:kern w:val="2"/>
      <w:sz w:val="56"/>
      <w:szCs w:val="56"/>
    </w:rPr>
  </w:style>
  <w:style w:type="character" w:styleId="PlaceholderText">
    <w:name w:val="Placeholder Text"/>
    <w:basedOn w:val="DefaultParagraphFont"/>
    <w:uiPriority w:val="99"/>
    <w:semiHidden/>
    <w:qFormat/>
    <w:rsid w:val="006a5205"/>
    <w:rPr>
      <w:color w:val="808080"/>
    </w:rPr>
  </w:style>
  <w:style w:type="character" w:styleId="BalloonTextChar" w:customStyle="1">
    <w:name w:val="Balloon Text Char"/>
    <w:basedOn w:val="DefaultParagraphFont"/>
    <w:link w:val="BalloonText"/>
    <w:uiPriority w:val="99"/>
    <w:semiHidden/>
    <w:qFormat/>
    <w:rsid w:val="003a059b"/>
    <w:rPr>
      <w:rFonts w:ascii="Times New Roman" w:hAnsi="Times New Roman" w:cs="Times New Roman"/>
      <w:sz w:val="18"/>
      <w:szCs w:val="18"/>
    </w:rPr>
  </w:style>
  <w:style w:type="character" w:styleId="Annotationreference">
    <w:name w:val="annotation reference"/>
    <w:basedOn w:val="DefaultParagraphFont"/>
    <w:uiPriority w:val="99"/>
    <w:semiHidden/>
    <w:unhideWhenUsed/>
    <w:qFormat/>
    <w:rsid w:val="003a059b"/>
    <w:rPr>
      <w:sz w:val="16"/>
      <w:szCs w:val="16"/>
    </w:rPr>
  </w:style>
  <w:style w:type="character" w:styleId="CommentTextChar" w:customStyle="1">
    <w:name w:val="Comment Text Char"/>
    <w:basedOn w:val="DefaultParagraphFont"/>
    <w:link w:val="CommentText"/>
    <w:uiPriority w:val="99"/>
    <w:qFormat/>
    <w:rsid w:val="003a059b"/>
    <w:rPr>
      <w:sz w:val="20"/>
      <w:szCs w:val="20"/>
    </w:rPr>
  </w:style>
  <w:style w:type="character" w:styleId="CommentSubjectChar" w:customStyle="1">
    <w:name w:val="Comment Subject Char"/>
    <w:basedOn w:val="CommentTextChar"/>
    <w:link w:val="CommentSubject"/>
    <w:uiPriority w:val="99"/>
    <w:semiHidden/>
    <w:qFormat/>
    <w:rsid w:val="003a059b"/>
    <w:rPr>
      <w:b/>
      <w:bCs/>
      <w:sz w:val="20"/>
      <w:szCs w:val="20"/>
    </w:rPr>
  </w:style>
  <w:style w:type="character" w:styleId="Style14">
    <w:name w:val="Интернет-ссылка"/>
    <w:basedOn w:val="DefaultParagraphFont"/>
    <w:uiPriority w:val="99"/>
    <w:unhideWhenUsed/>
    <w:rsid w:val="00ea67d6"/>
    <w:rPr>
      <w:color w:val="0563C1" w:themeColor="hyperlink"/>
      <w:u w:val="single"/>
    </w:rPr>
  </w:style>
  <w:style w:type="character" w:styleId="Label" w:customStyle="1">
    <w:name w:val="label"/>
    <w:basedOn w:val="DefaultParagraphFont"/>
    <w:qFormat/>
    <w:rsid w:val="00ea67d6"/>
    <w:rPr/>
  </w:style>
  <w:style w:type="character" w:styleId="Linenumber">
    <w:name w:val="line number"/>
    <w:basedOn w:val="DefaultParagraphFont"/>
    <w:uiPriority w:val="99"/>
    <w:semiHidden/>
    <w:unhideWhenUsed/>
    <w:qFormat/>
    <w:rsid w:val="005b5c99"/>
    <w:rPr/>
  </w:style>
  <w:style w:type="character" w:styleId="ListLabel1">
    <w:name w:val="ListLabel 1"/>
    <w:qFormat/>
    <w:rPr>
      <w:rFonts w:ascii="Helvetica" w:hAnsi="Helvetica"/>
    </w:rPr>
  </w:style>
  <w:style w:type="paragraph" w:styleId="Style15">
    <w:name w:val="Заголовок"/>
    <w:basedOn w:val="Normal"/>
    <w:next w:val="Style16"/>
    <w:qFormat/>
    <w:pPr>
      <w:keepNext w:val="true"/>
      <w:spacing w:before="240" w:after="120"/>
    </w:pPr>
    <w:rPr>
      <w:rFonts w:ascii="Liberation Sans" w:hAnsi="Liberation Sans" w:eastAsia="Microsoft YaHei" w:cs="Ari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rPr>
  </w:style>
  <w:style w:type="paragraph" w:styleId="ListParagraph">
    <w:name w:val="List Paragraph"/>
    <w:basedOn w:val="Normal"/>
    <w:uiPriority w:val="34"/>
    <w:qFormat/>
    <w:rsid w:val="00011455"/>
    <w:pPr>
      <w:spacing w:before="0" w:after="0"/>
      <w:ind w:left="720" w:hanging="0"/>
      <w:contextualSpacing/>
    </w:pPr>
    <w:rPr/>
  </w:style>
  <w:style w:type="paragraph" w:styleId="Style20">
    <w:name w:val="Title"/>
    <w:basedOn w:val="Normal"/>
    <w:next w:val="Normal"/>
    <w:link w:val="TitleChar"/>
    <w:uiPriority w:val="10"/>
    <w:qFormat/>
    <w:rsid w:val="004d0dd9"/>
    <w:pPr>
      <w:spacing w:before="0" w:after="0"/>
      <w:contextualSpacing/>
    </w:pPr>
    <w:rPr>
      <w:rFonts w:ascii="Calibri Light" w:hAnsi="Calibri Light" w:eastAsia="" w:cs="" w:asciiTheme="majorHAnsi" w:cstheme="majorBidi" w:eastAsiaTheme="majorEastAsia" w:hAnsiTheme="majorHAnsi"/>
      <w:spacing w:val="-10"/>
      <w:kern w:val="2"/>
      <w:sz w:val="56"/>
      <w:szCs w:val="56"/>
    </w:rPr>
  </w:style>
  <w:style w:type="paragraph" w:styleId="BalloonText">
    <w:name w:val="Balloon Text"/>
    <w:basedOn w:val="Normal"/>
    <w:link w:val="BalloonTextChar"/>
    <w:uiPriority w:val="99"/>
    <w:semiHidden/>
    <w:unhideWhenUsed/>
    <w:qFormat/>
    <w:rsid w:val="003a059b"/>
    <w:pPr/>
    <w:rPr>
      <w:rFonts w:ascii="Times New Roman" w:hAnsi="Times New Roman" w:cs="Times New Roman"/>
      <w:sz w:val="18"/>
      <w:szCs w:val="18"/>
    </w:rPr>
  </w:style>
  <w:style w:type="paragraph" w:styleId="Annotationtext">
    <w:name w:val="annotation text"/>
    <w:basedOn w:val="Normal"/>
    <w:link w:val="CommentTextChar"/>
    <w:uiPriority w:val="99"/>
    <w:unhideWhenUsed/>
    <w:qFormat/>
    <w:rsid w:val="003a059b"/>
    <w:pPr/>
    <w:rPr>
      <w:sz w:val="20"/>
      <w:szCs w:val="20"/>
    </w:rPr>
  </w:style>
  <w:style w:type="paragraph" w:styleId="Annotationsubject">
    <w:name w:val="annotation subject"/>
    <w:basedOn w:val="Annotationtext"/>
    <w:next w:val="Annotationtext"/>
    <w:link w:val="CommentSubjectChar"/>
    <w:uiPriority w:val="99"/>
    <w:semiHidden/>
    <w:unhideWhenUsed/>
    <w:qFormat/>
    <w:rsid w:val="003a059b"/>
    <w:pPr/>
    <w:rPr>
      <w:b/>
      <w:bCs/>
    </w:rPr>
  </w:style>
  <w:style w:type="paragraph" w:styleId="Revision">
    <w:name w:val="Revision"/>
    <w:uiPriority w:val="99"/>
    <w:semiHidden/>
    <w:qFormat/>
    <w:rsid w:val="00ad7726"/>
    <w:pPr>
      <w:widowControl/>
      <w:bidi w:val="0"/>
      <w:jc w:val="left"/>
    </w:pPr>
    <w:rPr>
      <w:rFonts w:ascii="Calibri" w:hAnsi="Calibri" w:eastAsia="Calibri" w:cs="" w:asciiTheme="minorHAnsi" w:cstheme="minorBidi" w:eastAsiaTheme="minorHAnsi" w:hAnsiTheme="minorHAnsi"/>
      <w:color w:val="auto"/>
      <w:kern w:val="0"/>
      <w:sz w:val="24"/>
      <w:szCs w:val="24"/>
      <w:lang w:val="en-US" w:eastAsia="en-US" w:bidi="ar-SA"/>
    </w:rPr>
  </w:style>
  <w:style w:type="paragraph" w:styleId="NormalWeb">
    <w:name w:val="Normal (Web)"/>
    <w:basedOn w:val="Normal"/>
    <w:uiPriority w:val="99"/>
    <w:unhideWhenUsed/>
    <w:qFormat/>
    <w:rsid w:val="00ea67d6"/>
    <w:pPr>
      <w:spacing w:beforeAutospacing="1" w:afterAutospacing="1"/>
    </w:pPr>
    <w:rPr>
      <w:rFonts w:ascii="Times New Roman" w:hAnsi="Times New Roman" w:eastAsia="Times New Roman" w:cs="Times New Roman"/>
      <w:lang w:val="en-CH"/>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avid.gfeller@unil.ch"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image" Target="media/image12.png"/><Relationship Id="rId15" Type="http://schemas.openxmlformats.org/officeDocument/2006/relationships/image" Target="media/image13.png"/><Relationship Id="rId16" Type="http://schemas.openxmlformats.org/officeDocument/2006/relationships/image" Target="media/image14.png"/><Relationship Id="rId17" Type="http://schemas.openxmlformats.org/officeDocument/2006/relationships/image" Target="media/image15.png"/><Relationship Id="rId18" Type="http://schemas.openxmlformats.org/officeDocument/2006/relationships/image" Target="media/image16.png"/><Relationship Id="rId19" Type="http://schemas.openxmlformats.org/officeDocument/2006/relationships/image" Target="media/image17.wmf"/><Relationship Id="rId20" Type="http://schemas.openxmlformats.org/officeDocument/2006/relationships/image" Target="media/image18.wmf"/><Relationship Id="rId21" Type="http://schemas.openxmlformats.org/officeDocument/2006/relationships/image" Target="media/image19.wmf"/><Relationship Id="rId22" Type="http://schemas.openxmlformats.org/officeDocument/2006/relationships/image" Target="media/image20.wmf"/><Relationship Id="rId23" Type="http://schemas.openxmlformats.org/officeDocument/2006/relationships/image" Target="media/image21.wmf"/><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Relationship Id="rId2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D4FB2-8430-5C48-BF4B-4C1698A98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Application>Ultra_Office/6.2.3.2$Windows_x86 LibreOffice_project/</Application>
  <Pages>23</Pages>
  <Words>1374</Words>
  <Characters>8336</Characters>
  <CharactersWithSpaces>9675</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2022-06-07T14:11:00Z</dcterms:created>
  <dc:creator>Maria Belous</dc:creator>
  <dc:description/>
  <dc:language>en-US</dc:language>
  <cp:lastModifiedBy/>
  <cp:lastPrinted>2020-10-22T14:26:00Z</cp:lastPrinted>
  <dcterms:modified xsi:type="dcterms:W3CDTF">2022-08-04T21:20:36Z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