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ascii="Times New Roman" w:eastAsia="宋体"/>
          <w:sz w:val="34"/>
          <w:lang w:eastAsia="zh-CN"/>
        </w:rPr>
      </w:pPr>
      <w:r>
        <w:rPr>
          <w:rFonts w:hint="eastAsia" w:ascii="Times New Roman" w:eastAsia="宋体"/>
          <w:sz w:val="34"/>
          <w:lang w:eastAsia="zh-CN"/>
        </w:rPr>
        <w:drawing>
          <wp:inline distT="0" distB="0" distL="114300" distR="114300">
            <wp:extent cx="5408295" cy="4502150"/>
            <wp:effectExtent l="0" t="0" r="1905" b="8890"/>
            <wp:docPr id="1" name="图片 1" descr="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8295" cy="450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line="340" w:lineRule="auto"/>
        <w:ind w:left="120" w:right="125" w:firstLine="0"/>
        <w:jc w:val="both"/>
        <w:rPr>
          <w:rFonts w:hint="default" w:ascii="Times New Roman" w:hAnsi="Times New Roman" w:cs="Times New Roman"/>
          <w:b w:val="0"/>
          <w:bCs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/>
          <w:sz w:val="21"/>
          <w:szCs w:val="21"/>
        </w:rPr>
        <w:t>Supplementary Figure 1. Analysis of the single lncRNA in the model. In the model, nine lncRNAs showed differences among the high- and low-risk groups. In order, they were AC008735.2, AC073283.1, AC104823.1, AL136115.2, AL442125.2, LINC02474, AC007128.1, AC021218.1, and PIK3IP1-AS1. (* : p &lt; 0.05, ** : p &lt; 0.01, *** : p &lt; 0.001).</w:t>
      </w:r>
    </w:p>
    <w:p>
      <w:pPr>
        <w:pStyle w:val="2"/>
        <w:spacing w:before="0" w:line="340" w:lineRule="auto"/>
        <w:ind w:left="120" w:right="112"/>
        <w:jc w:val="both"/>
        <w:rPr>
          <w:rFonts w:hint="default" w:ascii="Times New Roman" w:hAnsi="Times New Roman" w:cs="Times New Roman"/>
          <w:b w:val="0"/>
          <w:bCs/>
          <w:sz w:val="21"/>
          <w:szCs w:val="21"/>
        </w:rPr>
      </w:pPr>
      <w:bookmarkStart w:id="0" w:name="_GoBack"/>
      <w:bookmarkEnd w:id="0"/>
    </w:p>
    <w:p>
      <w:pPr>
        <w:pStyle w:val="2"/>
        <w:spacing w:before="6"/>
        <w:rPr>
          <w:rFonts w:hint="eastAsia" w:ascii="Times New Roman" w:hAnsi="Times New Roman" w:eastAsia="宋体" w:cs="Times New Roman"/>
          <w:b w:val="0"/>
          <w:bCs/>
          <w:sz w:val="21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b w:val="0"/>
          <w:bCs/>
          <w:sz w:val="21"/>
          <w:szCs w:val="21"/>
          <w:lang w:eastAsia="zh-CN"/>
        </w:rPr>
        <w:drawing>
          <wp:inline distT="0" distB="0" distL="114300" distR="114300">
            <wp:extent cx="5466080" cy="2540000"/>
            <wp:effectExtent l="0" t="0" r="5080" b="5080"/>
            <wp:docPr id="3" name="图片 3" descr="Supplementary Fig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upplementary Figure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6608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" w:line="340" w:lineRule="auto"/>
        <w:ind w:left="120" w:right="118" w:firstLine="0"/>
        <w:jc w:val="both"/>
        <w:rPr>
          <w:rFonts w:hint="default" w:ascii="Times New Roman" w:hAnsi="Times New Roman" w:cs="Times New Roman"/>
          <w:b w:val="0"/>
          <w:bCs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/>
          <w:sz w:val="21"/>
          <w:szCs w:val="21"/>
        </w:rPr>
        <w:t xml:space="preserve">Supplementary Figure </w:t>
      </w:r>
      <w:r>
        <w:rPr>
          <w:rFonts w:hint="eastAsia" w:ascii="Times New Roman" w:hAnsi="Times New Roman" w:eastAsia="宋体" w:cs="Times New Roman"/>
          <w:b w:val="0"/>
          <w:bCs/>
          <w:sz w:val="21"/>
          <w:szCs w:val="21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/>
          <w:sz w:val="21"/>
          <w:szCs w:val="21"/>
        </w:rPr>
        <w:t>. Analysis of differences in EGFR and APC between high- and low-risk groups. Left, EGFR;Right, APC.(* : p &lt; 0.05, ** : p &lt; 0.01).</w:t>
      </w:r>
    </w:p>
    <w:sectPr>
      <w:type w:val="continuous"/>
      <w:pgSz w:w="11910" w:h="16840"/>
      <w:pgMar w:top="1380" w:right="162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docVars>
    <w:docVar w:name="commondata" w:val="eyJoZGlkIjoiMzlmM2RkOTI1MzczMjE3ZWJiZTQzNDE3NWI4NDBmOWEifQ=="/>
  </w:docVars>
  <w:rsids>
    <w:rsidRoot w:val="00000000"/>
    <w:rsid w:val="21F97995"/>
    <w:rsid w:val="43290ED3"/>
    <w:rsid w:val="45382B0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libri" w:hAnsi="Calibri" w:eastAsia="Calibri" w:cs="Calibri"/>
      <w:sz w:val="22"/>
      <w:szCs w:val="22"/>
      <w:lang w:val="en-US" w:eastAsia="en-US" w:bidi="en-US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7"/>
    </w:pPr>
    <w:rPr>
      <w:rFonts w:ascii="Calibri" w:hAnsi="Calibri" w:eastAsia="Calibri" w:cs="Calibri"/>
      <w:b/>
      <w:bCs/>
      <w:sz w:val="18"/>
      <w:szCs w:val="18"/>
      <w:lang w:val="en-US" w:eastAsia="en-US" w:bidi="en-US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en-US" w:eastAsia="en-US" w:bidi="en-US"/>
    </w:rPr>
  </w:style>
  <w:style w:type="paragraph" w:customStyle="1" w:styleId="7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tiff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105</Words>
  <Characters>556</Characters>
  <TotalTime>1</TotalTime>
  <ScaleCrop>false</ScaleCrop>
  <LinksUpToDate>false</LinksUpToDate>
  <CharactersWithSpaces>658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2022-05-10T08:07:00Z</dcterms:created>
  <dc:creator>86186</dc:creator>
  <cp:lastModifiedBy>郝泽洲</cp:lastModifiedBy>
  <dcterms:modified xsi:type="dcterms:W3CDTF">2022-09-15T02:23:47Z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2022-05-10T00:00:00Z</vt:filetime>
  </property>
  <property fmtid="{D5CDD505-2E9C-101B-9397-08002B2CF9AE}" pid="5" name="KSOProductBuildVer">
    <vt:lpwstr>2052-11.1.0.12358</vt:lpwstr>
  </property>
  <property fmtid="{D5CDD505-2E9C-101B-9397-08002B2CF9AE}" pid="6" name="ICV">
    <vt:lpwstr>2C5CC609C4194429AD3F37A690845C18</vt:lpwstr>
  </property>
</Properties>
</file>