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5BAD" w:rsidRPr="005B2138" w:rsidRDefault="006A5BAD" w:rsidP="006A5B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rFonts w:ascii="Times New Roman" w:hAnsi="Times New Roman" w:cs="Times New Roman"/>
          <w:sz w:val="36"/>
          <w:szCs w:val="36"/>
        </w:rPr>
      </w:pPr>
      <w:r w:rsidRPr="005B2138">
        <w:rPr>
          <w:rFonts w:ascii="Times New Roman" w:hAnsi="Times New Roman" w:cs="Times New Roman" w:hint="eastAsia"/>
          <w:sz w:val="36"/>
          <w:szCs w:val="36"/>
        </w:rPr>
        <w:t>Supplementary Material</w:t>
      </w:r>
      <w:r w:rsidR="005B2138" w:rsidRPr="005B2138">
        <w:rPr>
          <w:rFonts w:ascii="Times New Roman" w:hAnsi="Times New Roman" w:cs="Times New Roman"/>
          <w:sz w:val="36"/>
          <w:szCs w:val="36"/>
        </w:rPr>
        <w:t>s for</w:t>
      </w:r>
    </w:p>
    <w:p w:rsidR="005B2138" w:rsidRPr="005B2138" w:rsidRDefault="005B2138" w:rsidP="006A5B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rFonts w:ascii="Times New Roman" w:hAnsi="Times New Roman" w:cs="Times New Roman"/>
          <w:b/>
          <w:bCs/>
          <w:sz w:val="32"/>
          <w:szCs w:val="32"/>
        </w:rPr>
      </w:pPr>
      <w:r w:rsidRPr="005B2138">
        <w:rPr>
          <w:rFonts w:ascii="Times New Roman" w:hAnsi="Times New Roman" w:cs="Times New Roman" w:hint="eastAsia"/>
          <w:b/>
          <w:bCs/>
          <w:sz w:val="32"/>
          <w:szCs w:val="32"/>
        </w:rPr>
        <w:t>SingleScan: a comprehensive resource for single-cell sequencing data processing and mining</w:t>
      </w:r>
    </w:p>
    <w:p w:rsidR="009E7902" w:rsidRPr="005B2138" w:rsidRDefault="005B2138"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pPr>
      <w:proofErr w:type="spellStart"/>
      <w:r>
        <w:rPr>
          <w:rFonts w:ascii="Times New Roman" w:hAnsi="Times New Roman" w:cs="Times New Roman"/>
          <w:color w:val="000000"/>
        </w:rPr>
        <w:t>Kun</w:t>
      </w:r>
      <w:proofErr w:type="spellEnd"/>
      <w:r>
        <w:rPr>
          <w:rFonts w:ascii="Times New Roman" w:hAnsi="Times New Roman" w:cs="Times New Roman"/>
          <w:color w:val="000000"/>
        </w:rPr>
        <w:t xml:space="preserve"> Wang</w:t>
      </w:r>
      <w:proofErr w:type="gramStart"/>
      <w:r>
        <w:rPr>
          <w:rFonts w:ascii="Times New Roman" w:hAnsi="Times New Roman" w:cs="Times New Roman"/>
          <w:color w:val="000000"/>
          <w:vertAlign w:val="superscript"/>
        </w:rPr>
        <w:t>1,#</w:t>
      </w:r>
      <w:proofErr w:type="gramEnd"/>
      <w:r>
        <w:rPr>
          <w:rFonts w:ascii="Times New Roman" w:hAnsi="Times New Roman" w:cs="Times New Roman"/>
          <w:color w:val="000000"/>
        </w:rPr>
        <w:t xml:space="preserve">, </w:t>
      </w:r>
      <w:bookmarkStart w:id="0" w:name="OLE_LINK82"/>
      <w:bookmarkStart w:id="1" w:name="OLE_LINK83"/>
      <w:r>
        <w:rPr>
          <w:rFonts w:ascii="Times New Roman" w:hAnsi="Times New Roman" w:cs="Times New Roman"/>
          <w:color w:val="000000"/>
        </w:rPr>
        <w:t xml:space="preserve">Xiao </w:t>
      </w:r>
      <w:bookmarkEnd w:id="0"/>
      <w:bookmarkEnd w:id="1"/>
      <w:r>
        <w:rPr>
          <w:rFonts w:ascii="Times New Roman" w:hAnsi="Times New Roman" w:cs="Times New Roman"/>
          <w:color w:val="000000"/>
        </w:rPr>
        <w:t>Zhang</w:t>
      </w:r>
      <w:r>
        <w:rPr>
          <w:rFonts w:ascii="Times New Roman" w:hAnsi="Times New Roman" w:cs="Times New Roman"/>
          <w:color w:val="000000"/>
          <w:vertAlign w:val="superscript"/>
        </w:rPr>
        <w:t>2,3,#</w:t>
      </w:r>
      <w:r>
        <w:rPr>
          <w:rFonts w:ascii="Times New Roman" w:hAnsi="Times New Roman" w:cs="Times New Roman"/>
          <w:color w:val="000000"/>
        </w:rPr>
        <w:t>, Hansen Cheng</w:t>
      </w:r>
      <w:r>
        <w:rPr>
          <w:rFonts w:ascii="Times New Roman" w:hAnsi="Times New Roman" w:cs="Times New Roman"/>
          <w:color w:val="000000"/>
          <w:vertAlign w:val="superscript"/>
        </w:rPr>
        <w:t>1</w:t>
      </w:r>
      <w:r>
        <w:rPr>
          <w:rFonts w:ascii="Times New Roman" w:hAnsi="Times New Roman" w:cs="Times New Roman"/>
          <w:color w:val="000000"/>
        </w:rPr>
        <w:t xml:space="preserve">, </w:t>
      </w:r>
      <w:proofErr w:type="spellStart"/>
      <w:r>
        <w:rPr>
          <w:rFonts w:ascii="Times New Roman" w:hAnsi="Times New Roman" w:cs="Times New Roman"/>
          <w:color w:val="000000"/>
        </w:rPr>
        <w:t>Wenhao</w:t>
      </w:r>
      <w:proofErr w:type="spellEnd"/>
      <w:r>
        <w:rPr>
          <w:rFonts w:ascii="Times New Roman" w:hAnsi="Times New Roman" w:cs="Times New Roman"/>
          <w:color w:val="000000"/>
        </w:rPr>
        <w:t xml:space="preserve"> Ma</w:t>
      </w:r>
      <w:bookmarkStart w:id="2" w:name="OLE_LINK43"/>
      <w:bookmarkStart w:id="3" w:name="OLE_LINK44"/>
      <w:r>
        <w:rPr>
          <w:rFonts w:ascii="Times New Roman" w:hAnsi="Times New Roman" w:cs="Times New Roman"/>
          <w:color w:val="000000"/>
          <w:vertAlign w:val="superscript"/>
        </w:rPr>
        <w:t>1</w:t>
      </w:r>
      <w:bookmarkEnd w:id="2"/>
      <w:bookmarkEnd w:id="3"/>
      <w:r>
        <w:rPr>
          <w:rFonts w:ascii="Times New Roman" w:hAnsi="Times New Roman" w:cs="Times New Roman"/>
          <w:color w:val="000000"/>
        </w:rPr>
        <w:t>,</w:t>
      </w:r>
      <w:r w:rsidRPr="003D6278">
        <w:rPr>
          <w:rFonts w:ascii="Times New Roman" w:hAnsi="Times New Roman" w:cs="Times New Roman"/>
          <w:color w:val="000000"/>
        </w:rPr>
        <w:t>Guangchao Bao</w:t>
      </w:r>
      <w:r w:rsidRPr="003D6278">
        <w:rPr>
          <w:rFonts w:ascii="Times New Roman" w:hAnsi="Times New Roman" w:cs="Times New Roman"/>
          <w:color w:val="000000"/>
          <w:vertAlign w:val="superscript"/>
        </w:rPr>
        <w:t>1</w:t>
      </w:r>
      <w:r>
        <w:rPr>
          <w:rFonts w:ascii="Times New Roman" w:hAnsi="Times New Roman" w:cs="Times New Roman"/>
          <w:color w:val="000000"/>
        </w:rPr>
        <w:t xml:space="preserve">, </w:t>
      </w:r>
      <w:proofErr w:type="spellStart"/>
      <w:r>
        <w:rPr>
          <w:rFonts w:ascii="Times New Roman" w:hAnsi="Times New Roman" w:cs="Times New Roman"/>
          <w:color w:val="000000"/>
        </w:rPr>
        <w:t>Liting</w:t>
      </w:r>
      <w:proofErr w:type="spellEnd"/>
      <w:r>
        <w:rPr>
          <w:rFonts w:ascii="Times New Roman" w:hAnsi="Times New Roman" w:cs="Times New Roman"/>
          <w:color w:val="000000"/>
        </w:rPr>
        <w:t xml:space="preserve"> Dong</w:t>
      </w:r>
      <w:r>
        <w:rPr>
          <w:rFonts w:ascii="Times New Roman" w:hAnsi="Times New Roman" w:cs="Times New Roman"/>
          <w:color w:val="000000"/>
          <w:vertAlign w:val="superscript"/>
        </w:rPr>
        <w:t>1</w:t>
      </w:r>
      <w:r>
        <w:rPr>
          <w:rFonts w:ascii="Times New Roman" w:hAnsi="Times New Roman" w:cs="Times New Roman"/>
          <w:color w:val="000000"/>
        </w:rPr>
        <w:t xml:space="preserve">, </w:t>
      </w:r>
      <w:proofErr w:type="spellStart"/>
      <w:r>
        <w:rPr>
          <w:rFonts w:ascii="Times New Roman" w:hAnsi="Times New Roman" w:cs="Times New Roman"/>
          <w:color w:val="000000"/>
        </w:rPr>
        <w:t>Yixiong</w:t>
      </w:r>
      <w:proofErr w:type="spellEnd"/>
      <w:r>
        <w:rPr>
          <w:rFonts w:ascii="Times New Roman" w:hAnsi="Times New Roman" w:cs="Times New Roman"/>
          <w:color w:val="000000"/>
        </w:rPr>
        <w:t xml:space="preserve"> Gou</w:t>
      </w:r>
      <w:r>
        <w:rPr>
          <w:rFonts w:ascii="Times New Roman" w:hAnsi="Times New Roman" w:cs="Times New Roman"/>
          <w:color w:val="000000"/>
          <w:vertAlign w:val="superscript"/>
        </w:rPr>
        <w:t>1</w:t>
      </w:r>
      <w:r>
        <w:rPr>
          <w:rFonts w:ascii="Times New Roman" w:hAnsi="Times New Roman" w:cs="Times New Roman"/>
          <w:color w:val="000000"/>
        </w:rPr>
        <w:t>, Jian Yang</w:t>
      </w:r>
      <w:r>
        <w:rPr>
          <w:rFonts w:ascii="Times New Roman" w:hAnsi="Times New Roman" w:cs="Times New Roman"/>
          <w:color w:val="000000"/>
          <w:vertAlign w:val="superscript"/>
        </w:rPr>
        <w:t>1,*</w:t>
      </w:r>
      <w:r>
        <w:rPr>
          <w:rFonts w:ascii="Times New Roman" w:hAnsi="Times New Roman" w:cs="Times New Roman"/>
          <w:color w:val="000000"/>
        </w:rPr>
        <w:t xml:space="preserve">, </w:t>
      </w:r>
      <w:proofErr w:type="spellStart"/>
      <w:r>
        <w:rPr>
          <w:rFonts w:ascii="Times New Roman" w:hAnsi="Times New Roman" w:cs="Times New Roman"/>
          <w:color w:val="000000"/>
        </w:rPr>
        <w:t>Haoyang</w:t>
      </w:r>
      <w:proofErr w:type="spellEnd"/>
      <w:r>
        <w:rPr>
          <w:rFonts w:ascii="Times New Roman" w:hAnsi="Times New Roman" w:cs="Times New Roman"/>
          <w:color w:val="000000"/>
        </w:rPr>
        <w:t xml:space="preserve"> Cai</w:t>
      </w:r>
      <w:r>
        <w:rPr>
          <w:rFonts w:ascii="Times New Roman" w:hAnsi="Times New Roman" w:cs="Times New Roman"/>
          <w:color w:val="000000"/>
          <w:vertAlign w:val="superscript"/>
        </w:rPr>
        <w:t>1,*</w:t>
      </w:r>
    </w:p>
    <w:p w:rsidR="009E7902" w:rsidRDefault="004723EB"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b/>
          <w:bCs/>
        </w:rPr>
      </w:pPr>
      <w:r>
        <w:rPr>
          <w:rFonts w:ascii="Times New Roman" w:hAnsi="Times New Roman"/>
          <w:b/>
          <w:bCs/>
          <w:noProof/>
        </w:rPr>
        <w:drawing>
          <wp:inline distT="0" distB="0" distL="0" distR="0">
            <wp:extent cx="5273675" cy="7242771"/>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1.jpg"/>
                    <pic:cNvPicPr/>
                  </pic:nvPicPr>
                  <pic:blipFill rotWithShape="1">
                    <a:blip r:embed="rId4" cstate="print">
                      <a:extLst>
                        <a:ext uri="{28A0092B-C50C-407E-A947-70E740481C1C}">
                          <a14:useLocalDpi xmlns:a14="http://schemas.microsoft.com/office/drawing/2010/main" val="0"/>
                        </a:ext>
                      </a:extLst>
                    </a:blip>
                    <a:srcRect t="427" b="2407"/>
                    <a:stretch/>
                  </pic:blipFill>
                  <pic:spPr bwMode="auto">
                    <a:xfrm>
                      <a:off x="0" y="0"/>
                      <a:ext cx="5274310" cy="7243643"/>
                    </a:xfrm>
                    <a:prstGeom prst="rect">
                      <a:avLst/>
                    </a:prstGeom>
                    <a:ln>
                      <a:noFill/>
                    </a:ln>
                    <a:extLst>
                      <a:ext uri="{53640926-AAD7-44D8-BBD7-CCE9431645EC}">
                        <a14:shadowObscured xmlns:a14="http://schemas.microsoft.com/office/drawing/2010/main"/>
                      </a:ext>
                    </a:extLst>
                  </pic:spPr>
                </pic:pic>
              </a:graphicData>
            </a:graphic>
          </wp:inline>
        </w:drawing>
      </w:r>
    </w:p>
    <w:p w:rsidR="009E7902" w:rsidRDefault="009E7902"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hAnsi="Helvetica"/>
          <w:sz w:val="18"/>
          <w:szCs w:val="18"/>
        </w:rPr>
      </w:pPr>
      <w:r>
        <w:rPr>
          <w:rFonts w:ascii="Times New Roman" w:hAnsi="Times New Roman"/>
          <w:b/>
          <w:bCs/>
        </w:rPr>
        <w:lastRenderedPageBreak/>
        <w:t>Figure S1. The main interface of SingleScan.</w:t>
      </w:r>
      <w:r>
        <w:rPr>
          <w:rFonts w:ascii="Times New Roman" w:hAnsi="Times New Roman"/>
        </w:rPr>
        <w:t xml:space="preserve"> (A) The ‘Home’ page of SingleScan. (B)’Search by Tools’ page shows the quick view of tools. (C) The ‘Browser’ page shows the pipelines of single-cell data analysis. (D) Statistical analysis. (E) The ‘Search by paper’ page shows the details of each research, including sample number, clinical information, etc. (F) The ‘Search by function’ page shows the tools of each functional module.</w:t>
      </w:r>
    </w:p>
    <w:p w:rsidR="009E7902" w:rsidRDefault="009E7902"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lang w:eastAsia="en-US"/>
        </w:rPr>
      </w:pPr>
    </w:p>
    <w:p w:rsidR="004723EB" w:rsidRDefault="004723EB"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lang w:eastAsia="en-US"/>
        </w:rPr>
      </w:pPr>
      <w:r>
        <w:rPr>
          <w:rFonts w:ascii="Times New Roman" w:hAnsi="Times New Roman" w:cs="Times New Roman"/>
          <w:noProof/>
          <w:lang w:eastAsia="en-US"/>
        </w:rPr>
        <w:lastRenderedPageBreak/>
        <w:drawing>
          <wp:inline distT="0" distB="0" distL="0" distR="0">
            <wp:extent cx="5274310" cy="7343582"/>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S2.jpg"/>
                    <pic:cNvPicPr/>
                  </pic:nvPicPr>
                  <pic:blipFill rotWithShape="1">
                    <a:blip r:embed="rId5" cstate="print">
                      <a:extLst>
                        <a:ext uri="{28A0092B-C50C-407E-A947-70E740481C1C}">
                          <a14:useLocalDpi xmlns:a14="http://schemas.microsoft.com/office/drawing/2010/main" val="0"/>
                        </a:ext>
                      </a:extLst>
                    </a:blip>
                    <a:srcRect t="1493"/>
                    <a:stretch/>
                  </pic:blipFill>
                  <pic:spPr bwMode="auto">
                    <a:xfrm>
                      <a:off x="0" y="0"/>
                      <a:ext cx="5274310" cy="7343582"/>
                    </a:xfrm>
                    <a:prstGeom prst="rect">
                      <a:avLst/>
                    </a:prstGeom>
                    <a:ln>
                      <a:noFill/>
                    </a:ln>
                    <a:extLst>
                      <a:ext uri="{53640926-AAD7-44D8-BBD7-CCE9431645EC}">
                        <a14:shadowObscured xmlns:a14="http://schemas.microsoft.com/office/drawing/2010/main"/>
                      </a:ext>
                    </a:extLst>
                  </pic:spPr>
                </pic:pic>
              </a:graphicData>
            </a:graphic>
          </wp:inline>
        </w:drawing>
      </w:r>
      <w:bookmarkStart w:id="4" w:name="_GoBack"/>
      <w:bookmarkEnd w:id="4"/>
    </w:p>
    <w:p w:rsidR="009E7902" w:rsidRDefault="009E7902"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Helvetica" w:hAnsi="Helvetica"/>
          <w:sz w:val="18"/>
          <w:szCs w:val="18"/>
        </w:rPr>
      </w:pPr>
      <w:r>
        <w:rPr>
          <w:rFonts w:ascii="Times New Roman" w:hAnsi="Times New Roman"/>
          <w:b/>
          <w:bCs/>
        </w:rPr>
        <w:t>Figure S2. Details of a functional module and its associated benchmark repertoires.</w:t>
      </w:r>
      <w:r>
        <w:rPr>
          <w:rFonts w:ascii="Times New Roman" w:hAnsi="Times New Roman"/>
        </w:rPr>
        <w:t xml:space="preserve"> (A) single-cell tools with different modules. (B) A quick view of ‘benchmark’ page. (C) A benchmark of single-cell methods for each tool category. (D) Detailed information about a tool.</w:t>
      </w:r>
    </w:p>
    <w:p w:rsidR="009E7902" w:rsidRDefault="009E7902"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pPr>
    </w:p>
    <w:p w:rsidR="004723EB" w:rsidRDefault="004723EB"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hint="eastAsia"/>
        </w:rPr>
      </w:pPr>
      <w:r>
        <w:rPr>
          <w:rFonts w:hint="eastAsia"/>
          <w:noProof/>
        </w:rPr>
        <w:lastRenderedPageBreak/>
        <w:drawing>
          <wp:inline distT="0" distB="0" distL="0" distR="0">
            <wp:extent cx="5274165" cy="6694998"/>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3.jpg"/>
                    <pic:cNvPicPr/>
                  </pic:nvPicPr>
                  <pic:blipFill rotWithShape="1">
                    <a:blip r:embed="rId6" cstate="print">
                      <a:extLst>
                        <a:ext uri="{28A0092B-C50C-407E-A947-70E740481C1C}">
                          <a14:useLocalDpi xmlns:a14="http://schemas.microsoft.com/office/drawing/2010/main" val="0"/>
                        </a:ext>
                      </a:extLst>
                    </a:blip>
                    <a:srcRect t="5866" b="4325"/>
                    <a:stretch/>
                  </pic:blipFill>
                  <pic:spPr bwMode="auto">
                    <a:xfrm>
                      <a:off x="0" y="0"/>
                      <a:ext cx="5274310" cy="6695182"/>
                    </a:xfrm>
                    <a:prstGeom prst="rect">
                      <a:avLst/>
                    </a:prstGeom>
                    <a:ln>
                      <a:noFill/>
                    </a:ln>
                    <a:extLst>
                      <a:ext uri="{53640926-AAD7-44D8-BBD7-CCE9431645EC}">
                        <a14:shadowObscured xmlns:a14="http://schemas.microsoft.com/office/drawing/2010/main"/>
                      </a:ext>
                    </a:extLst>
                  </pic:spPr>
                </pic:pic>
              </a:graphicData>
            </a:graphic>
          </wp:inline>
        </w:drawing>
      </w:r>
    </w:p>
    <w:p w:rsidR="009E7902" w:rsidRPr="00107FA2" w:rsidRDefault="009E7902"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rPr>
      </w:pPr>
      <w:r w:rsidRPr="00107FA2">
        <w:rPr>
          <w:rFonts w:hint="eastAsia"/>
          <w:b/>
          <w:bCs/>
        </w:rPr>
        <w:t>F</w:t>
      </w:r>
      <w:r w:rsidRPr="00107FA2">
        <w:rPr>
          <w:b/>
          <w:bCs/>
        </w:rPr>
        <w:t xml:space="preserve">igure S3. </w:t>
      </w:r>
      <w:r w:rsidRPr="00107FA2">
        <w:rPr>
          <w:rFonts w:ascii="Times New Roman" w:hAnsi="Times New Roman"/>
          <w:b/>
          <w:bCs/>
        </w:rPr>
        <w:t>Tools are sorted by citations separately within each functional group</w:t>
      </w:r>
      <w:r w:rsidRPr="00107FA2">
        <w:rPr>
          <w:rFonts w:ascii="Times New Roman" w:hAnsi="Times New Roman"/>
        </w:rPr>
        <w:t xml:space="preserve"> (the remaining 15 functions in </w:t>
      </w:r>
      <w:r w:rsidRPr="003F376F">
        <w:rPr>
          <w:rFonts w:ascii="Times New Roman" w:hAnsi="Times New Roman"/>
          <w:b/>
          <w:bCs/>
        </w:rPr>
        <w:t>Figure 3C</w:t>
      </w:r>
      <w:r w:rsidRPr="00107FA2">
        <w:rPr>
          <w:rFonts w:ascii="Times New Roman" w:hAnsi="Times New Roman"/>
        </w:rPr>
        <w:t>).</w:t>
      </w:r>
    </w:p>
    <w:p w:rsidR="009E7902" w:rsidRDefault="009E7902"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rPr>
      </w:pPr>
    </w:p>
    <w:p w:rsidR="004723EB" w:rsidRPr="00107FA2" w:rsidRDefault="004723EB"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hint="eastAsia"/>
        </w:rPr>
      </w:pPr>
      <w:r>
        <w:rPr>
          <w:rFonts w:ascii="Times New Roman" w:hAnsi="Times New Roman" w:hint="eastAsia"/>
          <w:noProof/>
        </w:rPr>
        <w:lastRenderedPageBreak/>
        <w:drawing>
          <wp:inline distT="0" distB="0" distL="0" distR="0">
            <wp:extent cx="5274310" cy="285940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S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859405"/>
                    </a:xfrm>
                    <a:prstGeom prst="rect">
                      <a:avLst/>
                    </a:prstGeom>
                  </pic:spPr>
                </pic:pic>
              </a:graphicData>
            </a:graphic>
          </wp:inline>
        </w:drawing>
      </w:r>
    </w:p>
    <w:p w:rsidR="009E7902" w:rsidRDefault="009E7902"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b/>
          <w:bCs/>
        </w:rPr>
      </w:pPr>
      <w:r w:rsidRPr="00107FA2">
        <w:rPr>
          <w:rFonts w:ascii="Times New Roman" w:hAnsi="Times New Roman" w:hint="eastAsia"/>
          <w:b/>
          <w:bCs/>
        </w:rPr>
        <w:t>Figure</w:t>
      </w:r>
      <w:r w:rsidRPr="00107FA2">
        <w:rPr>
          <w:rFonts w:ascii="Times New Roman" w:hAnsi="Times New Roman"/>
          <w:b/>
          <w:bCs/>
        </w:rPr>
        <w:t xml:space="preserve"> S4. An example of ‘Benchmark’ page.</w:t>
      </w:r>
    </w:p>
    <w:p w:rsidR="004723EB" w:rsidRDefault="004723EB"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b/>
          <w:bCs/>
        </w:rPr>
      </w:pPr>
    </w:p>
    <w:p w:rsidR="004723EB" w:rsidRPr="002D4C86" w:rsidRDefault="004723EB"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hint="eastAsia"/>
          <w:b/>
          <w:bCs/>
        </w:rPr>
      </w:pPr>
      <w:r>
        <w:rPr>
          <w:b/>
          <w:bCs/>
          <w:noProof/>
        </w:rPr>
        <w:drawing>
          <wp:inline distT="0" distB="0" distL="0" distR="0">
            <wp:extent cx="3537158" cy="3546282"/>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S5.jpg"/>
                    <pic:cNvPicPr/>
                  </pic:nvPicPr>
                  <pic:blipFill rotWithShape="1">
                    <a:blip r:embed="rId8" cstate="print">
                      <a:extLst>
                        <a:ext uri="{28A0092B-C50C-407E-A947-70E740481C1C}">
                          <a14:useLocalDpi xmlns:a14="http://schemas.microsoft.com/office/drawing/2010/main" val="0"/>
                        </a:ext>
                      </a:extLst>
                    </a:blip>
                    <a:srcRect t="14399" b="14669"/>
                    <a:stretch/>
                  </pic:blipFill>
                  <pic:spPr bwMode="auto">
                    <a:xfrm>
                      <a:off x="0" y="0"/>
                      <a:ext cx="3541615" cy="3550751"/>
                    </a:xfrm>
                    <a:prstGeom prst="rect">
                      <a:avLst/>
                    </a:prstGeom>
                    <a:ln>
                      <a:noFill/>
                    </a:ln>
                    <a:extLst>
                      <a:ext uri="{53640926-AAD7-44D8-BBD7-CCE9431645EC}">
                        <a14:shadowObscured xmlns:a14="http://schemas.microsoft.com/office/drawing/2010/main"/>
                      </a:ext>
                    </a:extLst>
                  </pic:spPr>
                </pic:pic>
              </a:graphicData>
            </a:graphic>
          </wp:inline>
        </w:drawing>
      </w:r>
    </w:p>
    <w:p w:rsidR="009E7902" w:rsidRPr="00840AF1" w:rsidRDefault="009E7902" w:rsidP="009E790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b/>
          <w:bCs/>
        </w:rPr>
      </w:pPr>
      <w:r>
        <w:rPr>
          <w:rFonts w:ascii="Times New Roman" w:hAnsi="Times New Roman" w:cs="Times New Roman"/>
          <w:b/>
          <w:bCs/>
        </w:rPr>
        <w:t>Figure S5. Number of publications on disease.</w:t>
      </w:r>
    </w:p>
    <w:p w:rsidR="006A5BAD" w:rsidRDefault="006A5BAD" w:rsidP="00FC46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b/>
          <w:bCs/>
        </w:rPr>
      </w:pPr>
    </w:p>
    <w:p w:rsidR="006A5BAD" w:rsidRDefault="006A5BAD" w:rsidP="00FC46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b/>
          <w:bCs/>
        </w:rPr>
      </w:pPr>
    </w:p>
    <w:p w:rsidR="009E7902" w:rsidRPr="004723EB" w:rsidRDefault="009E7902" w:rsidP="00FC46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hint="eastAsia"/>
          <w:b/>
          <w:bCs/>
        </w:rPr>
      </w:pPr>
    </w:p>
    <w:p w:rsidR="009E7902" w:rsidRDefault="009E7902" w:rsidP="00FC46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b/>
          <w:bCs/>
        </w:rPr>
      </w:pPr>
    </w:p>
    <w:p w:rsidR="005B2138" w:rsidRDefault="005B2138" w:rsidP="00FC46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b/>
          <w:bCs/>
        </w:rPr>
      </w:pPr>
    </w:p>
    <w:p w:rsidR="005B2138" w:rsidRDefault="005B2138" w:rsidP="00FC46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hint="eastAsia"/>
          <w:b/>
          <w:bCs/>
        </w:rPr>
      </w:pPr>
    </w:p>
    <w:p w:rsidR="00FC4658" w:rsidRDefault="00FC4658" w:rsidP="00FC46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b/>
          <w:bCs/>
        </w:rPr>
      </w:pPr>
      <w:r>
        <w:rPr>
          <w:rFonts w:ascii="Times New Roman" w:hAnsi="Times New Roman" w:cs="Times New Roman" w:hint="eastAsia"/>
          <w:b/>
          <w:bCs/>
        </w:rPr>
        <w:lastRenderedPageBreak/>
        <w:t>T</w:t>
      </w:r>
      <w:r>
        <w:rPr>
          <w:rFonts w:ascii="Times New Roman" w:hAnsi="Times New Roman" w:cs="Times New Roman"/>
          <w:b/>
          <w:bCs/>
        </w:rPr>
        <w:t>able S1. The description of function modules</w:t>
      </w:r>
    </w:p>
    <w:tbl>
      <w:tblPr>
        <w:tblStyle w:val="a3"/>
        <w:tblW w:w="0" w:type="auto"/>
        <w:tblLook w:val="04A0" w:firstRow="1" w:lastRow="0" w:firstColumn="1" w:lastColumn="0" w:noHBand="0" w:noVBand="1"/>
      </w:tblPr>
      <w:tblGrid>
        <w:gridCol w:w="2405"/>
        <w:gridCol w:w="5891"/>
      </w:tblGrid>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b/>
                <w:bCs/>
                <w:color w:val="000000"/>
                <w:sz w:val="24"/>
                <w:szCs w:val="36"/>
                <w:lang w:bidi="ar-SA"/>
              </w:rPr>
            </w:pPr>
            <w:r w:rsidRPr="00FC4658">
              <w:rPr>
                <w:rFonts w:ascii="Times New Roman" w:eastAsia="DengXian" w:hAnsi="Times New Roman" w:cs="Times New Roman"/>
                <w:b/>
                <w:bCs/>
                <w:color w:val="000000"/>
                <w:sz w:val="24"/>
                <w:szCs w:val="36"/>
              </w:rPr>
              <w:t>Functions</w:t>
            </w:r>
          </w:p>
        </w:tc>
        <w:tc>
          <w:tcPr>
            <w:tcW w:w="5891" w:type="dxa"/>
          </w:tcPr>
          <w:p w:rsidR="00FC4658" w:rsidRPr="00FC4658" w:rsidRDefault="00FC4658" w:rsidP="00FC29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rPr>
                <w:rFonts w:ascii="Times New Roman" w:hAnsi="Times New Roman" w:cs="Times New Roman"/>
                <w:b/>
                <w:bCs/>
                <w:sz w:val="24"/>
                <w:szCs w:val="36"/>
              </w:rPr>
            </w:pPr>
            <w:r w:rsidRPr="00FC4658">
              <w:rPr>
                <w:rFonts w:ascii="Times New Roman" w:hAnsi="Times New Roman" w:cs="Times New Roman"/>
                <w:b/>
                <w:bCs/>
                <w:sz w:val="24"/>
                <w:szCs w:val="36"/>
              </w:rPr>
              <w:t>Description</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Alignment</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Genome alignment, align reads to a reference genome</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UMIs</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Processing Unique Molecular Identifiers (UMI) sequence</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Quantification</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Quantification from reads to gene expression (matrix)</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Quality Control</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Remove low-quality cells based on setting conditions</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cell cycle</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Remove the impact of cycling cells on analysis</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Filter Gene</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Remove lowly-expressed genes</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Gene Expression</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 xml:space="preserve">Inferring gene expression programs from single-cell </w:t>
            </w:r>
            <w:r w:rsidRPr="00FC4658">
              <w:rPr>
                <w:rFonts w:ascii="Times New Roman" w:eastAsia="DengXian" w:hAnsi="Times New Roman" w:cs="Times New Roman" w:hint="eastAsia"/>
                <w:color w:val="000000"/>
                <w:sz w:val="24"/>
                <w:szCs w:val="36"/>
              </w:rPr>
              <w:t>sequenc</w:t>
            </w:r>
            <w:r w:rsidRPr="00FC4658">
              <w:rPr>
                <w:rFonts w:ascii="Times New Roman" w:eastAsia="DengXian" w:hAnsi="Times New Roman" w:cs="Times New Roman"/>
                <w:color w:val="000000"/>
                <w:sz w:val="24"/>
                <w:szCs w:val="36"/>
              </w:rPr>
              <w:t>ing data</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proofErr w:type="spellStart"/>
            <w:r w:rsidRPr="00FC4658">
              <w:rPr>
                <w:rFonts w:ascii="Times New Roman" w:eastAsia="DengXian" w:hAnsi="Times New Roman" w:cs="Times New Roman"/>
                <w:color w:val="000000"/>
                <w:sz w:val="24"/>
                <w:szCs w:val="36"/>
              </w:rPr>
              <w:t>Normalisation</w:t>
            </w:r>
            <w:proofErr w:type="spellEnd"/>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Normalization addresses unwanted variation by e.g. scaling count data to obtain correct relative gene expression abundances between cells</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Feature Selection</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Filtered to keep only genes that are “informative” of the variability in data. Highly variable genes (HVGs) are often used</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Identification</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Identify cell types according to a reference dataset</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Integration</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Integration of single-cell sequencing datasets with other single-cell data</w:t>
            </w:r>
          </w:p>
        </w:tc>
      </w:tr>
      <w:tr w:rsidR="00FC4658" w:rsidTr="00FC296E">
        <w:tc>
          <w:tcPr>
            <w:tcW w:w="2405" w:type="dxa"/>
          </w:tcPr>
          <w:p w:rsidR="00FC4658" w:rsidRPr="00FC4658" w:rsidRDefault="00175A51" w:rsidP="00FC296E">
            <w:pPr>
              <w:widowControl/>
              <w:suppressAutoHyphens w:val="0"/>
              <w:rPr>
                <w:rFonts w:ascii="Times New Roman" w:eastAsia="DengXian" w:hAnsi="Times New Roman" w:cs="Times New Roman"/>
                <w:color w:val="000000"/>
                <w:sz w:val="24"/>
                <w:szCs w:val="36"/>
                <w:lang w:bidi="ar-SA"/>
              </w:rPr>
            </w:pPr>
            <w:r>
              <w:rPr>
                <w:rFonts w:ascii="Times New Roman" w:eastAsia="DengXian" w:hAnsi="Times New Roman" w:cs="Times New Roman"/>
                <w:color w:val="000000"/>
                <w:sz w:val="24"/>
                <w:szCs w:val="36"/>
              </w:rPr>
              <w:t>N</w:t>
            </w:r>
            <w:r>
              <w:rPr>
                <w:rFonts w:ascii="Times New Roman" w:eastAsia="DengXian" w:hAnsi="Times New Roman" w:cs="Times New Roman" w:hint="eastAsia"/>
                <w:color w:val="000000"/>
                <w:sz w:val="24"/>
                <w:szCs w:val="36"/>
              </w:rPr>
              <w:t>etworks</w:t>
            </w:r>
          </w:p>
        </w:tc>
        <w:tc>
          <w:tcPr>
            <w:tcW w:w="5891" w:type="dxa"/>
          </w:tcPr>
          <w:p w:rsidR="00FC4658" w:rsidRPr="00FC4658" w:rsidRDefault="004E3E56" w:rsidP="00FC296E">
            <w:pPr>
              <w:widowControl/>
              <w:suppressAutoHyphens w:val="0"/>
              <w:rPr>
                <w:rFonts w:ascii="Times New Roman" w:eastAsia="DengXian" w:hAnsi="Times New Roman" w:cs="Times New Roman"/>
                <w:color w:val="000000"/>
                <w:sz w:val="24"/>
                <w:szCs w:val="36"/>
                <w:lang w:bidi="ar-SA"/>
              </w:rPr>
            </w:pPr>
            <w:r>
              <w:rPr>
                <w:rFonts w:ascii="Times New Roman" w:eastAsia="DengXian" w:hAnsi="Times New Roman" w:cs="Times New Roman"/>
                <w:color w:val="000000"/>
                <w:sz w:val="24"/>
                <w:szCs w:val="36"/>
              </w:rPr>
              <w:t>C</w:t>
            </w:r>
            <w:r w:rsidR="00175A51">
              <w:rPr>
                <w:rFonts w:ascii="Times New Roman" w:eastAsia="DengXian" w:hAnsi="Times New Roman" w:cs="Times New Roman"/>
                <w:color w:val="000000"/>
                <w:sz w:val="24"/>
                <w:szCs w:val="36"/>
              </w:rPr>
              <w:t>o-regulated gene networks analysis</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Dimensionality Reduction</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Project cells from high-dimensional space to low-dimensional space</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Clustering</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Cell grouping based on expression profiles</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Marker Genes</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Calculate the representative genes of each cell-type after clustering</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Differential Expression</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Test for differential expression across cell-types</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Trajectory</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Trajectory analysis the data are regarded as a snapshot of a dynamic process</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Imputation</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 xml:space="preserve">Estimation of expression observed zeros in the gene-cell expression matrix of the single-cell </w:t>
            </w:r>
            <w:r w:rsidRPr="00FC4658">
              <w:rPr>
                <w:rFonts w:ascii="Times New Roman" w:eastAsia="DengXian" w:hAnsi="Times New Roman" w:cs="Times New Roman" w:hint="eastAsia"/>
                <w:color w:val="000000"/>
                <w:sz w:val="24"/>
                <w:szCs w:val="36"/>
              </w:rPr>
              <w:t>sequenc</w:t>
            </w:r>
            <w:r w:rsidRPr="00FC4658">
              <w:rPr>
                <w:rFonts w:ascii="Times New Roman" w:eastAsia="DengXian" w:hAnsi="Times New Roman" w:cs="Times New Roman"/>
                <w:color w:val="000000"/>
                <w:sz w:val="24"/>
                <w:szCs w:val="36"/>
              </w:rPr>
              <w:t>ing datasets</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Annotation</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Automatically annotate the cell type according to some database</w:t>
            </w:r>
          </w:p>
        </w:tc>
      </w:tr>
      <w:tr w:rsidR="00FC4658" w:rsidTr="00FC296E">
        <w:tc>
          <w:tcPr>
            <w:tcW w:w="2405"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Visualization</w:t>
            </w:r>
          </w:p>
        </w:tc>
        <w:tc>
          <w:tcPr>
            <w:tcW w:w="5891" w:type="dxa"/>
          </w:tcPr>
          <w:p w:rsidR="00FC4658" w:rsidRPr="00FC4658" w:rsidRDefault="00FC4658" w:rsidP="00FC296E">
            <w:pPr>
              <w:widowControl/>
              <w:suppressAutoHyphens w:val="0"/>
              <w:rPr>
                <w:rFonts w:ascii="Times New Roman" w:eastAsia="DengXian" w:hAnsi="Times New Roman" w:cs="Times New Roman"/>
                <w:color w:val="000000"/>
                <w:sz w:val="24"/>
                <w:szCs w:val="36"/>
                <w:lang w:bidi="ar-SA"/>
              </w:rPr>
            </w:pPr>
            <w:r w:rsidRPr="00FC4658">
              <w:rPr>
                <w:rFonts w:ascii="Times New Roman" w:eastAsia="DengXian" w:hAnsi="Times New Roman" w:cs="Times New Roman"/>
                <w:color w:val="000000"/>
                <w:sz w:val="24"/>
                <w:szCs w:val="36"/>
              </w:rPr>
              <w:t xml:space="preserve">Visualizing the results of single-cell </w:t>
            </w:r>
            <w:r w:rsidRPr="00FC4658">
              <w:rPr>
                <w:rFonts w:ascii="Times New Roman" w:eastAsia="DengXian" w:hAnsi="Times New Roman" w:cs="Times New Roman" w:hint="eastAsia"/>
                <w:color w:val="000000"/>
                <w:sz w:val="24"/>
                <w:szCs w:val="36"/>
              </w:rPr>
              <w:t>sequenc</w:t>
            </w:r>
            <w:r w:rsidRPr="00FC4658">
              <w:rPr>
                <w:rFonts w:ascii="Times New Roman" w:eastAsia="DengXian" w:hAnsi="Times New Roman" w:cs="Times New Roman"/>
                <w:color w:val="000000"/>
                <w:sz w:val="24"/>
                <w:szCs w:val="36"/>
              </w:rPr>
              <w:t>ing data analysis</w:t>
            </w:r>
          </w:p>
        </w:tc>
      </w:tr>
    </w:tbl>
    <w:p w:rsidR="00820F55" w:rsidRPr="00FC4658" w:rsidRDefault="00820F55">
      <w:pPr>
        <w:rPr>
          <w:rFonts w:hint="eastAsia"/>
        </w:rPr>
      </w:pPr>
    </w:p>
    <w:sectPr w:rsidR="00820F55" w:rsidRPr="00FC4658">
      <w:pgSz w:w="11906" w:h="16838"/>
      <w:pgMar w:top="1440" w:right="1800" w:bottom="1440" w:left="1800"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正文 CS 字体)">
    <w:altName w:val="宋体"/>
    <w:panose1 w:val="020B0604020202020204"/>
    <w:charset w:val="86"/>
    <w:family w:val="roman"/>
    <w:pitch w:val="default"/>
  </w:font>
  <w:font w:name="Liberation Serif">
    <w:altName w:val="Times New Roman"/>
    <w:panose1 w:val="020B0604020202020204"/>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658"/>
    <w:rsid w:val="00040C8B"/>
    <w:rsid w:val="000478CE"/>
    <w:rsid w:val="00077093"/>
    <w:rsid w:val="00080BA4"/>
    <w:rsid w:val="0008461E"/>
    <w:rsid w:val="000946AE"/>
    <w:rsid w:val="000A1E99"/>
    <w:rsid w:val="000D6B95"/>
    <w:rsid w:val="00143C4E"/>
    <w:rsid w:val="0014427B"/>
    <w:rsid w:val="00151D56"/>
    <w:rsid w:val="001649C1"/>
    <w:rsid w:val="00175A51"/>
    <w:rsid w:val="00187D56"/>
    <w:rsid w:val="0019427C"/>
    <w:rsid w:val="0020589A"/>
    <w:rsid w:val="00224F5A"/>
    <w:rsid w:val="00232D8D"/>
    <w:rsid w:val="002523CB"/>
    <w:rsid w:val="00266988"/>
    <w:rsid w:val="00266AC6"/>
    <w:rsid w:val="002D21A6"/>
    <w:rsid w:val="0032483D"/>
    <w:rsid w:val="00343F57"/>
    <w:rsid w:val="00356E23"/>
    <w:rsid w:val="00392A9E"/>
    <w:rsid w:val="00395CAA"/>
    <w:rsid w:val="003A05A7"/>
    <w:rsid w:val="00443DF1"/>
    <w:rsid w:val="004612F4"/>
    <w:rsid w:val="00465E3D"/>
    <w:rsid w:val="004723EB"/>
    <w:rsid w:val="004D1E27"/>
    <w:rsid w:val="004E0DAD"/>
    <w:rsid w:val="004E3E56"/>
    <w:rsid w:val="005815D2"/>
    <w:rsid w:val="005B1F04"/>
    <w:rsid w:val="005B2138"/>
    <w:rsid w:val="005C37E8"/>
    <w:rsid w:val="005D0273"/>
    <w:rsid w:val="005D0BB5"/>
    <w:rsid w:val="005F5086"/>
    <w:rsid w:val="006065B1"/>
    <w:rsid w:val="006A4725"/>
    <w:rsid w:val="006A5BAD"/>
    <w:rsid w:val="006C0949"/>
    <w:rsid w:val="006C6353"/>
    <w:rsid w:val="007215D5"/>
    <w:rsid w:val="007347AE"/>
    <w:rsid w:val="00747DE5"/>
    <w:rsid w:val="007963D0"/>
    <w:rsid w:val="00820F55"/>
    <w:rsid w:val="00822CEE"/>
    <w:rsid w:val="008D2084"/>
    <w:rsid w:val="008D414B"/>
    <w:rsid w:val="00903B1B"/>
    <w:rsid w:val="0090478E"/>
    <w:rsid w:val="00944E6A"/>
    <w:rsid w:val="00982E9C"/>
    <w:rsid w:val="009A5B36"/>
    <w:rsid w:val="009E535B"/>
    <w:rsid w:val="009E7902"/>
    <w:rsid w:val="00A3435F"/>
    <w:rsid w:val="00A5224C"/>
    <w:rsid w:val="00A909C2"/>
    <w:rsid w:val="00AA5E49"/>
    <w:rsid w:val="00AC5F1D"/>
    <w:rsid w:val="00AF2DDD"/>
    <w:rsid w:val="00B478EE"/>
    <w:rsid w:val="00B80435"/>
    <w:rsid w:val="00B92D98"/>
    <w:rsid w:val="00BB69AF"/>
    <w:rsid w:val="00C03EB7"/>
    <w:rsid w:val="00C12FE1"/>
    <w:rsid w:val="00C4761B"/>
    <w:rsid w:val="00C543A5"/>
    <w:rsid w:val="00C95A3E"/>
    <w:rsid w:val="00D21F15"/>
    <w:rsid w:val="00D24666"/>
    <w:rsid w:val="00DA0779"/>
    <w:rsid w:val="00DD0BB1"/>
    <w:rsid w:val="00DF290D"/>
    <w:rsid w:val="00E007DD"/>
    <w:rsid w:val="00E21A78"/>
    <w:rsid w:val="00E239CD"/>
    <w:rsid w:val="00F30A3E"/>
    <w:rsid w:val="00FC4658"/>
    <w:rsid w:val="00FD6C3E"/>
    <w:rsid w:val="00FE57DB"/>
    <w:rsid w:val="00FF5B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F4B5080"/>
  <w15:chartTrackingRefBased/>
  <w15:docId w15:val="{D3EECA09-F394-7A40-A2DF-E5AEFCBD5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宋体" w:hAnsi="Helvetica" w:cs="Times New Roman (正文 CS 字体)"/>
        <w:kern w:val="2"/>
        <w:sz w:val="24"/>
        <w:szCs w:val="24"/>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C4658"/>
    <w:pPr>
      <w:widowControl w:val="0"/>
      <w:suppressAutoHyphens/>
    </w:pPr>
    <w:rPr>
      <w:rFonts w:ascii="Liberation Serif" w:eastAsia="Arial Unicode MS" w:hAnsi="Liberation Serif" w:cs="Arial Unicode MS"/>
      <w:color w:val="00000A"/>
      <w:kern w:val="0"/>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4658"/>
    <w:rPr>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703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429</Words>
  <Characters>2450</Characters>
  <Application>Microsoft Office Word</Application>
  <DocSecurity>0</DocSecurity>
  <Lines>20</Lines>
  <Paragraphs>5</Paragraphs>
  <ScaleCrop>false</ScaleCrop>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焜</dc:creator>
  <cp:keywords/>
  <dc:description/>
  <cp:lastModifiedBy>王 焜</cp:lastModifiedBy>
  <cp:revision>7</cp:revision>
  <dcterms:created xsi:type="dcterms:W3CDTF">2023-10-04T05:49:00Z</dcterms:created>
  <dcterms:modified xsi:type="dcterms:W3CDTF">2023-11-08T10:35:00Z</dcterms:modified>
</cp:coreProperties>
</file>