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BBF" w:rsidRDefault="00496BBF">
      <w:pPr>
        <w:pBdr>
          <w:top w:val="nil"/>
          <w:left w:val="nil"/>
          <w:bottom w:val="nil"/>
          <w:right w:val="nil"/>
          <w:between w:val="nil"/>
        </w:pBdr>
        <w:spacing w:before="210" w:after="10" w:line="14" w:lineRule="auto"/>
        <w:jc w:val="both"/>
        <w:rPr>
          <w:rFonts w:ascii="Helvetica Neue" w:eastAsia="Helvetica Neue" w:hAnsi="Helvetica Neue" w:cs="Helvetica Neue"/>
          <w:b/>
          <w:smallCaps/>
          <w:sz w:val="16"/>
          <w:szCs w:val="16"/>
        </w:rPr>
      </w:pPr>
    </w:p>
    <w:p w:rsidR="00496BBF" w:rsidRDefault="00311192">
      <w:pPr>
        <w:spacing w:line="360" w:lineRule="auto"/>
        <w:ind w:left="72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SUPPLEMENTARY INFORMATION</w:t>
      </w:r>
    </w:p>
    <w:p w:rsidR="00496BBF" w:rsidRDefault="00311192">
      <w:pPr>
        <w:pStyle w:val="Title"/>
        <w:spacing w:line="240" w:lineRule="auto"/>
        <w:rPr>
          <w:sz w:val="34"/>
          <w:szCs w:val="34"/>
        </w:rPr>
      </w:pPr>
      <w:bookmarkStart w:id="0" w:name="_fcr59y32vb18" w:colFirst="0" w:colLast="0"/>
      <w:bookmarkEnd w:id="0"/>
      <w:proofErr w:type="spellStart"/>
      <w:r>
        <w:rPr>
          <w:sz w:val="34"/>
          <w:szCs w:val="34"/>
        </w:rPr>
        <w:t>AMRViz</w:t>
      </w:r>
      <w:proofErr w:type="spellEnd"/>
      <w:r>
        <w:rPr>
          <w:sz w:val="34"/>
          <w:szCs w:val="34"/>
        </w:rPr>
        <w:t xml:space="preserve"> enables seamless genomics analysis and visualization of antimicrobial resistance</w:t>
      </w:r>
    </w:p>
    <w:p w:rsidR="00496BBF" w:rsidRDefault="00496BBF">
      <w:pPr>
        <w:pStyle w:val="Title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" w:name="_e4zz20msl4gd" w:colFirst="0" w:colLast="0"/>
      <w:bookmarkEnd w:id="1"/>
    </w:p>
    <w:p w:rsidR="00496BBF" w:rsidRDefault="00496BBF">
      <w:pPr>
        <w:spacing w:before="100" w:after="52"/>
        <w:jc w:val="both"/>
        <w:rPr>
          <w:rFonts w:ascii="Helvetica Neue Light" w:eastAsia="Helvetica Neue Light" w:hAnsi="Helvetica Neue Light" w:cs="Helvetica Neue Light"/>
          <w:sz w:val="24"/>
          <w:szCs w:val="24"/>
        </w:rPr>
      </w:pPr>
    </w:p>
    <w:p w:rsidR="00496BBF" w:rsidRDefault="00496BBF">
      <w:pPr>
        <w:spacing w:before="100" w:after="52"/>
        <w:jc w:val="both"/>
        <w:rPr>
          <w:rFonts w:ascii="Helvetica Neue Light" w:eastAsia="Helvetica Neue Light" w:hAnsi="Helvetica Neue Light" w:cs="Helvetica Neue Light"/>
          <w:sz w:val="24"/>
          <w:szCs w:val="24"/>
        </w:rPr>
      </w:pPr>
    </w:p>
    <w:p w:rsidR="00496BBF" w:rsidRDefault="00496BBF">
      <w:pPr>
        <w:spacing w:before="100" w:after="52"/>
        <w:jc w:val="both"/>
        <w:rPr>
          <w:rFonts w:ascii="Helvetica Neue Light" w:eastAsia="Helvetica Neue Light" w:hAnsi="Helvetica Neue Light" w:cs="Helvetica Neue Light"/>
          <w:sz w:val="24"/>
          <w:szCs w:val="24"/>
        </w:rPr>
      </w:pPr>
    </w:p>
    <w:p w:rsidR="00496BBF" w:rsidRDefault="00496BBF">
      <w:pPr>
        <w:spacing w:after="40" w:line="276" w:lineRule="auto"/>
        <w:jc w:val="both"/>
        <w:rPr>
          <w:rFonts w:ascii="Helvetica Neue Light" w:eastAsia="Helvetica Neue Light" w:hAnsi="Helvetica Neue Light" w:cs="Helvetica Neue Light"/>
          <w:sz w:val="24"/>
          <w:szCs w:val="24"/>
        </w:rPr>
      </w:pPr>
    </w:p>
    <w:p w:rsidR="00496BBF" w:rsidRDefault="00496BBF">
      <w:pPr>
        <w:spacing w:after="40" w:line="276" w:lineRule="auto"/>
        <w:jc w:val="both"/>
        <w:rPr>
          <w:rFonts w:ascii="Helvetica Neue Light" w:eastAsia="Helvetica Neue Light" w:hAnsi="Helvetica Neue Light" w:cs="Helvetica Neue Light"/>
          <w:sz w:val="24"/>
          <w:szCs w:val="24"/>
        </w:rPr>
      </w:pPr>
      <w:bookmarkStart w:id="2" w:name="_GoBack"/>
      <w:bookmarkEnd w:id="2"/>
    </w:p>
    <w:p w:rsidR="00496BBF" w:rsidRDefault="00496BBF">
      <w:pPr>
        <w:spacing w:after="40" w:line="276" w:lineRule="auto"/>
        <w:jc w:val="both"/>
        <w:rPr>
          <w:rFonts w:ascii="Helvetica Neue Light" w:eastAsia="Helvetica Neue Light" w:hAnsi="Helvetica Neue Light" w:cs="Helvetica Neue Light"/>
          <w:sz w:val="24"/>
          <w:szCs w:val="24"/>
        </w:rPr>
      </w:pPr>
    </w:p>
    <w:p w:rsidR="00496BBF" w:rsidRDefault="00496BBF">
      <w:pPr>
        <w:spacing w:after="40" w:line="276" w:lineRule="auto"/>
        <w:jc w:val="both"/>
        <w:rPr>
          <w:rFonts w:ascii="Helvetica Neue Light" w:eastAsia="Helvetica Neue Light" w:hAnsi="Helvetica Neue Light" w:cs="Helvetica Neue Light"/>
          <w:sz w:val="24"/>
          <w:szCs w:val="24"/>
        </w:rPr>
      </w:pPr>
    </w:p>
    <w:p w:rsidR="00496BBF" w:rsidRDefault="00496BBF">
      <w:pPr>
        <w:spacing w:after="40" w:line="276" w:lineRule="auto"/>
        <w:jc w:val="both"/>
        <w:rPr>
          <w:rFonts w:ascii="Helvetica Neue Light" w:eastAsia="Helvetica Neue Light" w:hAnsi="Helvetica Neue Light" w:cs="Helvetica Neue Light"/>
          <w:sz w:val="24"/>
          <w:szCs w:val="24"/>
        </w:rPr>
      </w:pPr>
    </w:p>
    <w:p w:rsidR="00496BBF" w:rsidRDefault="00496BBF">
      <w:pPr>
        <w:spacing w:after="40" w:line="276" w:lineRule="auto"/>
        <w:jc w:val="both"/>
        <w:rPr>
          <w:rFonts w:ascii="Helvetica Neue Light" w:eastAsia="Helvetica Neue Light" w:hAnsi="Helvetica Neue Light" w:cs="Helvetica Neue Light"/>
          <w:sz w:val="24"/>
          <w:szCs w:val="24"/>
        </w:rPr>
      </w:pPr>
    </w:p>
    <w:p w:rsidR="00496BBF" w:rsidRDefault="00496BBF">
      <w:pPr>
        <w:spacing w:after="40" w:line="276" w:lineRule="auto"/>
        <w:jc w:val="both"/>
        <w:rPr>
          <w:rFonts w:ascii="Helvetica Neue Light" w:eastAsia="Helvetica Neue Light" w:hAnsi="Helvetica Neue Light" w:cs="Helvetica Neue Light"/>
          <w:sz w:val="24"/>
          <w:szCs w:val="24"/>
        </w:rPr>
      </w:pPr>
    </w:p>
    <w:p w:rsidR="00496BBF" w:rsidRDefault="00496BBF">
      <w:pPr>
        <w:spacing w:after="40" w:line="276" w:lineRule="auto"/>
        <w:jc w:val="both"/>
        <w:rPr>
          <w:rFonts w:ascii="Helvetica Neue Light" w:eastAsia="Helvetica Neue Light" w:hAnsi="Helvetica Neue Light" w:cs="Helvetica Neue Light"/>
          <w:sz w:val="24"/>
          <w:szCs w:val="24"/>
        </w:rPr>
      </w:pPr>
    </w:p>
    <w:p w:rsidR="00496BBF" w:rsidRDefault="00496BBF">
      <w:pPr>
        <w:spacing w:after="40" w:line="276" w:lineRule="auto"/>
        <w:jc w:val="both"/>
        <w:rPr>
          <w:rFonts w:ascii="Helvetica Neue Light" w:eastAsia="Helvetica Neue Light" w:hAnsi="Helvetica Neue Light" w:cs="Helvetica Neue Light"/>
          <w:sz w:val="24"/>
          <w:szCs w:val="24"/>
        </w:rPr>
      </w:pPr>
    </w:p>
    <w:p w:rsidR="00496BBF" w:rsidRDefault="00496BBF">
      <w:pPr>
        <w:spacing w:after="40" w:line="276" w:lineRule="auto"/>
        <w:jc w:val="both"/>
        <w:rPr>
          <w:rFonts w:ascii="Helvetica Neue Light" w:eastAsia="Helvetica Neue Light" w:hAnsi="Helvetica Neue Light" w:cs="Helvetica Neue Light"/>
          <w:sz w:val="24"/>
          <w:szCs w:val="24"/>
        </w:rPr>
      </w:pPr>
    </w:p>
    <w:p w:rsidR="00496BBF" w:rsidRDefault="00496BBF">
      <w:pPr>
        <w:spacing w:after="40"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496BBF" w:rsidRDefault="00496BBF">
      <w:pPr>
        <w:spacing w:after="40"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496BBF" w:rsidRDefault="00496BBF">
      <w:pPr>
        <w:spacing w:after="40"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496BBF" w:rsidRDefault="00496BBF">
      <w:pPr>
        <w:spacing w:after="40"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496BBF" w:rsidRDefault="00496BBF">
      <w:pPr>
        <w:spacing w:after="40"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496BBF" w:rsidRDefault="00496BBF">
      <w:pPr>
        <w:spacing w:after="40"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496BBF" w:rsidRDefault="00496BBF">
      <w:pPr>
        <w:spacing w:after="40"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496BBF" w:rsidRDefault="00496BBF">
      <w:pPr>
        <w:spacing w:after="40"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496BBF" w:rsidRDefault="00496BBF">
      <w:pPr>
        <w:spacing w:after="40"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496BBF" w:rsidRDefault="00496BBF">
      <w:pPr>
        <w:spacing w:after="40"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496BBF" w:rsidRDefault="00496BBF">
      <w:pPr>
        <w:spacing w:after="40"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496BBF" w:rsidRDefault="00496BBF">
      <w:pPr>
        <w:spacing w:after="40"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496BBF" w:rsidRDefault="00496BBF">
      <w:pPr>
        <w:rPr>
          <w:sz w:val="22"/>
          <w:szCs w:val="22"/>
        </w:rPr>
      </w:pPr>
    </w:p>
    <w:tbl>
      <w:tblPr>
        <w:tblStyle w:val="a"/>
        <w:tblW w:w="10410" w:type="dxa"/>
        <w:tblInd w:w="-3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80"/>
        <w:gridCol w:w="1410"/>
        <w:gridCol w:w="5520"/>
      </w:tblGrid>
      <w:tr w:rsidR="00496BBF">
        <w:trPr>
          <w:trHeight w:val="3615"/>
        </w:trPr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BBF" w:rsidRDefault="0031119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2"/>
                <w:szCs w:val="22"/>
              </w:rPr>
              <w:lastRenderedPageBreak/>
              <w:drawing>
                <wp:inline distT="114300" distB="114300" distL="114300" distR="114300">
                  <wp:extent cx="1775735" cy="1857693"/>
                  <wp:effectExtent l="0" t="0" r="0" b="0"/>
                  <wp:docPr id="1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5735" cy="18576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A)</w:t>
            </w:r>
          </w:p>
        </w:tc>
        <w:tc>
          <w:tcPr>
            <w:tcW w:w="693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BBF" w:rsidRDefault="0031119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2"/>
                <w:szCs w:val="22"/>
              </w:rPr>
              <w:drawing>
                <wp:inline distT="114300" distB="114300" distL="114300" distR="114300">
                  <wp:extent cx="4268984" cy="1759581"/>
                  <wp:effectExtent l="0" t="0" r="0" b="0"/>
                  <wp:docPr id="1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8984" cy="17595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496BBF" w:rsidRDefault="0031119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B)</w:t>
            </w:r>
          </w:p>
        </w:tc>
      </w:tr>
      <w:tr w:rsidR="00496BBF">
        <w:trPr>
          <w:trHeight w:val="4110"/>
        </w:trPr>
        <w:tc>
          <w:tcPr>
            <w:tcW w:w="489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BBF" w:rsidRDefault="0031119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2"/>
                <w:szCs w:val="22"/>
              </w:rPr>
              <w:drawing>
                <wp:inline distT="114300" distB="114300" distL="114300" distR="114300">
                  <wp:extent cx="2593622" cy="2220566"/>
                  <wp:effectExtent l="0" t="0" r="0" b="0"/>
                  <wp:docPr id="4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3622" cy="222056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496BBF" w:rsidRDefault="0031119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C)</w:t>
            </w:r>
          </w:p>
        </w:tc>
        <w:tc>
          <w:tcPr>
            <w:tcW w:w="5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BBF" w:rsidRDefault="0031119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2"/>
                <w:szCs w:val="22"/>
              </w:rPr>
              <w:drawing>
                <wp:inline distT="114300" distB="114300" distL="114300" distR="114300">
                  <wp:extent cx="3133444" cy="2011016"/>
                  <wp:effectExtent l="0" t="0" r="0" b="0"/>
                  <wp:docPr id="10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3444" cy="201101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496BBF" w:rsidRDefault="0031119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D)</w:t>
            </w:r>
          </w:p>
        </w:tc>
      </w:tr>
      <w:tr w:rsidR="00496BBF">
        <w:trPr>
          <w:trHeight w:val="3718"/>
        </w:trPr>
        <w:tc>
          <w:tcPr>
            <w:tcW w:w="1041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BBF" w:rsidRDefault="0031119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2"/>
                <w:szCs w:val="22"/>
              </w:rPr>
              <w:drawing>
                <wp:inline distT="114300" distB="114300" distL="114300" distR="114300">
                  <wp:extent cx="3843972" cy="1992196"/>
                  <wp:effectExtent l="0" t="0" r="0" b="0"/>
                  <wp:docPr id="9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3972" cy="199219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496BBF" w:rsidRDefault="0031119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E)</w:t>
            </w:r>
          </w:p>
        </w:tc>
      </w:tr>
    </w:tbl>
    <w:p w:rsidR="00496BBF" w:rsidRDefault="00496BB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496BBF" w:rsidRDefault="00311192">
      <w:pPr>
        <w:rPr>
          <w:i/>
          <w:sz w:val="22"/>
          <w:szCs w:val="22"/>
        </w:rPr>
      </w:pPr>
      <w:r>
        <w:rPr>
          <w:i/>
          <w:sz w:val="22"/>
          <w:szCs w:val="22"/>
        </w:rPr>
        <w:t>Figure S</w:t>
      </w:r>
      <w:r>
        <w:rPr>
          <w:i/>
          <w:sz w:val="22"/>
          <w:szCs w:val="22"/>
        </w:rPr>
        <w:t xml:space="preserve">1. Visualization of a single sample analysis, using  isolate 10315_6#17 (The et al., 2015). A) The statistics of the assembly including N50, cumulative </w:t>
      </w:r>
      <w:proofErr w:type="spellStart"/>
      <w:r>
        <w:rPr>
          <w:i/>
          <w:sz w:val="22"/>
          <w:szCs w:val="22"/>
        </w:rPr>
        <w:t>contig</w:t>
      </w:r>
      <w:proofErr w:type="spellEnd"/>
      <w:r>
        <w:rPr>
          <w:i/>
          <w:sz w:val="22"/>
          <w:szCs w:val="22"/>
        </w:rPr>
        <w:t xml:space="preserve"> lengths, and the lengths of each </w:t>
      </w:r>
      <w:proofErr w:type="spellStart"/>
      <w:r>
        <w:rPr>
          <w:i/>
          <w:sz w:val="22"/>
          <w:szCs w:val="22"/>
        </w:rPr>
        <w:t>contig</w:t>
      </w:r>
      <w:proofErr w:type="spellEnd"/>
      <w:r>
        <w:rPr>
          <w:i/>
          <w:sz w:val="22"/>
          <w:szCs w:val="22"/>
        </w:rPr>
        <w:t xml:space="preserve">.  B) The </w:t>
      </w:r>
      <w:proofErr w:type="spellStart"/>
      <w:r>
        <w:rPr>
          <w:i/>
          <w:sz w:val="22"/>
          <w:szCs w:val="22"/>
        </w:rPr>
        <w:lastRenderedPageBreak/>
        <w:t>circos</w:t>
      </w:r>
      <w:proofErr w:type="spellEnd"/>
      <w:r>
        <w:rPr>
          <w:i/>
          <w:sz w:val="22"/>
          <w:szCs w:val="22"/>
        </w:rPr>
        <w:t xml:space="preserve"> assembly structure a</w:t>
      </w:r>
      <w:r>
        <w:rPr>
          <w:i/>
          <w:sz w:val="22"/>
          <w:szCs w:val="22"/>
        </w:rPr>
        <w:t>nd genome browser. The genome browser shows the position of blaNDM-1 gene. C) Listing of resistant genes  D) Listing of virulent genes, and E) MLST analysis  result.</w:t>
      </w:r>
    </w:p>
    <w:p w:rsidR="00496BBF" w:rsidRDefault="00496BBF">
      <w:pPr>
        <w:rPr>
          <w:i/>
          <w:color w:val="444499"/>
          <w:sz w:val="22"/>
          <w:szCs w:val="22"/>
        </w:rPr>
      </w:pPr>
    </w:p>
    <w:p w:rsidR="00496BBF" w:rsidRDefault="0031119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noProof/>
          <w:sz w:val="22"/>
          <w:szCs w:val="22"/>
        </w:rPr>
        <w:drawing>
          <wp:inline distT="114300" distB="114300" distL="114300" distR="114300">
            <wp:extent cx="5920422" cy="1882531"/>
            <wp:effectExtent l="0" t="0" r="0" b="0"/>
            <wp:docPr id="2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20422" cy="18825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96BBF" w:rsidRDefault="00311192">
      <w:pPr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Figure S</w:t>
      </w:r>
      <w:r>
        <w:rPr>
          <w:i/>
          <w:sz w:val="22"/>
          <w:szCs w:val="22"/>
        </w:rPr>
        <w:t xml:space="preserve">2. Pan genome summary statistic graphs of 90 </w:t>
      </w:r>
      <w:proofErr w:type="spellStart"/>
      <w:r>
        <w:rPr>
          <w:i/>
          <w:sz w:val="22"/>
          <w:szCs w:val="22"/>
        </w:rPr>
        <w:t>klebsiella</w:t>
      </w:r>
      <w:proofErr w:type="spellEnd"/>
      <w:r>
        <w:rPr>
          <w:i/>
          <w:sz w:val="22"/>
          <w:szCs w:val="22"/>
        </w:rPr>
        <w:t xml:space="preserve"> pneumoniae collection  (The et al., 2015)</w:t>
      </w:r>
    </w:p>
    <w:p w:rsidR="00496BBF" w:rsidRDefault="00496BBF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496BBF" w:rsidRDefault="0031119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noProof/>
          <w:sz w:val="22"/>
          <w:szCs w:val="22"/>
        </w:rPr>
        <w:drawing>
          <wp:inline distT="114300" distB="114300" distL="114300" distR="114300">
            <wp:extent cx="4536891" cy="2857817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36891" cy="28578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96BBF" w:rsidRDefault="00311192">
      <w:pPr>
        <w:rPr>
          <w:i/>
          <w:sz w:val="22"/>
          <w:szCs w:val="22"/>
        </w:rPr>
      </w:pPr>
      <w:r>
        <w:rPr>
          <w:i/>
          <w:sz w:val="22"/>
          <w:szCs w:val="22"/>
        </w:rPr>
        <w:t>Figure S</w:t>
      </w:r>
      <w:r>
        <w:rPr>
          <w:i/>
          <w:sz w:val="22"/>
          <w:szCs w:val="22"/>
        </w:rPr>
        <w:t xml:space="preserve">3. Gene clusters table of 90 </w:t>
      </w:r>
      <w:proofErr w:type="spellStart"/>
      <w:r>
        <w:rPr>
          <w:i/>
          <w:sz w:val="22"/>
          <w:szCs w:val="22"/>
        </w:rPr>
        <w:t>klebsiella</w:t>
      </w:r>
      <w:proofErr w:type="spellEnd"/>
      <w:r>
        <w:rPr>
          <w:i/>
          <w:sz w:val="22"/>
          <w:szCs w:val="22"/>
        </w:rPr>
        <w:t xml:space="preserve"> pneumoniae collection  (The et al., 2015)</w:t>
      </w:r>
    </w:p>
    <w:p w:rsidR="00496BBF" w:rsidRDefault="00496BB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496BBF" w:rsidRDefault="00496BBF">
      <w:pPr>
        <w:jc w:val="center"/>
        <w:rPr>
          <w:i/>
          <w:sz w:val="22"/>
          <w:szCs w:val="22"/>
        </w:rPr>
      </w:pPr>
    </w:p>
    <w:p w:rsidR="00496BBF" w:rsidRDefault="0031119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noProof/>
          <w:sz w:val="22"/>
          <w:szCs w:val="22"/>
        </w:rPr>
        <w:lastRenderedPageBreak/>
        <w:drawing>
          <wp:inline distT="114300" distB="114300" distL="114300" distR="114300">
            <wp:extent cx="4421161" cy="3896042"/>
            <wp:effectExtent l="0" t="0" r="0" b="0"/>
            <wp:docPr id="5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21161" cy="38960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96BBF" w:rsidRDefault="00311192">
      <w:pPr>
        <w:rPr>
          <w:i/>
          <w:sz w:val="22"/>
          <w:szCs w:val="22"/>
        </w:rPr>
      </w:pPr>
      <w:r>
        <w:rPr>
          <w:i/>
          <w:sz w:val="22"/>
          <w:szCs w:val="22"/>
        </w:rPr>
        <w:t>Figure S</w:t>
      </w:r>
      <w:r>
        <w:rPr>
          <w:i/>
          <w:sz w:val="22"/>
          <w:szCs w:val="22"/>
        </w:rPr>
        <w:t>4  Gen</w:t>
      </w:r>
      <w:r>
        <w:rPr>
          <w:i/>
          <w:sz w:val="22"/>
          <w:szCs w:val="22"/>
        </w:rPr>
        <w:t xml:space="preserve">e Alignment Viewer shows the multiple alignment of gene </w:t>
      </w:r>
      <w:proofErr w:type="spellStart"/>
      <w:r>
        <w:rPr>
          <w:i/>
          <w:sz w:val="22"/>
          <w:szCs w:val="22"/>
        </w:rPr>
        <w:t>gyrA</w:t>
      </w:r>
      <w:proofErr w:type="spellEnd"/>
      <w:r>
        <w:rPr>
          <w:i/>
          <w:sz w:val="22"/>
          <w:szCs w:val="22"/>
        </w:rPr>
        <w:t xml:space="preserve"> from the isolates in the ST15 group</w:t>
      </w:r>
    </w:p>
    <w:p w:rsidR="00496BBF" w:rsidRDefault="00496BBF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496BBF" w:rsidRDefault="0031119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noProof/>
          <w:sz w:val="22"/>
          <w:szCs w:val="22"/>
        </w:rPr>
        <w:lastRenderedPageBreak/>
        <w:drawing>
          <wp:inline distT="114300" distB="114300" distL="114300" distR="114300">
            <wp:extent cx="4630183" cy="6543992"/>
            <wp:effectExtent l="0" t="0" r="0" b="0"/>
            <wp:docPr id="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30183" cy="65439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96BBF" w:rsidRDefault="00311192">
      <w:pPr>
        <w:rPr>
          <w:i/>
          <w:sz w:val="22"/>
          <w:szCs w:val="22"/>
        </w:rPr>
      </w:pPr>
      <w:r>
        <w:rPr>
          <w:i/>
          <w:sz w:val="22"/>
          <w:szCs w:val="22"/>
        </w:rPr>
        <w:t>Figure S</w:t>
      </w:r>
      <w:r>
        <w:rPr>
          <w:i/>
          <w:sz w:val="22"/>
          <w:szCs w:val="22"/>
        </w:rPr>
        <w:t xml:space="preserve">5. The diagram compares the phylogeny tree of the ST15 isolates and </w:t>
      </w:r>
      <w:proofErr w:type="spellStart"/>
      <w:r>
        <w:rPr>
          <w:i/>
          <w:sz w:val="22"/>
          <w:szCs w:val="22"/>
        </w:rPr>
        <w:t>gyrA</w:t>
      </w:r>
      <w:proofErr w:type="spellEnd"/>
      <w:r>
        <w:rPr>
          <w:i/>
          <w:sz w:val="22"/>
          <w:szCs w:val="22"/>
        </w:rPr>
        <w:t xml:space="preserve"> genes, in which some isolates and their </w:t>
      </w:r>
      <w:proofErr w:type="spellStart"/>
      <w:r>
        <w:rPr>
          <w:i/>
          <w:sz w:val="22"/>
          <w:szCs w:val="22"/>
        </w:rPr>
        <w:t>gyrA</w:t>
      </w:r>
      <w:proofErr w:type="spellEnd"/>
      <w:r>
        <w:rPr>
          <w:i/>
          <w:sz w:val="22"/>
          <w:szCs w:val="22"/>
        </w:rPr>
        <w:t xml:space="preserve"> genes are highlig</w:t>
      </w:r>
      <w:r>
        <w:rPr>
          <w:i/>
          <w:sz w:val="22"/>
          <w:szCs w:val="22"/>
        </w:rPr>
        <w:t>hted.</w:t>
      </w:r>
    </w:p>
    <w:p w:rsidR="00496BBF" w:rsidRDefault="00496BBF">
      <w:pPr>
        <w:rPr>
          <w:i/>
          <w:sz w:val="22"/>
          <w:szCs w:val="22"/>
        </w:rPr>
      </w:pPr>
    </w:p>
    <w:p w:rsidR="00496BBF" w:rsidRDefault="00496BBF">
      <w:pPr>
        <w:rPr>
          <w:i/>
          <w:sz w:val="22"/>
          <w:szCs w:val="22"/>
        </w:rPr>
      </w:pPr>
    </w:p>
    <w:p w:rsidR="00496BBF" w:rsidRDefault="00496BBF">
      <w:pPr>
        <w:rPr>
          <w:i/>
          <w:sz w:val="22"/>
          <w:szCs w:val="22"/>
        </w:rPr>
      </w:pPr>
    </w:p>
    <w:p w:rsidR="00496BBF" w:rsidRDefault="00496BBF">
      <w:pPr>
        <w:rPr>
          <w:i/>
          <w:sz w:val="22"/>
          <w:szCs w:val="22"/>
        </w:rPr>
      </w:pPr>
    </w:p>
    <w:p w:rsidR="00496BBF" w:rsidRDefault="0031119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noProof/>
          <w:sz w:val="22"/>
          <w:szCs w:val="22"/>
        </w:rPr>
        <w:lastRenderedPageBreak/>
        <w:drawing>
          <wp:inline distT="114300" distB="114300" distL="114300" distR="114300">
            <wp:extent cx="4396423" cy="3157652"/>
            <wp:effectExtent l="0" t="0" r="0" b="0"/>
            <wp:docPr id="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6423" cy="31576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96BBF" w:rsidRDefault="00311192">
      <w:pPr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Supplementary Figure 6. The </w:t>
      </w:r>
      <w:proofErr w:type="spellStart"/>
      <w:r>
        <w:rPr>
          <w:i/>
          <w:sz w:val="22"/>
          <w:szCs w:val="22"/>
        </w:rPr>
        <w:t>heatmap</w:t>
      </w:r>
      <w:proofErr w:type="spellEnd"/>
      <w:r>
        <w:rPr>
          <w:i/>
          <w:sz w:val="22"/>
          <w:szCs w:val="22"/>
        </w:rPr>
        <w:t xml:space="preserve"> shows the phylogenetic tree and resistance genes of the ST15 group (The et al., 2015) with the </w:t>
      </w:r>
      <w:proofErr w:type="spellStart"/>
      <w:r>
        <w:rPr>
          <w:i/>
          <w:sz w:val="22"/>
          <w:szCs w:val="22"/>
        </w:rPr>
        <w:t>carbapenems</w:t>
      </w:r>
      <w:proofErr w:type="spellEnd"/>
      <w:r>
        <w:rPr>
          <w:i/>
          <w:sz w:val="22"/>
          <w:szCs w:val="22"/>
        </w:rPr>
        <w:t xml:space="preserve"> antibiotic resistance phenotype including imipenem and </w:t>
      </w:r>
      <w:proofErr w:type="spellStart"/>
      <w:r>
        <w:rPr>
          <w:i/>
          <w:sz w:val="22"/>
          <w:szCs w:val="22"/>
        </w:rPr>
        <w:t>meropenem</w:t>
      </w:r>
      <w:proofErr w:type="spellEnd"/>
      <w:r>
        <w:rPr>
          <w:i/>
          <w:sz w:val="22"/>
          <w:szCs w:val="22"/>
        </w:rPr>
        <w:t>.</w:t>
      </w:r>
    </w:p>
    <w:p w:rsidR="00496BBF" w:rsidRDefault="0031119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noProof/>
          <w:sz w:val="22"/>
          <w:szCs w:val="22"/>
        </w:rPr>
        <w:drawing>
          <wp:inline distT="114300" distB="114300" distL="114300" distR="114300">
            <wp:extent cx="5114859" cy="2600642"/>
            <wp:effectExtent l="0" t="0" r="0" b="0"/>
            <wp:docPr id="7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14859" cy="26006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96BBF" w:rsidRDefault="00311192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i/>
          <w:sz w:val="22"/>
          <w:szCs w:val="22"/>
        </w:rPr>
        <w:t>Figure S</w:t>
      </w:r>
      <w:r>
        <w:rPr>
          <w:i/>
          <w:sz w:val="22"/>
          <w:szCs w:val="22"/>
        </w:rPr>
        <w:t>7. Phylogene</w:t>
      </w:r>
      <w:r>
        <w:rPr>
          <w:i/>
          <w:sz w:val="22"/>
          <w:szCs w:val="22"/>
        </w:rPr>
        <w:t xml:space="preserve">tic tree of 90 </w:t>
      </w:r>
      <w:proofErr w:type="spellStart"/>
      <w:r>
        <w:rPr>
          <w:i/>
          <w:sz w:val="22"/>
          <w:szCs w:val="22"/>
        </w:rPr>
        <w:t>klebsiella</w:t>
      </w:r>
      <w:proofErr w:type="spellEnd"/>
      <w:r>
        <w:rPr>
          <w:i/>
          <w:sz w:val="22"/>
          <w:szCs w:val="22"/>
        </w:rPr>
        <w:t xml:space="preserve"> pneumoniae collection  (The et al., 2015) with MLST sequence type  distinguished by color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:rsidR="00496BBF" w:rsidRDefault="00496BBF">
      <w:pPr>
        <w:rPr>
          <w:i/>
          <w:color w:val="444499"/>
          <w:sz w:val="22"/>
          <w:szCs w:val="22"/>
        </w:rPr>
      </w:pPr>
    </w:p>
    <w:p w:rsidR="00496BBF" w:rsidRDefault="00496BBF">
      <w:pPr>
        <w:rPr>
          <w:i/>
          <w:color w:val="444499"/>
          <w:sz w:val="22"/>
          <w:szCs w:val="22"/>
        </w:rPr>
      </w:pPr>
    </w:p>
    <w:p w:rsidR="00496BBF" w:rsidRDefault="00496BBF">
      <w:pPr>
        <w:rPr>
          <w:i/>
          <w:color w:val="444499"/>
          <w:sz w:val="22"/>
          <w:szCs w:val="22"/>
        </w:rPr>
      </w:pPr>
    </w:p>
    <w:p w:rsidR="00496BBF" w:rsidRDefault="00496BBF">
      <w:pPr>
        <w:rPr>
          <w:i/>
          <w:color w:val="444499"/>
          <w:sz w:val="22"/>
          <w:szCs w:val="22"/>
        </w:rPr>
      </w:pPr>
    </w:p>
    <w:p w:rsidR="00496BBF" w:rsidRDefault="00496BBF">
      <w:pPr>
        <w:rPr>
          <w:i/>
          <w:color w:val="444499"/>
          <w:sz w:val="22"/>
          <w:szCs w:val="22"/>
        </w:rPr>
      </w:pPr>
    </w:p>
    <w:p w:rsidR="00496BBF" w:rsidRDefault="00496BBF">
      <w:pPr>
        <w:spacing w:line="276" w:lineRule="auto"/>
        <w:rPr>
          <w:sz w:val="22"/>
          <w:szCs w:val="22"/>
        </w:rPr>
      </w:pPr>
    </w:p>
    <w:p w:rsidR="00496BBF" w:rsidRDefault="00496BBF">
      <w:pPr>
        <w:rPr>
          <w:sz w:val="22"/>
          <w:szCs w:val="22"/>
        </w:rPr>
      </w:pPr>
    </w:p>
    <w:p w:rsidR="00496BBF" w:rsidRDefault="00496BBF">
      <w:pPr>
        <w:spacing w:after="40"/>
        <w:ind w:left="960" w:hanging="48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sectPr w:rsidR="00496BBF">
      <w:headerReference w:type="even" r:id="rId17"/>
      <w:headerReference w:type="default" r:id="rId18"/>
      <w:pgSz w:w="12240" w:h="15826"/>
      <w:pgMar w:top="1267" w:right="1382" w:bottom="1267" w:left="1094" w:header="706" w:footer="83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11192">
      <w:r>
        <w:separator/>
      </w:r>
    </w:p>
  </w:endnote>
  <w:endnote w:type="continuationSeparator" w:id="0">
    <w:p w:rsidR="00000000" w:rsidRDefault="00311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 Ligh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11192">
      <w:r>
        <w:separator/>
      </w:r>
    </w:p>
  </w:footnote>
  <w:footnote w:type="continuationSeparator" w:id="0">
    <w:p w:rsidR="00000000" w:rsidRDefault="003111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6BBF" w:rsidRDefault="0031119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160" w:lineRule="auto"/>
      <w:rPr>
        <w:rFonts w:ascii="Helvetica Neue" w:eastAsia="Helvetica Neue" w:hAnsi="Helvetica Neue" w:cs="Helvetica Neue"/>
        <w:b/>
        <w:i/>
        <w:color w:val="000000"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12700" cy="127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4435320"/>
                        <a:ext cx="6400800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12700" cy="12700"/>
              <wp:effectExtent b="0" l="0" r="0" t="0"/>
              <wp:wrapNone/>
              <wp:docPr id="1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6BBF" w:rsidRDefault="00496BB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520" w:line="160" w:lineRule="auto"/>
      <w:rPr>
        <w:rFonts w:ascii="Helvetica Neue" w:eastAsia="Helvetica Neue" w:hAnsi="Helvetica Neue" w:cs="Helvetica Neue"/>
        <w:b/>
        <w:i/>
        <w:color w:val="000000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BBF"/>
    <w:rsid w:val="00311192"/>
    <w:rsid w:val="0049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5DC78D4-C964-43E5-A90E-38097B8DA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" w:hAnsi="Times" w:cs="Times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50"/>
      <w:ind w:left="357" w:hanging="357"/>
      <w:outlineLvl w:val="0"/>
    </w:pPr>
    <w:rPr>
      <w:rFonts w:ascii="Helvetica Neue" w:eastAsia="Helvetica Neue" w:hAnsi="Helvetica Neue" w:cs="Helvetica Neue"/>
      <w:b/>
      <w:color w:val="000000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52"/>
      <w:ind w:left="360" w:hanging="360"/>
      <w:outlineLvl w:val="1"/>
    </w:pPr>
    <w:rPr>
      <w:rFonts w:ascii="Times New Roman" w:eastAsia="Times New Roman" w:hAnsi="Times New Roman" w:cs="Times New Roman"/>
      <w:b/>
      <w:color w:val="000000"/>
      <w:sz w:val="18"/>
      <w:szCs w:val="18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60" w:line="220" w:lineRule="auto"/>
      <w:jc w:val="both"/>
      <w:outlineLvl w:val="2"/>
    </w:pPr>
    <w:rPr>
      <w:rFonts w:ascii="Times New Roman" w:eastAsia="Times New Roman" w:hAnsi="Times New Roman" w:cs="Times New Roman"/>
      <w:b/>
      <w:color w:val="000000"/>
      <w:sz w:val="16"/>
      <w:szCs w:val="16"/>
    </w:rPr>
  </w:style>
  <w:style w:type="paragraph" w:styleId="Heading4">
    <w:name w:val="heading 4"/>
    <w:basedOn w:val="Normal"/>
    <w:next w:val="Normal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Heading5">
    <w:name w:val="heading 5"/>
    <w:basedOn w:val="Normal"/>
    <w:next w:val="Normal"/>
    <w:pPr>
      <w:spacing w:before="240" w:after="60"/>
      <w:outlineLvl w:val="4"/>
    </w:pPr>
    <w:rPr>
      <w:b/>
      <w:i/>
      <w:sz w:val="26"/>
      <w:szCs w:val="26"/>
    </w:rPr>
  </w:style>
  <w:style w:type="paragraph" w:styleId="Heading6">
    <w:name w:val="heading 6"/>
    <w:basedOn w:val="Normal"/>
    <w:next w:val="Normal"/>
    <w:pPr>
      <w:spacing w:before="240" w:after="60"/>
      <w:outlineLvl w:val="5"/>
    </w:pPr>
    <w:rPr>
      <w:rFonts w:ascii="Times New Roman" w:eastAsia="Times New Roman" w:hAnsi="Times New Roman" w:cs="Times New Roman"/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92" w:line="420" w:lineRule="auto"/>
      <w:jc w:val="both"/>
    </w:pPr>
    <w:rPr>
      <w:rFonts w:ascii="Helvetica Neue" w:eastAsia="Helvetica Neue" w:hAnsi="Helvetica Neue" w:cs="Helvetica Neue"/>
      <w:b/>
      <w:color w:val="000000"/>
      <w:sz w:val="36"/>
      <w:szCs w:val="36"/>
    </w:rPr>
  </w:style>
  <w:style w:type="paragraph" w:styleId="Subtitle">
    <w:name w:val="Subtitle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160"/>
      <w:jc w:val="both"/>
    </w:pPr>
    <w:rPr>
      <w:rFonts w:ascii="Helvetica Neue" w:eastAsia="Helvetica Neue" w:hAnsi="Helvetica Neue" w:cs="Helvetica Neue"/>
      <w:i/>
      <w:color w:val="000000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Caroline Rubince G.</cp:lastModifiedBy>
  <cp:revision>2</cp:revision>
  <dcterms:created xsi:type="dcterms:W3CDTF">2024-04-23T15:02:00Z</dcterms:created>
  <dcterms:modified xsi:type="dcterms:W3CDTF">2024-04-23T15:05:00Z</dcterms:modified>
</cp:coreProperties>
</file>