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2C3AF" w14:textId="13B91BCB" w:rsidR="00915305" w:rsidRPr="009F533F" w:rsidRDefault="00915305" w:rsidP="009D3BB3">
      <w:pPr>
        <w:spacing w:line="360" w:lineRule="auto"/>
        <w:jc w:val="center"/>
        <w:rPr>
          <w:bCs/>
          <w:lang w:val="en-US"/>
        </w:rPr>
      </w:pPr>
      <w:r w:rsidRPr="009F533F">
        <w:rPr>
          <w:b/>
          <w:sz w:val="32"/>
          <w:szCs w:val="32"/>
          <w:lang w:val="en-US"/>
        </w:rPr>
        <w:t xml:space="preserve">Supplementary </w:t>
      </w:r>
      <w:r>
        <w:rPr>
          <w:b/>
          <w:sz w:val="32"/>
          <w:szCs w:val="32"/>
          <w:lang w:val="en-US"/>
        </w:rPr>
        <w:t>Material</w:t>
      </w:r>
    </w:p>
    <w:p w14:paraId="6539DC23" w14:textId="0D8B1314" w:rsidR="00915305" w:rsidRPr="009F533F" w:rsidRDefault="00915305" w:rsidP="00915305">
      <w:pPr>
        <w:spacing w:line="360" w:lineRule="auto"/>
        <w:jc w:val="both"/>
        <w:rPr>
          <w:color w:val="000000" w:themeColor="text1"/>
          <w:lang w:val="en-US"/>
        </w:rPr>
      </w:pPr>
      <w:r w:rsidRPr="009F533F">
        <w:rPr>
          <w:b/>
          <w:bCs/>
          <w:color w:val="000000" w:themeColor="text1"/>
          <w:lang w:val="en-US"/>
        </w:rPr>
        <w:t>Table S1.</w:t>
      </w:r>
      <w:r w:rsidRPr="009F533F">
        <w:rPr>
          <w:color w:val="000000" w:themeColor="text1"/>
          <w:lang w:val="en-US"/>
        </w:rPr>
        <w:t xml:space="preserve"> Seriation methods from the </w:t>
      </w:r>
      <w:r w:rsidRPr="009F533F">
        <w:rPr>
          <w:i/>
          <w:iCs/>
          <w:color w:val="000000" w:themeColor="text1"/>
          <w:lang w:val="en-US"/>
        </w:rPr>
        <w:t>seriation</w:t>
      </w:r>
      <w:r w:rsidRPr="009F533F">
        <w:rPr>
          <w:color w:val="000000" w:themeColor="text1"/>
          <w:lang w:val="en-US"/>
        </w:rPr>
        <w:t xml:space="preserve"> R package</w:t>
      </w:r>
      <w:r w:rsidR="009D3BB3">
        <w:rPr>
          <w:color w:val="000000" w:themeColor="text1"/>
          <w:lang w:val="en-US"/>
        </w:rPr>
        <w:t>.</w:t>
      </w:r>
    </w:p>
    <w:tbl>
      <w:tblPr>
        <w:tblStyle w:val="Tablaconcuadrcula1clara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2552"/>
      </w:tblGrid>
      <w:tr w:rsidR="00915305" w:rsidRPr="009F533F" w14:paraId="0EA78330" w14:textId="77777777" w:rsidTr="00BD75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7BF15DC" w14:textId="77777777" w:rsidR="00915305" w:rsidRPr="009F533F" w:rsidRDefault="00915305" w:rsidP="00BD75EC">
            <w:pPr>
              <w:spacing w:line="36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9F533F">
              <w:rPr>
                <w:rFonts w:cstheme="minorHAnsi"/>
                <w:color w:val="000000" w:themeColor="text1"/>
                <w:lang w:val="en-US"/>
              </w:rPr>
              <w:t>Algorithm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8B68F61" w14:textId="77777777" w:rsidR="00915305" w:rsidRPr="009F533F" w:rsidRDefault="00915305" w:rsidP="00BD75E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lang w:val="en-US"/>
              </w:rPr>
            </w:pPr>
            <w:r w:rsidRPr="009F533F">
              <w:rPr>
                <w:rFonts w:cstheme="minorHAnsi"/>
                <w:color w:val="000000" w:themeColor="text1"/>
                <w:lang w:val="en-US"/>
              </w:rPr>
              <w:t>Method</w:t>
            </w:r>
          </w:p>
        </w:tc>
      </w:tr>
      <w:tr w:rsidR="00915305" w:rsidRPr="009F533F" w14:paraId="6CE88DF2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B608128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Simulated annealing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047C8A0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ARSA</w:t>
            </w:r>
          </w:p>
        </w:tc>
      </w:tr>
      <w:tr w:rsidR="00915305" w:rsidRPr="009F533F" w14:paraId="6FB68FD4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09A655E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Branch-and-bound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E2F82B8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BBURCG</w:t>
            </w:r>
          </w:p>
        </w:tc>
      </w:tr>
      <w:tr w:rsidR="00915305" w:rsidRPr="009F533F" w14:paraId="5F4B870B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9B8A0B1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Branch-and-bound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F976B3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BBWRCG</w:t>
            </w:r>
          </w:p>
        </w:tc>
      </w:tr>
      <w:tr w:rsidR="00915305" w:rsidRPr="009F533F" w14:paraId="6BEA67BE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F889EEA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TSP solver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4562C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TSP</w:t>
            </w:r>
          </w:p>
        </w:tc>
      </w:tr>
      <w:tr w:rsidR="00915305" w:rsidRPr="009F533F" w14:paraId="69DA1031" w14:textId="77777777" w:rsidTr="00BD75E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A9AD7DD" w14:textId="77777777" w:rsidR="00915305" w:rsidRPr="009F533F" w:rsidRDefault="00915305" w:rsidP="00BD75EC">
            <w:pPr>
              <w:spacing w:line="360" w:lineRule="auto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Optimal leaf ordering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1580C3B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OLO</w:t>
            </w:r>
          </w:p>
        </w:tc>
      </w:tr>
      <w:tr w:rsidR="00915305" w:rsidRPr="009F533F" w14:paraId="7B2065DF" w14:textId="77777777" w:rsidTr="00BD75E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DAC230E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FC9C89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OLO_single</w:t>
            </w:r>
            <w:proofErr w:type="spellEnd"/>
          </w:p>
        </w:tc>
      </w:tr>
      <w:tr w:rsidR="00915305" w:rsidRPr="009F533F" w14:paraId="08B7C3DF" w14:textId="77777777" w:rsidTr="00BD75E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4F11E50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124B81B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OLO_average</w:t>
            </w:r>
            <w:proofErr w:type="spellEnd"/>
          </w:p>
        </w:tc>
      </w:tr>
      <w:tr w:rsidR="00915305" w:rsidRPr="009F533F" w14:paraId="377DA0AC" w14:textId="77777777" w:rsidTr="00BD75E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CE1F03F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2CA5722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OLO_complete</w:t>
            </w:r>
            <w:proofErr w:type="spellEnd"/>
          </w:p>
        </w:tc>
      </w:tr>
      <w:tr w:rsidR="00915305" w:rsidRPr="009F533F" w14:paraId="06D3BA48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989C0D8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Gruvaeus</w:t>
            </w:r>
            <w:proofErr w:type="spellEnd"/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Wainer</w:t>
            </w:r>
            <w:proofErr w:type="spellEnd"/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4B820EB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GW</w:t>
            </w:r>
          </w:p>
        </w:tc>
      </w:tr>
      <w:tr w:rsidR="00915305" w:rsidRPr="009F533F" w14:paraId="0155CA32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39E06A5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719B0A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GW_single</w:t>
            </w:r>
            <w:proofErr w:type="spellEnd"/>
          </w:p>
        </w:tc>
      </w:tr>
      <w:tr w:rsidR="00915305" w:rsidRPr="009F533F" w14:paraId="1C5814AD" w14:textId="77777777" w:rsidTr="00BD75EC">
        <w:trPr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33A816E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6844BAE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GW_average</w:t>
            </w:r>
            <w:proofErr w:type="spellEnd"/>
          </w:p>
        </w:tc>
      </w:tr>
      <w:tr w:rsidR="00915305" w:rsidRPr="009F533F" w14:paraId="2C0580AB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A1DE8BE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876AE3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GW_complete</w:t>
            </w:r>
            <w:proofErr w:type="spellEnd"/>
          </w:p>
        </w:tc>
      </w:tr>
      <w:tr w:rsidR="00915305" w:rsidRPr="009F533F" w14:paraId="54FD0587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A25E50E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MDS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D1281F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MDS</w:t>
            </w:r>
          </w:p>
        </w:tc>
      </w:tr>
      <w:tr w:rsidR="00915305" w:rsidRPr="009F533F" w14:paraId="79D61AD9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C9E4D6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15CA296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MDS_metric</w:t>
            </w:r>
            <w:proofErr w:type="spellEnd"/>
          </w:p>
        </w:tc>
      </w:tr>
      <w:tr w:rsidR="00915305" w:rsidRPr="009F533F" w14:paraId="5E21D648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5D0E62D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A1B2330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MDS_nonmetric</w:t>
            </w:r>
            <w:proofErr w:type="spellEnd"/>
          </w:p>
        </w:tc>
      </w:tr>
      <w:tr w:rsidR="00915305" w:rsidRPr="009F533F" w14:paraId="71BA251F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53266CEF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42DF26E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MDS_angle</w:t>
            </w:r>
            <w:proofErr w:type="spellEnd"/>
          </w:p>
        </w:tc>
      </w:tr>
      <w:tr w:rsidR="00915305" w:rsidRPr="009F533F" w14:paraId="2C85DA29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D2F1B30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Spectral seriation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332BCE7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Spectral</w:t>
            </w:r>
          </w:p>
        </w:tc>
      </w:tr>
      <w:tr w:rsidR="00915305" w:rsidRPr="009F533F" w14:paraId="00C14B05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260F347B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05D278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Spectral_norm</w:t>
            </w:r>
            <w:proofErr w:type="spellEnd"/>
          </w:p>
        </w:tc>
      </w:tr>
      <w:tr w:rsidR="00915305" w:rsidRPr="009F533F" w14:paraId="40F73FE0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267B96A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QAP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040CCA2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QAP_2SUM</w:t>
            </w:r>
          </w:p>
        </w:tc>
      </w:tr>
      <w:tr w:rsidR="00915305" w:rsidRPr="009F533F" w14:paraId="607B739C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85A4E79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B81753C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QAP_LS</w:t>
            </w:r>
          </w:p>
        </w:tc>
      </w:tr>
      <w:tr w:rsidR="00915305" w:rsidRPr="009F533F" w14:paraId="59C581D2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B0F0867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C2445E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QAP_BAR</w:t>
            </w:r>
          </w:p>
        </w:tc>
      </w:tr>
      <w:tr w:rsidR="00915305" w:rsidRPr="009F533F" w14:paraId="24BF3B15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9122D8F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96A796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QAP_Inertia</w:t>
            </w:r>
            <w:proofErr w:type="spellEnd"/>
          </w:p>
        </w:tc>
      </w:tr>
      <w:tr w:rsidR="00915305" w:rsidRPr="009F533F" w14:paraId="16D85586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74A5AFC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Genetic Algorithm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A9164E4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GA</w:t>
            </w:r>
          </w:p>
        </w:tc>
      </w:tr>
      <w:tr w:rsidR="00915305" w:rsidRPr="009F533F" w14:paraId="5C18666C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455AF3B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DendSer</w:t>
            </w:r>
            <w:proofErr w:type="spellEnd"/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6300ABA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DendSer</w:t>
            </w:r>
            <w:proofErr w:type="spellEnd"/>
          </w:p>
        </w:tc>
      </w:tr>
      <w:tr w:rsidR="00915305" w:rsidRPr="009F533F" w14:paraId="526E1A75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F1E29CF" w14:textId="77777777" w:rsidR="00915305" w:rsidRPr="009F533F" w:rsidRDefault="00915305" w:rsidP="00BD75EC">
            <w:pPr>
              <w:spacing w:line="360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Hierarchical clustering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336A53E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HC</w:t>
            </w:r>
          </w:p>
        </w:tc>
      </w:tr>
      <w:tr w:rsidR="00915305" w:rsidRPr="009F533F" w14:paraId="4AF09C34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64F9D9A9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201C75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HC_single</w:t>
            </w:r>
            <w:proofErr w:type="spellEnd"/>
          </w:p>
        </w:tc>
      </w:tr>
      <w:tr w:rsidR="00915305" w:rsidRPr="009F533F" w14:paraId="10C2B8D5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0BA55FB8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255CDBD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HC_verage</w:t>
            </w:r>
            <w:proofErr w:type="spellEnd"/>
          </w:p>
        </w:tc>
      </w:tr>
      <w:tr w:rsidR="00915305" w:rsidRPr="009F533F" w14:paraId="76AF4B69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19398FCF" w14:textId="77777777" w:rsidR="00915305" w:rsidRPr="009F533F" w:rsidRDefault="00915305" w:rsidP="00BD75EC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04EB62A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F533F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HC_complete</w:t>
            </w:r>
            <w:proofErr w:type="spellEnd"/>
          </w:p>
        </w:tc>
      </w:tr>
      <w:tr w:rsidR="00915305" w:rsidRPr="009F533F" w14:paraId="7BB9B976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DECF966" w14:textId="77777777" w:rsidR="00915305" w:rsidRPr="009F533F" w:rsidRDefault="00915305" w:rsidP="00BD75EC">
            <w:pPr>
              <w:spacing w:line="360" w:lineRule="auto"/>
              <w:jc w:val="both"/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Rank-two ellipse seriation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7289A71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R2E</w:t>
            </w:r>
          </w:p>
        </w:tc>
      </w:tr>
      <w:tr w:rsidR="00915305" w:rsidRPr="009F533F" w14:paraId="5614EE12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F0CF0F6" w14:textId="77777777" w:rsidR="00915305" w:rsidRPr="009F533F" w:rsidRDefault="00915305" w:rsidP="00BD75EC">
            <w:pPr>
              <w:spacing w:line="360" w:lineRule="auto"/>
              <w:jc w:val="both"/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Sorting Points </w:t>
            </w:r>
            <w:proofErr w:type="gramStart"/>
            <w:r w:rsidRPr="009F533F"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Into</w:t>
            </w:r>
            <w:proofErr w:type="gramEnd"/>
            <w:r w:rsidRPr="009F533F"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 xml:space="preserve"> Neighborhoods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E84C20B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SPIN_NH</w:t>
            </w:r>
          </w:p>
        </w:tc>
      </w:tr>
      <w:tr w:rsidR="00915305" w:rsidRPr="009F533F" w14:paraId="555A1CF2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  <w:hideMark/>
          </w:tcPr>
          <w:p w14:paraId="7BFE0CB7" w14:textId="77777777" w:rsidR="00915305" w:rsidRPr="009F533F" w:rsidRDefault="00915305" w:rsidP="00BD75EC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C3AC310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SPIN_STS</w:t>
            </w:r>
          </w:p>
        </w:tc>
      </w:tr>
      <w:tr w:rsidR="00915305" w:rsidRPr="009F533F" w14:paraId="775175F7" w14:textId="77777777" w:rsidTr="00BD75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D154B79" w14:textId="77777777" w:rsidR="00915305" w:rsidRPr="009F533F" w:rsidRDefault="00915305" w:rsidP="00BD75EC">
            <w:pPr>
              <w:spacing w:line="360" w:lineRule="auto"/>
              <w:jc w:val="both"/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  <w:t>Visual Assessment of Tendency</w:t>
            </w:r>
          </w:p>
        </w:tc>
        <w:tc>
          <w:tcPr>
            <w:tcW w:w="255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4FD5FD0" w14:textId="77777777" w:rsidR="00915305" w:rsidRPr="009F533F" w:rsidRDefault="00915305" w:rsidP="00BD75E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53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VAT</w:t>
            </w:r>
          </w:p>
        </w:tc>
      </w:tr>
    </w:tbl>
    <w:p w14:paraId="49026F74" w14:textId="0D6277A2" w:rsidR="00915305" w:rsidRPr="009F533F" w:rsidRDefault="00915305" w:rsidP="00915305">
      <w:pPr>
        <w:spacing w:line="360" w:lineRule="auto"/>
        <w:jc w:val="both"/>
        <w:rPr>
          <w:rFonts w:cstheme="minorHAnsi"/>
          <w:color w:val="0D0D0D"/>
          <w:shd w:val="clear" w:color="auto" w:fill="FFFFFF"/>
          <w:lang w:val="en-US"/>
        </w:rPr>
      </w:pPr>
    </w:p>
    <w:p w14:paraId="379927D2" w14:textId="0DB290B3" w:rsidR="00915305" w:rsidRPr="009F533F" w:rsidRDefault="00915305" w:rsidP="00F4066C">
      <w:pPr>
        <w:jc w:val="both"/>
        <w:rPr>
          <w:color w:val="000000" w:themeColor="text1"/>
          <w:lang w:val="en-US"/>
        </w:rPr>
      </w:pPr>
      <w:r w:rsidRPr="009F533F">
        <w:rPr>
          <w:b/>
          <w:bCs/>
          <w:color w:val="000000" w:themeColor="text1"/>
          <w:lang w:val="en-US"/>
        </w:rPr>
        <w:t>Table S2.</w:t>
      </w:r>
      <w:r w:rsidRPr="009F533F">
        <w:rPr>
          <w:color w:val="000000" w:themeColor="text1"/>
          <w:lang w:val="en-US"/>
        </w:rPr>
        <w:t xml:space="preserve"> </w:t>
      </w:r>
      <w:r w:rsidR="00E65CBA">
        <w:rPr>
          <w:color w:val="000000" w:themeColor="text1"/>
          <w:lang w:val="en-US"/>
        </w:rPr>
        <w:t>Average e</w:t>
      </w:r>
      <w:r w:rsidR="00E65CBA" w:rsidRPr="009F533F">
        <w:rPr>
          <w:color w:val="000000" w:themeColor="text1"/>
          <w:lang w:val="en-US"/>
        </w:rPr>
        <w:t>xecution time</w:t>
      </w:r>
      <w:r w:rsidR="00E65CBA">
        <w:rPr>
          <w:color w:val="000000" w:themeColor="text1"/>
          <w:lang w:val="en-US"/>
        </w:rPr>
        <w:t xml:space="preserve"> </w:t>
      </w:r>
      <w:r w:rsidR="00E65CBA" w:rsidRPr="009F533F">
        <w:rPr>
          <w:color w:val="000000" w:themeColor="text1"/>
          <w:lang w:val="en-US"/>
        </w:rPr>
        <w:t xml:space="preserve">(in seconds) </w:t>
      </w:r>
      <w:r w:rsidR="00E65CBA">
        <w:rPr>
          <w:color w:val="000000" w:themeColor="text1"/>
          <w:lang w:val="en-US"/>
        </w:rPr>
        <w:t>for running</w:t>
      </w:r>
      <w:r w:rsidR="00E65CBA" w:rsidRPr="009F533F">
        <w:rPr>
          <w:color w:val="000000" w:themeColor="text1"/>
          <w:lang w:val="en-US"/>
        </w:rPr>
        <w:t xml:space="preserve"> the </w:t>
      </w:r>
      <w:proofErr w:type="spellStart"/>
      <w:r w:rsidR="00E65CBA" w:rsidRPr="003E6AFE">
        <w:rPr>
          <w:rFonts w:cstheme="minorHAnsi"/>
          <w:i/>
          <w:iCs/>
          <w:color w:val="0D0D0D"/>
          <w:shd w:val="clear" w:color="auto" w:fill="FFFFFF"/>
          <w:lang w:val="en-US"/>
        </w:rPr>
        <w:t>CombineGeneSets</w:t>
      </w:r>
      <w:proofErr w:type="spellEnd"/>
      <w:r w:rsidR="00E65CBA" w:rsidRPr="009F533F">
        <w:rPr>
          <w:rFonts w:cstheme="minorHAnsi"/>
          <w:color w:val="0D0D0D"/>
          <w:shd w:val="clear" w:color="auto" w:fill="FFFFFF"/>
          <w:lang w:val="en-US"/>
        </w:rPr>
        <w:t xml:space="preserve"> </w:t>
      </w:r>
      <w:r w:rsidR="00E65CBA">
        <w:rPr>
          <w:rFonts w:cstheme="minorHAnsi"/>
          <w:color w:val="0D0D0D"/>
          <w:shd w:val="clear" w:color="auto" w:fill="FFFFFF"/>
          <w:lang w:val="en-US"/>
        </w:rPr>
        <w:t>ten times at</w:t>
      </w:r>
      <w:r w:rsidR="00E65CBA" w:rsidRPr="009F533F">
        <w:rPr>
          <w:rFonts w:cstheme="minorHAnsi"/>
          <w:color w:val="0D0D0D"/>
          <w:shd w:val="clear" w:color="auto" w:fill="FFFFFF"/>
          <w:lang w:val="en-US"/>
        </w:rPr>
        <w:t xml:space="preserve"> different threads</w:t>
      </w:r>
      <w:r w:rsidR="00E65CBA">
        <w:rPr>
          <w:rFonts w:cstheme="minorHAnsi"/>
          <w:color w:val="0D0D0D"/>
          <w:shd w:val="clear" w:color="auto" w:fill="FFFFFF"/>
          <w:lang w:val="en-US"/>
        </w:rPr>
        <w:t xml:space="preserve"> (1, 2, 4, 6, 8, and 10)</w:t>
      </w:r>
      <w:r w:rsidR="00E65CBA" w:rsidRPr="009F533F">
        <w:rPr>
          <w:color w:val="000000" w:themeColor="text1"/>
          <w:lang w:val="en-US"/>
        </w:rPr>
        <w:t>. The workstation used for running this experiment has an Apple M1 Pro processor with a 10-core CPU and 16 GB of RAM.</w:t>
      </w:r>
    </w:p>
    <w:tbl>
      <w:tblPr>
        <w:tblStyle w:val="Tablaconcuadrcula"/>
        <w:tblpPr w:leftFromText="180" w:rightFromText="180" w:vertAnchor="text" w:horzAnchor="page" w:tblpX="592" w:tblpY="78"/>
        <w:tblW w:w="11428" w:type="dxa"/>
        <w:tblInd w:w="0" w:type="dxa"/>
        <w:tblLook w:val="04A0" w:firstRow="1" w:lastRow="0" w:firstColumn="1" w:lastColumn="0" w:noHBand="0" w:noVBand="1"/>
      </w:tblPr>
      <w:tblGrid>
        <w:gridCol w:w="1272"/>
        <w:gridCol w:w="2153"/>
        <w:gridCol w:w="1311"/>
        <w:gridCol w:w="1311"/>
        <w:gridCol w:w="1311"/>
        <w:gridCol w:w="1311"/>
        <w:gridCol w:w="1311"/>
        <w:gridCol w:w="1448"/>
      </w:tblGrid>
      <w:tr w:rsidR="004F316A" w:rsidRPr="009F533F" w14:paraId="400D8167" w14:textId="77777777" w:rsidTr="004F316A">
        <w:trPr>
          <w:trHeight w:val="32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53A53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Dataset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7337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Number </w:t>
            </w:r>
            <w:proofErr w:type="spellStart"/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Geneset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008DB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0876A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7966B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26774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AC26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413F0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b/>
                <w:bCs/>
                <w:color w:val="000000"/>
                <w:kern w:val="0"/>
                <w:lang w:val="en-US"/>
                <w14:ligatures w14:val="none"/>
              </w:rPr>
              <w:t>Thread = 10</w:t>
            </w:r>
          </w:p>
        </w:tc>
      </w:tr>
      <w:tr w:rsidR="004F316A" w:rsidRPr="009F533F" w14:paraId="07729890" w14:textId="77777777" w:rsidTr="004F316A">
        <w:trPr>
          <w:trHeight w:val="32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347E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small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CC215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239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E6037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E0DD8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4.92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61F03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4.88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0A68F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5.92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28813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B2FB9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9.21</w:t>
            </w:r>
          </w:p>
        </w:tc>
      </w:tr>
      <w:tr w:rsidR="004F316A" w:rsidRPr="009F533F" w14:paraId="72EF2CDA" w14:textId="77777777" w:rsidTr="004F316A">
        <w:trPr>
          <w:trHeight w:val="32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3834F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medium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153F9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1000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F7557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125</w:t>
            </w: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54414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72.96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172F4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42.31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3E39D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33</w:t>
            </w: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EA50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30.54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C9E3B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32</w:t>
            </w: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01</w:t>
            </w:r>
          </w:p>
        </w:tc>
      </w:tr>
      <w:tr w:rsidR="004F316A" w:rsidRPr="009F533F" w14:paraId="26ED8BA2" w14:textId="77777777" w:rsidTr="004F316A">
        <w:trPr>
          <w:trHeight w:val="32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89BDB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large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019B7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3E6AFE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2287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76AB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1945.20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05B42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849.50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9C459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491.70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E6E36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440.20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6EC54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500.41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51CC4" w14:textId="77777777" w:rsidR="004F316A" w:rsidRPr="003E6AFE" w:rsidRDefault="004F316A" w:rsidP="009774D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602.44</w:t>
            </w:r>
          </w:p>
        </w:tc>
      </w:tr>
    </w:tbl>
    <w:p w14:paraId="0A35E35F" w14:textId="583D8C06" w:rsidR="0000316E" w:rsidRDefault="0000316E" w:rsidP="009D3BB3">
      <w:pPr>
        <w:spacing w:line="360" w:lineRule="auto"/>
        <w:jc w:val="both"/>
      </w:pPr>
      <w:bookmarkStart w:id="0" w:name="_GoBack"/>
      <w:bookmarkEnd w:id="0"/>
    </w:p>
    <w:p w14:paraId="4447AE72" w14:textId="64A0815F" w:rsidR="0085421B" w:rsidRPr="00B23505" w:rsidRDefault="0085421B" w:rsidP="00B23505">
      <w:p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32"/>
          <w:szCs w:val="32"/>
          <w:lang w:val="en-US"/>
        </w:rPr>
      </w:pPr>
      <w:r w:rsidRPr="00B23505">
        <w:rPr>
          <w:sz w:val="32"/>
          <w:szCs w:val="32"/>
          <w:lang w:val="en-US"/>
        </w:rPr>
        <w:br w:type="page"/>
      </w:r>
      <w:r w:rsidR="24BC9D5A" w:rsidRPr="00B23505">
        <w:rPr>
          <w:rFonts w:ascii="Calibri" w:eastAsia="Calibri" w:hAnsi="Calibri" w:cs="Calibri"/>
          <w:b/>
          <w:bCs/>
          <w:sz w:val="32"/>
          <w:szCs w:val="32"/>
          <w:lang w:val="en-US"/>
        </w:rPr>
        <w:lastRenderedPageBreak/>
        <w:t xml:space="preserve">Scenarios </w:t>
      </w:r>
      <w:r w:rsidR="24BC9D5A" w:rsidRPr="15127EAE">
        <w:rPr>
          <w:rFonts w:ascii="Calibri" w:eastAsia="Calibri" w:hAnsi="Calibri" w:cs="Calibri"/>
          <w:b/>
          <w:bCs/>
          <w:sz w:val="32"/>
          <w:szCs w:val="32"/>
          <w:lang w:val="en-US"/>
        </w:rPr>
        <w:t>w</w:t>
      </w:r>
      <w:r w:rsidR="24BC9D5A" w:rsidRPr="00B23505">
        <w:rPr>
          <w:rFonts w:ascii="Calibri" w:eastAsia="Calibri" w:hAnsi="Calibri" w:cs="Calibri"/>
          <w:b/>
          <w:bCs/>
          <w:sz w:val="32"/>
          <w:szCs w:val="32"/>
          <w:lang w:val="en-US"/>
        </w:rPr>
        <w:t>here “Raw Gene-sets” may be preferred</w:t>
      </w:r>
    </w:p>
    <w:p w14:paraId="740D0B93" w14:textId="7D93D6F0" w:rsidR="0085421B" w:rsidRDefault="24BC9D5A" w:rsidP="00B23505">
      <w:pPr>
        <w:jc w:val="both"/>
        <w:rPr>
          <w:rFonts w:ascii="Calibri" w:eastAsia="Calibri" w:hAnsi="Calibri" w:cs="Calibri"/>
        </w:rPr>
      </w:pPr>
      <w:proofErr w:type="spellStart"/>
      <w:r w:rsidRPr="15127EAE">
        <w:rPr>
          <w:rFonts w:ascii="Calibri" w:eastAsia="Calibri" w:hAnsi="Calibri" w:cs="Calibri"/>
        </w:rPr>
        <w:t>While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the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r w:rsidRPr="15127EAE">
        <w:rPr>
          <w:rFonts w:ascii="Calibri" w:eastAsia="Calibri" w:hAnsi="Calibri" w:cs="Calibri"/>
          <w:i/>
          <w:iCs/>
        </w:rPr>
        <w:t>“</w:t>
      </w:r>
      <w:proofErr w:type="spellStart"/>
      <w:r w:rsidRPr="15127EAE">
        <w:rPr>
          <w:rFonts w:ascii="Calibri" w:eastAsia="Calibri" w:hAnsi="Calibri" w:cs="Calibri"/>
          <w:i/>
          <w:iCs/>
        </w:rPr>
        <w:t>Unique</w:t>
      </w:r>
      <w:proofErr w:type="spellEnd"/>
      <w:r w:rsidRPr="15127EAE">
        <w:rPr>
          <w:rFonts w:ascii="Calibri" w:eastAsia="Calibri" w:hAnsi="Calibri" w:cs="Calibri"/>
          <w:i/>
          <w:iCs/>
        </w:rPr>
        <w:t xml:space="preserve"> Gene-sets”</w:t>
      </w:r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method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is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recommended</w:t>
      </w:r>
      <w:proofErr w:type="spellEnd"/>
      <w:r w:rsidRPr="15127EAE">
        <w:rPr>
          <w:rFonts w:ascii="Calibri" w:eastAsia="Calibri" w:hAnsi="Calibri" w:cs="Calibri"/>
        </w:rPr>
        <w:t xml:space="preserve"> in </w:t>
      </w:r>
      <w:proofErr w:type="spellStart"/>
      <w:r w:rsidRPr="15127EAE">
        <w:rPr>
          <w:rFonts w:ascii="Calibri" w:eastAsia="Calibri" w:hAnsi="Calibri" w:cs="Calibri"/>
        </w:rPr>
        <w:t>most</w:t>
      </w:r>
      <w:proofErr w:type="spellEnd"/>
      <w:r w:rsidRPr="15127EAE">
        <w:rPr>
          <w:rFonts w:ascii="Calibri" w:eastAsia="Calibri" w:hAnsi="Calibri" w:cs="Calibri"/>
        </w:rPr>
        <w:t xml:space="preserve"> cases </w:t>
      </w:r>
      <w:proofErr w:type="spellStart"/>
      <w:r w:rsidRPr="15127EAE">
        <w:rPr>
          <w:rFonts w:ascii="Calibri" w:eastAsia="Calibri" w:hAnsi="Calibri" w:cs="Calibri"/>
        </w:rPr>
        <w:t>for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its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ability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to</w:t>
      </w:r>
      <w:proofErr w:type="spellEnd"/>
      <w:r w:rsidRPr="15127EAE">
        <w:rPr>
          <w:rFonts w:ascii="Calibri" w:eastAsia="Calibri" w:hAnsi="Calibri" w:cs="Calibri"/>
        </w:rPr>
        <w:t xml:space="preserve"> reduce </w:t>
      </w:r>
      <w:proofErr w:type="spellStart"/>
      <w:r w:rsidRPr="15127EAE">
        <w:rPr>
          <w:rFonts w:ascii="Calibri" w:eastAsia="Calibri" w:hAnsi="Calibri" w:cs="Calibri"/>
        </w:rPr>
        <w:t>redundancy</w:t>
      </w:r>
      <w:proofErr w:type="spellEnd"/>
      <w:r w:rsidRPr="15127EAE">
        <w:rPr>
          <w:rFonts w:ascii="Calibri" w:eastAsia="Calibri" w:hAnsi="Calibri" w:cs="Calibri"/>
        </w:rPr>
        <w:t xml:space="preserve"> and </w:t>
      </w:r>
      <w:proofErr w:type="spellStart"/>
      <w:r w:rsidRPr="15127EAE">
        <w:rPr>
          <w:rFonts w:ascii="Calibri" w:eastAsia="Calibri" w:hAnsi="Calibri" w:cs="Calibri"/>
        </w:rPr>
        <w:t>enhance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interpretability</w:t>
      </w:r>
      <w:proofErr w:type="spellEnd"/>
      <w:r w:rsidRPr="15127EAE">
        <w:rPr>
          <w:rFonts w:ascii="Calibri" w:eastAsia="Calibri" w:hAnsi="Calibri" w:cs="Calibri"/>
        </w:rPr>
        <w:t xml:space="preserve">, </w:t>
      </w:r>
      <w:proofErr w:type="spellStart"/>
      <w:r w:rsidRPr="15127EAE">
        <w:rPr>
          <w:rFonts w:ascii="Calibri" w:eastAsia="Calibri" w:hAnsi="Calibri" w:cs="Calibri"/>
        </w:rPr>
        <w:t>there</w:t>
      </w:r>
      <w:proofErr w:type="spellEnd"/>
      <w:r w:rsidRPr="15127EAE">
        <w:rPr>
          <w:rFonts w:ascii="Calibri" w:eastAsia="Calibri" w:hAnsi="Calibri" w:cs="Calibri"/>
        </w:rPr>
        <w:t xml:space="preserve"> are </w:t>
      </w:r>
      <w:proofErr w:type="spellStart"/>
      <w:r w:rsidRPr="15127EAE">
        <w:rPr>
          <w:rFonts w:ascii="Calibri" w:eastAsia="Calibri" w:hAnsi="Calibri" w:cs="Calibri"/>
        </w:rPr>
        <w:t>scenarios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where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the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r w:rsidRPr="15127EAE">
        <w:rPr>
          <w:rFonts w:ascii="Calibri" w:eastAsia="Calibri" w:hAnsi="Calibri" w:cs="Calibri"/>
          <w:i/>
          <w:iCs/>
        </w:rPr>
        <w:t>“Raw Gene-sets”</w:t>
      </w:r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method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may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offer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analytical</w:t>
      </w:r>
      <w:proofErr w:type="spellEnd"/>
      <w:r w:rsidRPr="15127EAE">
        <w:rPr>
          <w:rFonts w:ascii="Calibri" w:eastAsia="Calibri" w:hAnsi="Calibri" w:cs="Calibri"/>
        </w:rPr>
        <w:t xml:space="preserve"> </w:t>
      </w:r>
      <w:proofErr w:type="spellStart"/>
      <w:r w:rsidRPr="15127EAE">
        <w:rPr>
          <w:rFonts w:ascii="Calibri" w:eastAsia="Calibri" w:hAnsi="Calibri" w:cs="Calibri"/>
        </w:rPr>
        <w:t>advantages</w:t>
      </w:r>
      <w:proofErr w:type="spellEnd"/>
      <w:r w:rsidRPr="15127EAE">
        <w:rPr>
          <w:rFonts w:ascii="Calibri" w:eastAsia="Calibri" w:hAnsi="Calibri" w:cs="Calibri"/>
        </w:rPr>
        <w:t>:</w:t>
      </w:r>
    </w:p>
    <w:p w14:paraId="1F3E049A" w14:textId="38F4F0E1" w:rsidR="0085421B" w:rsidRDefault="0085421B" w:rsidP="15127EAE">
      <w:pPr>
        <w:jc w:val="both"/>
        <w:rPr>
          <w:rFonts w:ascii="Calibri" w:eastAsia="Calibri" w:hAnsi="Calibri" w:cs="Calibri"/>
        </w:rPr>
      </w:pPr>
    </w:p>
    <w:p w14:paraId="48A9659A" w14:textId="543F0097" w:rsidR="0085421B" w:rsidRDefault="0085421B" w:rsidP="15127EAE">
      <w:pPr>
        <w:rPr>
          <w:b/>
          <w:bCs/>
          <w:lang w:val="en-US"/>
        </w:rPr>
      </w:pPr>
    </w:p>
    <w:p w14:paraId="5D79A2ED" w14:textId="71B9AC7A" w:rsidR="0085421B" w:rsidRDefault="3A1B14E0" w:rsidP="00B23505">
      <w:pPr>
        <w:pStyle w:val="Prrafodelista"/>
        <w:numPr>
          <w:ilvl w:val="0"/>
          <w:numId w:val="1"/>
        </w:numPr>
        <w:rPr>
          <w:rFonts w:ascii="Calibri" w:eastAsia="Calibri" w:hAnsi="Calibri" w:cs="Calibri"/>
          <w:b/>
          <w:bCs/>
          <w:lang w:val="en-US"/>
        </w:rPr>
      </w:pPr>
      <w:r w:rsidRPr="15127EAE">
        <w:rPr>
          <w:b/>
          <w:bCs/>
          <w:lang w:val="en-US"/>
        </w:rPr>
        <w:t>Comparative analysis across conditions or tools</w:t>
      </w:r>
    </w:p>
    <w:p w14:paraId="42E7C389" w14:textId="6431D2DF" w:rsidR="0085421B" w:rsidRDefault="0085421B" w:rsidP="00B23505">
      <w:pPr>
        <w:spacing w:line="259" w:lineRule="auto"/>
        <w:jc w:val="both"/>
        <w:rPr>
          <w:rFonts w:ascii="Calibri" w:eastAsia="Calibri" w:hAnsi="Calibri" w:cs="Calibri"/>
          <w:lang w:val="en-US"/>
        </w:rPr>
      </w:pPr>
      <w:r>
        <w:br/>
      </w:r>
      <w:r w:rsidR="24BC9D5A" w:rsidRPr="15127EAE">
        <w:rPr>
          <w:rFonts w:ascii="Calibri" w:eastAsia="Calibri" w:hAnsi="Calibri" w:cs="Calibri"/>
          <w:lang w:val="en-US"/>
        </w:rPr>
        <w:t>In multi-condition or multi-omics studies, users may wish to retain duplicated gene-set entries to inspect how the same pathway appears across multiple comparisons or biological layers. For example, gene-set enrichment might be performed separately on:</w:t>
      </w:r>
      <w:r w:rsidR="3CD0580D" w:rsidRPr="15127EAE">
        <w:rPr>
          <w:rFonts w:ascii="Calibri" w:eastAsia="Calibri" w:hAnsi="Calibri" w:cs="Calibri"/>
          <w:lang w:val="en-US"/>
        </w:rPr>
        <w:t xml:space="preserve"> </w:t>
      </w:r>
      <w:r w:rsidR="24BC9D5A" w:rsidRPr="15127EAE">
        <w:rPr>
          <w:rFonts w:ascii="Calibri" w:eastAsia="Calibri" w:hAnsi="Calibri" w:cs="Calibri"/>
          <w:b/>
          <w:bCs/>
          <w:lang w:val="en-US"/>
        </w:rPr>
        <w:t>Differentially expressed genes (DEGs)</w:t>
      </w:r>
      <w:r w:rsidR="24BC9D5A" w:rsidRPr="15127EAE">
        <w:rPr>
          <w:rFonts w:ascii="Calibri" w:eastAsia="Calibri" w:hAnsi="Calibri" w:cs="Calibri"/>
          <w:lang w:val="en-US"/>
        </w:rPr>
        <w:t xml:space="preserve"> from transcriptomic data (e.g., RNA-seq)</w:t>
      </w:r>
      <w:r w:rsidR="312C3BBA" w:rsidRPr="15127EAE">
        <w:rPr>
          <w:rFonts w:ascii="Calibri" w:eastAsia="Calibri" w:hAnsi="Calibri" w:cs="Calibri"/>
          <w:lang w:val="en-US"/>
        </w:rPr>
        <w:t xml:space="preserve"> and </w:t>
      </w:r>
      <w:r w:rsidR="24BC9D5A" w:rsidRPr="15127EAE">
        <w:rPr>
          <w:rFonts w:ascii="Calibri" w:eastAsia="Calibri" w:hAnsi="Calibri" w:cs="Calibri"/>
          <w:b/>
          <w:bCs/>
          <w:lang w:val="en-US"/>
        </w:rPr>
        <w:t>Peak-associated genes</w:t>
      </w:r>
      <w:r w:rsidR="24BC9D5A" w:rsidRPr="15127EAE">
        <w:rPr>
          <w:rFonts w:ascii="Calibri" w:eastAsia="Calibri" w:hAnsi="Calibri" w:cs="Calibri"/>
          <w:lang w:val="en-US"/>
        </w:rPr>
        <w:t xml:space="preserve"> derived from chromatin accessibility data (e.g., ATAC-seq)</w:t>
      </w:r>
      <w:r w:rsidR="1C3EDF5F" w:rsidRPr="15127EAE">
        <w:rPr>
          <w:rFonts w:ascii="Calibri" w:eastAsia="Calibri" w:hAnsi="Calibri" w:cs="Calibri"/>
          <w:lang w:val="en-US"/>
        </w:rPr>
        <w:t>.</w:t>
      </w:r>
    </w:p>
    <w:p w14:paraId="78DEDACD" w14:textId="3C213AF9" w:rsidR="0085421B" w:rsidRDefault="24BC9D5A" w:rsidP="00B23505">
      <w:pPr>
        <w:spacing w:before="240" w:after="240" w:line="259" w:lineRule="auto"/>
        <w:jc w:val="both"/>
        <w:rPr>
          <w:rFonts w:ascii="Calibri" w:eastAsia="Calibri" w:hAnsi="Calibri" w:cs="Calibri"/>
        </w:rPr>
      </w:pPr>
      <w:r w:rsidRPr="15127EAE">
        <w:rPr>
          <w:rFonts w:ascii="Calibri" w:eastAsia="Calibri" w:hAnsi="Calibri" w:cs="Calibri"/>
          <w:lang w:val="en-US"/>
        </w:rPr>
        <w:t xml:space="preserve">This is especially relevant in </w:t>
      </w:r>
      <w:r w:rsidRPr="00B23505">
        <w:rPr>
          <w:rFonts w:ascii="Calibri" w:eastAsia="Calibri" w:hAnsi="Calibri" w:cs="Calibri"/>
          <w:lang w:val="en-US"/>
        </w:rPr>
        <w:t>matched multi-</w:t>
      </w:r>
      <w:proofErr w:type="spellStart"/>
      <w:r w:rsidRPr="00B23505">
        <w:rPr>
          <w:rFonts w:ascii="Calibri" w:eastAsia="Calibri" w:hAnsi="Calibri" w:cs="Calibri"/>
          <w:lang w:val="en-US"/>
        </w:rPr>
        <w:t>omic</w:t>
      </w:r>
      <w:proofErr w:type="spellEnd"/>
      <w:r w:rsidRPr="00B23505">
        <w:rPr>
          <w:rFonts w:ascii="Calibri" w:eastAsia="Calibri" w:hAnsi="Calibri" w:cs="Calibri"/>
          <w:lang w:val="en-US"/>
        </w:rPr>
        <w:t xml:space="preserve"> datasets</w:t>
      </w:r>
      <w:r w:rsidRPr="15127EAE">
        <w:rPr>
          <w:rFonts w:ascii="Calibri" w:eastAsia="Calibri" w:hAnsi="Calibri" w:cs="Calibri"/>
          <w:lang w:val="en-US"/>
        </w:rPr>
        <w:t xml:space="preserve"> where both transcriptome and chromatin accessibility are profiled in the same single cells (e.g., 10x Genomics </w:t>
      </w:r>
      <w:proofErr w:type="spellStart"/>
      <w:r w:rsidRPr="15127EAE">
        <w:rPr>
          <w:rFonts w:ascii="Calibri" w:eastAsia="Calibri" w:hAnsi="Calibri" w:cs="Calibri"/>
          <w:lang w:val="en-US"/>
        </w:rPr>
        <w:t>Multiome</w:t>
      </w:r>
      <w:proofErr w:type="spellEnd"/>
      <w:r w:rsidRPr="15127EAE">
        <w:rPr>
          <w:rFonts w:ascii="Calibri" w:eastAsia="Calibri" w:hAnsi="Calibri" w:cs="Calibri"/>
          <w:lang w:val="en-US"/>
        </w:rPr>
        <w:t xml:space="preserve"> data). Even if both layers highlight the same gene-set (e.g., GO:0007612), the underlying gene contributors may differ due to regulatory or post-transcriptional differences. Treating these as separate entries, as done in the </w:t>
      </w:r>
      <w:r w:rsidRPr="15127EAE">
        <w:rPr>
          <w:rFonts w:ascii="Calibri" w:eastAsia="Calibri" w:hAnsi="Calibri" w:cs="Calibri"/>
          <w:i/>
          <w:iCs/>
          <w:lang w:val="en-US"/>
        </w:rPr>
        <w:t>Raw Gene-sets</w:t>
      </w:r>
      <w:r w:rsidRPr="15127EAE">
        <w:rPr>
          <w:rFonts w:ascii="Calibri" w:eastAsia="Calibri" w:hAnsi="Calibri" w:cs="Calibri"/>
          <w:lang w:val="en-US"/>
        </w:rPr>
        <w:t xml:space="preserve"> approach, allows users to explore such </w:t>
      </w:r>
      <w:r w:rsidRPr="00B23505">
        <w:rPr>
          <w:rFonts w:ascii="Calibri" w:eastAsia="Calibri" w:hAnsi="Calibri" w:cs="Calibri"/>
          <w:lang w:val="en-US"/>
        </w:rPr>
        <w:t>modality-specific pathway activity</w:t>
      </w:r>
      <w:r w:rsidRPr="15127EAE">
        <w:rPr>
          <w:rFonts w:ascii="Calibri" w:eastAsia="Calibri" w:hAnsi="Calibri" w:cs="Calibri"/>
          <w:lang w:val="en-US"/>
        </w:rPr>
        <w:t xml:space="preserve"> without premature merging.</w:t>
      </w:r>
    </w:p>
    <w:p w14:paraId="056970B7" w14:textId="3C6819F2" w:rsidR="0085421B" w:rsidRDefault="24BC9D5A" w:rsidP="00B23505">
      <w:pPr>
        <w:pStyle w:val="Prrafodelista"/>
        <w:numPr>
          <w:ilvl w:val="0"/>
          <w:numId w:val="6"/>
        </w:numPr>
        <w:spacing w:before="240"/>
        <w:jc w:val="both"/>
        <w:rPr>
          <w:rFonts w:ascii="Calibri" w:eastAsia="Calibri" w:hAnsi="Calibri" w:cs="Calibri"/>
        </w:rPr>
      </w:pPr>
      <w:r w:rsidRPr="15127EAE">
        <w:rPr>
          <w:rFonts w:ascii="Calibri" w:eastAsia="Calibri" w:hAnsi="Calibri" w:cs="Calibri"/>
          <w:b/>
          <w:bCs/>
        </w:rPr>
        <w:t xml:space="preserve">Tracking </w:t>
      </w:r>
      <w:proofErr w:type="spellStart"/>
      <w:r w:rsidR="04C8C980" w:rsidRPr="15127EAE">
        <w:rPr>
          <w:rFonts w:ascii="Calibri" w:eastAsia="Calibri" w:hAnsi="Calibri" w:cs="Calibri"/>
          <w:b/>
          <w:bCs/>
        </w:rPr>
        <w:t>v</w:t>
      </w:r>
      <w:r w:rsidRPr="15127EAE">
        <w:rPr>
          <w:rFonts w:ascii="Calibri" w:eastAsia="Calibri" w:hAnsi="Calibri" w:cs="Calibri"/>
          <w:b/>
          <w:bCs/>
        </w:rPr>
        <w:t>ariability</w:t>
      </w:r>
      <w:proofErr w:type="spellEnd"/>
      <w:r w:rsidRPr="15127EAE">
        <w:rPr>
          <w:rFonts w:ascii="Calibri" w:eastAsia="Calibri" w:hAnsi="Calibri" w:cs="Calibri"/>
          <w:b/>
          <w:bCs/>
        </w:rPr>
        <w:t xml:space="preserve"> in </w:t>
      </w:r>
      <w:r w:rsidR="1EDB976A" w:rsidRPr="15127EAE">
        <w:rPr>
          <w:rFonts w:ascii="Calibri" w:eastAsia="Calibri" w:hAnsi="Calibri" w:cs="Calibri"/>
          <w:b/>
          <w:bCs/>
        </w:rPr>
        <w:t>g</w:t>
      </w:r>
      <w:r w:rsidRPr="15127EAE">
        <w:rPr>
          <w:rFonts w:ascii="Calibri" w:eastAsia="Calibri" w:hAnsi="Calibri" w:cs="Calibri"/>
          <w:b/>
          <w:bCs/>
        </w:rPr>
        <w:t>ene-</w:t>
      </w:r>
      <w:r w:rsidR="2C8890D5" w:rsidRPr="15127EAE">
        <w:rPr>
          <w:rFonts w:ascii="Calibri" w:eastAsia="Calibri" w:hAnsi="Calibri" w:cs="Calibri"/>
          <w:b/>
          <w:bCs/>
        </w:rPr>
        <w:t>s</w:t>
      </w:r>
      <w:r w:rsidRPr="15127EAE">
        <w:rPr>
          <w:rFonts w:ascii="Calibri" w:eastAsia="Calibri" w:hAnsi="Calibri" w:cs="Calibri"/>
          <w:b/>
          <w:bCs/>
        </w:rPr>
        <w:t xml:space="preserve">et </w:t>
      </w:r>
      <w:proofErr w:type="spellStart"/>
      <w:r w:rsidR="7563E7C5" w:rsidRPr="15127EAE">
        <w:rPr>
          <w:rFonts w:ascii="Calibri" w:eastAsia="Calibri" w:hAnsi="Calibri" w:cs="Calibri"/>
          <w:b/>
          <w:bCs/>
        </w:rPr>
        <w:t>m</w:t>
      </w:r>
      <w:r w:rsidRPr="15127EAE">
        <w:rPr>
          <w:rFonts w:ascii="Calibri" w:eastAsia="Calibri" w:hAnsi="Calibri" w:cs="Calibri"/>
          <w:b/>
          <w:bCs/>
        </w:rPr>
        <w:t>embership</w:t>
      </w:r>
      <w:proofErr w:type="spellEnd"/>
    </w:p>
    <w:p w14:paraId="21AEC808" w14:textId="7612B143" w:rsidR="0085421B" w:rsidRDefault="0085421B" w:rsidP="00B23505">
      <w:pPr>
        <w:spacing w:after="240" w:line="259" w:lineRule="auto"/>
        <w:jc w:val="both"/>
        <w:rPr>
          <w:rFonts w:ascii="Calibri" w:eastAsia="Calibri" w:hAnsi="Calibri" w:cs="Calibri"/>
          <w:b/>
          <w:bCs/>
          <w:lang w:val="en-US"/>
        </w:rPr>
      </w:pPr>
      <w:r>
        <w:br/>
      </w:r>
      <w:r w:rsidR="510FD449" w:rsidRPr="00B23505">
        <w:rPr>
          <w:rFonts w:ascii="Calibri" w:eastAsia="Calibri" w:hAnsi="Calibri" w:cs="Calibri"/>
          <w:lang w:val="en-US"/>
        </w:rPr>
        <w:t>The same gene set ID may be enriched in multiple experimental contrasts but involve distinct subsets of genes. Preserving each occurrence allows inspection of</w:t>
      </w:r>
      <w:r w:rsidR="510FD449" w:rsidRPr="15127EAE">
        <w:rPr>
          <w:rFonts w:ascii="Calibri" w:eastAsia="Calibri" w:hAnsi="Calibri" w:cs="Calibri"/>
          <w:b/>
          <w:bCs/>
          <w:lang w:val="en-US"/>
        </w:rPr>
        <w:t xml:space="preserve"> </w:t>
      </w:r>
      <w:r w:rsidR="510FD449" w:rsidRPr="00B23505">
        <w:rPr>
          <w:rFonts w:ascii="Calibri" w:eastAsia="Calibri" w:hAnsi="Calibri" w:cs="Calibri"/>
          <w:lang w:val="en-US"/>
        </w:rPr>
        <w:t>context-specific drivers and highlights biological nuance within broad functional terms. This can reveal distinct patterns of gene usage within a pathway across stimuli, time points, or conditions.</w:t>
      </w:r>
    </w:p>
    <w:p w14:paraId="4488E0E8" w14:textId="44330356" w:rsidR="0085421B" w:rsidRDefault="566A0A36" w:rsidP="00B23505">
      <w:pPr>
        <w:pStyle w:val="Prrafodelista"/>
        <w:numPr>
          <w:ilvl w:val="0"/>
          <w:numId w:val="6"/>
        </w:numPr>
        <w:spacing w:line="259" w:lineRule="auto"/>
        <w:jc w:val="both"/>
        <w:rPr>
          <w:rFonts w:ascii="Calibri" w:eastAsia="Calibri" w:hAnsi="Calibri" w:cs="Calibri"/>
        </w:rPr>
      </w:pPr>
      <w:proofErr w:type="spellStart"/>
      <w:r w:rsidRPr="078986B6">
        <w:rPr>
          <w:rFonts w:ascii="Calibri" w:eastAsia="Calibri" w:hAnsi="Calibri" w:cs="Calibri"/>
          <w:b/>
          <w:bCs/>
        </w:rPr>
        <w:t>R</w:t>
      </w:r>
      <w:r w:rsidR="24BC9D5A" w:rsidRPr="078986B6">
        <w:rPr>
          <w:rFonts w:ascii="Calibri" w:eastAsia="Calibri" w:hAnsi="Calibri" w:cs="Calibri"/>
          <w:b/>
          <w:bCs/>
        </w:rPr>
        <w:t>eproducibility</w:t>
      </w:r>
      <w:proofErr w:type="spellEnd"/>
      <w:r w:rsidR="24BC9D5A" w:rsidRPr="078986B6">
        <w:rPr>
          <w:rFonts w:ascii="Calibri" w:eastAsia="Calibri" w:hAnsi="Calibri" w:cs="Calibri"/>
          <w:b/>
          <w:bCs/>
        </w:rPr>
        <w:t xml:space="preserve"> and </w:t>
      </w:r>
      <w:proofErr w:type="spellStart"/>
      <w:r w:rsidR="440CE1A8" w:rsidRPr="078986B6">
        <w:rPr>
          <w:rFonts w:ascii="Calibri" w:eastAsia="Calibri" w:hAnsi="Calibri" w:cs="Calibri"/>
          <w:b/>
          <w:bCs/>
        </w:rPr>
        <w:t>c</w:t>
      </w:r>
      <w:r w:rsidR="24BC9D5A" w:rsidRPr="078986B6">
        <w:rPr>
          <w:rFonts w:ascii="Calibri" w:eastAsia="Calibri" w:hAnsi="Calibri" w:cs="Calibri"/>
          <w:b/>
          <w:bCs/>
        </w:rPr>
        <w:t>ompatibility</w:t>
      </w:r>
      <w:proofErr w:type="spellEnd"/>
    </w:p>
    <w:p w14:paraId="00B5AA56" w14:textId="157BAE35" w:rsidR="00B07CA8" w:rsidRPr="000A38A6" w:rsidRDefault="0085421B" w:rsidP="000A38A6">
      <w:pPr>
        <w:spacing w:line="259" w:lineRule="auto"/>
        <w:jc w:val="both"/>
        <w:rPr>
          <w:rFonts w:ascii="Calibri" w:eastAsia="Calibri" w:hAnsi="Calibri" w:cs="Calibri"/>
          <w:lang w:val="en-US"/>
        </w:rPr>
      </w:pPr>
      <w:r>
        <w:br/>
      </w:r>
      <w:r w:rsidR="24BC9D5A" w:rsidRPr="15127EAE">
        <w:rPr>
          <w:rFonts w:ascii="Calibri" w:eastAsia="Calibri" w:hAnsi="Calibri" w:cs="Calibri"/>
          <w:lang w:val="en-US"/>
        </w:rPr>
        <w:t xml:space="preserve">Analyses originally performed using </w:t>
      </w:r>
      <w:proofErr w:type="spellStart"/>
      <w:r w:rsidR="24BC9D5A" w:rsidRPr="15127EAE">
        <w:rPr>
          <w:rFonts w:ascii="Calibri" w:eastAsia="Calibri" w:hAnsi="Calibri" w:cs="Calibri"/>
          <w:lang w:val="en-US"/>
        </w:rPr>
        <w:t>GeneSetCluster</w:t>
      </w:r>
      <w:proofErr w:type="spellEnd"/>
      <w:r w:rsidR="24BC9D5A" w:rsidRPr="15127EAE">
        <w:rPr>
          <w:rFonts w:ascii="Calibri" w:eastAsia="Calibri" w:hAnsi="Calibri" w:cs="Calibri"/>
          <w:lang w:val="en-US"/>
        </w:rPr>
        <w:t xml:space="preserve"> 1.0 relied on the </w:t>
      </w:r>
      <w:r w:rsidR="24BC9D5A" w:rsidRPr="15127EAE">
        <w:rPr>
          <w:rFonts w:ascii="Calibri" w:eastAsia="Calibri" w:hAnsi="Calibri" w:cs="Calibri"/>
          <w:i/>
          <w:iCs/>
          <w:lang w:val="en-US"/>
        </w:rPr>
        <w:t>Raw Gene-sets</w:t>
      </w:r>
      <w:r w:rsidR="24BC9D5A" w:rsidRPr="15127EAE">
        <w:rPr>
          <w:rFonts w:ascii="Calibri" w:eastAsia="Calibri" w:hAnsi="Calibri" w:cs="Calibri"/>
          <w:lang w:val="en-US"/>
        </w:rPr>
        <w:t xml:space="preserve"> methodology. Retaining this mode in version 2.0 ensures that users can replicate prior results or extend earlier projects without altering the structure of the input data.</w:t>
      </w:r>
      <w:r w:rsidR="00B07CA8">
        <w:rPr>
          <w:rFonts w:cstheme="minorHAnsi"/>
          <w:lang w:val="en-US"/>
        </w:rPr>
        <w:br w:type="page"/>
      </w:r>
    </w:p>
    <w:p w14:paraId="351FB03B" w14:textId="69F5406E" w:rsidR="00B07CA8" w:rsidRDefault="00B07CA8" w:rsidP="00B07CA8">
      <w:pPr>
        <w:spacing w:after="160" w:line="259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br w:type="page"/>
      </w:r>
      <w:r w:rsidR="005D6683" w:rsidRPr="005D1D6D"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4E6228A" wp14:editId="68D20455">
            <wp:simplePos x="0" y="0"/>
            <wp:positionH relativeFrom="column">
              <wp:posOffset>-1</wp:posOffset>
            </wp:positionH>
            <wp:positionV relativeFrom="paragraph">
              <wp:posOffset>18131</wp:posOffset>
            </wp:positionV>
            <wp:extent cx="5119007" cy="9099208"/>
            <wp:effectExtent l="0" t="0" r="0" b="0"/>
            <wp:wrapNone/>
            <wp:docPr id="1915293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95222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007" cy="9099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BF600" w14:textId="5B72F728" w:rsidR="0015021E" w:rsidRPr="000A38A6" w:rsidRDefault="0015021E" w:rsidP="000A38A6">
      <w:pPr>
        <w:spacing w:before="100" w:beforeAutospacing="1" w:after="100" w:afterAutospacing="1"/>
        <w:jc w:val="both"/>
        <w:rPr>
          <w:rFonts w:eastAsia="Times New Roman" w:cstheme="minorHAnsi"/>
          <w:kern w:val="0"/>
          <w:lang w:val="en-US" w:eastAsia="es-ES"/>
          <w14:ligatures w14:val="none"/>
        </w:rPr>
      </w:pPr>
      <w:r>
        <w:rPr>
          <w:rFonts w:eastAsia="Times New Roman" w:cstheme="minorHAnsi"/>
          <w:b/>
          <w:bCs/>
          <w:kern w:val="0"/>
          <w:lang w:val="en-US" w:eastAsia="es-ES"/>
          <w14:ligatures w14:val="none"/>
        </w:rPr>
        <w:lastRenderedPageBreak/>
        <w:t>F</w:t>
      </w:r>
      <w:r w:rsidRPr="005D1D6D">
        <w:rPr>
          <w:rFonts w:eastAsia="Times New Roman" w:cstheme="minorHAnsi"/>
          <w:b/>
          <w:bCs/>
          <w:kern w:val="0"/>
          <w:lang w:val="en-US" w:eastAsia="es-ES"/>
          <w14:ligatures w14:val="none"/>
        </w:rPr>
        <w:t>ig</w:t>
      </w:r>
      <w:r>
        <w:rPr>
          <w:rFonts w:eastAsia="Times New Roman" w:cstheme="minorHAnsi"/>
          <w:b/>
          <w:bCs/>
          <w:kern w:val="0"/>
          <w:lang w:val="en-US" w:eastAsia="es-ES"/>
          <w14:ligatures w14:val="none"/>
        </w:rPr>
        <w:t>.</w:t>
      </w:r>
      <w:r w:rsidRPr="005D1D6D">
        <w:rPr>
          <w:rFonts w:eastAsia="Times New Roman" w:cstheme="minorHAnsi"/>
          <w:b/>
          <w:bCs/>
          <w:kern w:val="0"/>
          <w:lang w:val="en-US" w:eastAsia="es-ES"/>
          <w14:ligatures w14:val="none"/>
        </w:rPr>
        <w:t xml:space="preserve"> S1</w:t>
      </w:r>
      <w:r>
        <w:rPr>
          <w:rFonts w:eastAsia="Times New Roman" w:cstheme="minorHAnsi"/>
          <w:b/>
          <w:bCs/>
          <w:kern w:val="0"/>
          <w:lang w:val="en-US" w:eastAsia="es-ES"/>
          <w14:ligatures w14:val="none"/>
        </w:rPr>
        <w:t>.</w:t>
      </w:r>
      <w:r w:rsidRPr="0015021E">
        <w:rPr>
          <w:rFonts w:eastAsia="Times New Roman" w:cstheme="minorHAnsi"/>
          <w:b/>
          <w:kern w:val="0"/>
          <w:lang w:val="en-US" w:eastAsia="es-ES"/>
          <w14:ligatures w14:val="none"/>
        </w:rPr>
        <w:t xml:space="preserve"> General workflow of </w:t>
      </w:r>
      <w:proofErr w:type="spellStart"/>
      <w:r w:rsidRPr="0015021E">
        <w:rPr>
          <w:rFonts w:eastAsia="Times New Roman" w:cstheme="minorHAnsi"/>
          <w:b/>
          <w:kern w:val="0"/>
          <w:lang w:val="en-US" w:eastAsia="es-ES"/>
          <w14:ligatures w14:val="none"/>
        </w:rPr>
        <w:t>GeneSetCluster</w:t>
      </w:r>
      <w:proofErr w:type="spellEnd"/>
      <w:r w:rsidRPr="0015021E">
        <w:rPr>
          <w:rFonts w:eastAsia="Times New Roman" w:cstheme="minorHAnsi"/>
          <w:b/>
          <w:kern w:val="0"/>
          <w:lang w:val="en-US" w:eastAsia="es-ES"/>
          <w14:ligatures w14:val="none"/>
        </w:rPr>
        <w:t xml:space="preserve"> 2.0.</w:t>
      </w:r>
      <w:r>
        <w:rPr>
          <w:rFonts w:eastAsia="Times New Roman" w:cstheme="minorHAnsi"/>
          <w:kern w:val="0"/>
          <w:lang w:val="en-US" w:eastAsia="es-ES"/>
          <w14:ligatures w14:val="none"/>
        </w:rPr>
        <w:t xml:space="preserve"> This diagram shows the main steps of </w:t>
      </w:r>
      <w:proofErr w:type="spellStart"/>
      <w:r>
        <w:rPr>
          <w:rFonts w:eastAsia="Times New Roman" w:cstheme="minorHAnsi"/>
          <w:kern w:val="0"/>
          <w:lang w:val="en-US" w:eastAsia="es-ES"/>
          <w14:ligatures w14:val="none"/>
        </w:rPr>
        <w:t>GeneSetCluster</w:t>
      </w:r>
      <w:proofErr w:type="spellEnd"/>
      <w:r>
        <w:rPr>
          <w:rFonts w:eastAsia="Times New Roman" w:cstheme="minorHAnsi"/>
          <w:kern w:val="0"/>
          <w:lang w:val="en-US" w:eastAsia="es-ES"/>
          <w14:ligatures w14:val="none"/>
        </w:rPr>
        <w:t xml:space="preserve"> 2.0 workflow: harmonization, combining, clustering, annotation, and annotation+.</w:t>
      </w:r>
    </w:p>
    <w:sectPr w:rsidR="0015021E" w:rsidRPr="000A38A6" w:rsidSect="00B07CA8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A9975" w14:textId="77777777" w:rsidR="006C0B61" w:rsidRDefault="006C0B61" w:rsidP="0015021E">
      <w:r>
        <w:separator/>
      </w:r>
    </w:p>
  </w:endnote>
  <w:endnote w:type="continuationSeparator" w:id="0">
    <w:p w14:paraId="6C3E740C" w14:textId="77777777" w:rsidR="006C0B61" w:rsidRDefault="006C0B61" w:rsidP="0015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941DD" w14:textId="4B840D3E" w:rsidR="0015021E" w:rsidRDefault="0015021E">
    <w:pPr>
      <w:pStyle w:val="Piedepgina"/>
    </w:pPr>
  </w:p>
  <w:p w14:paraId="23FCDBA4" w14:textId="77777777" w:rsidR="0015021E" w:rsidRDefault="001502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3B7C4" w14:textId="77777777" w:rsidR="006C0B61" w:rsidRDefault="006C0B61" w:rsidP="0015021E">
      <w:r>
        <w:separator/>
      </w:r>
    </w:p>
  </w:footnote>
  <w:footnote w:type="continuationSeparator" w:id="0">
    <w:p w14:paraId="7A7AF06A" w14:textId="77777777" w:rsidR="006C0B61" w:rsidRDefault="006C0B61" w:rsidP="00150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5127EAE" w14:paraId="170E80D5" w14:textId="77777777" w:rsidTr="00B23505">
      <w:trPr>
        <w:trHeight w:val="300"/>
      </w:trPr>
      <w:tc>
        <w:tcPr>
          <w:tcW w:w="3120" w:type="dxa"/>
        </w:tcPr>
        <w:p w14:paraId="46929875" w14:textId="510D4801" w:rsidR="15127EAE" w:rsidRDefault="15127EAE" w:rsidP="00B23505">
          <w:pPr>
            <w:pStyle w:val="Encabezado"/>
            <w:ind w:left="-115"/>
          </w:pPr>
        </w:p>
      </w:tc>
      <w:tc>
        <w:tcPr>
          <w:tcW w:w="3120" w:type="dxa"/>
        </w:tcPr>
        <w:p w14:paraId="579400E1" w14:textId="6FAAB99D" w:rsidR="15127EAE" w:rsidRDefault="15127EAE" w:rsidP="00B23505">
          <w:pPr>
            <w:pStyle w:val="Encabezado"/>
            <w:jc w:val="center"/>
          </w:pPr>
        </w:p>
      </w:tc>
      <w:tc>
        <w:tcPr>
          <w:tcW w:w="3120" w:type="dxa"/>
        </w:tcPr>
        <w:p w14:paraId="6EDD539D" w14:textId="61B49081" w:rsidR="15127EAE" w:rsidRDefault="15127EAE" w:rsidP="00B23505">
          <w:pPr>
            <w:pStyle w:val="Encabezado"/>
            <w:ind w:right="-115"/>
            <w:jc w:val="right"/>
          </w:pPr>
        </w:p>
      </w:tc>
    </w:tr>
  </w:tbl>
  <w:p w14:paraId="163880D3" w14:textId="3D57896B" w:rsidR="15127EAE" w:rsidRDefault="15127EAE" w:rsidP="00B235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30973"/>
    <w:multiLevelType w:val="multilevel"/>
    <w:tmpl w:val="4B48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1384F"/>
    <w:multiLevelType w:val="hybridMultilevel"/>
    <w:tmpl w:val="08644C68"/>
    <w:lvl w:ilvl="0" w:tplc="BA90D42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2641F3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53CC3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12F2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A0A1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AEA14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1AAB4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4226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930C6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D4CCB"/>
    <w:multiLevelType w:val="hybridMultilevel"/>
    <w:tmpl w:val="D8B8881E"/>
    <w:lvl w:ilvl="0" w:tplc="6E1245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D85B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948CAA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5A2B0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A455A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684115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6A03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FADC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B9A80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B99FD1"/>
    <w:multiLevelType w:val="hybridMultilevel"/>
    <w:tmpl w:val="AEE88EFA"/>
    <w:lvl w:ilvl="0" w:tplc="94D418C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B0F6686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FA42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04B9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E83F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6269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3DADA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682B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DBAD67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7CCC0D"/>
    <w:multiLevelType w:val="hybridMultilevel"/>
    <w:tmpl w:val="DB5AB72A"/>
    <w:lvl w:ilvl="0" w:tplc="7BF84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C0A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A23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83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0D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986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A2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60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29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44AA8"/>
    <w:multiLevelType w:val="multilevel"/>
    <w:tmpl w:val="8806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379E26"/>
    <w:multiLevelType w:val="hybridMultilevel"/>
    <w:tmpl w:val="BCE07E48"/>
    <w:lvl w:ilvl="0" w:tplc="2DF2F5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F212B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AA9E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5245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F4F1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31A4A1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6455E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F46F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BA84A5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264150"/>
    <w:multiLevelType w:val="multilevel"/>
    <w:tmpl w:val="DB2C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137EDF"/>
    <w:multiLevelType w:val="hybridMultilevel"/>
    <w:tmpl w:val="18DE46F4"/>
    <w:lvl w:ilvl="0" w:tplc="77A4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502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00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06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22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2C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41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64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C46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5277B"/>
    <w:multiLevelType w:val="hybridMultilevel"/>
    <w:tmpl w:val="F58208F6"/>
    <w:lvl w:ilvl="0" w:tplc="4372E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42F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0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4C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562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645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905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EB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4EB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05"/>
    <w:rsid w:val="0000316E"/>
    <w:rsid w:val="000A38A6"/>
    <w:rsid w:val="000C3506"/>
    <w:rsid w:val="0015021E"/>
    <w:rsid w:val="0019508C"/>
    <w:rsid w:val="001D08AF"/>
    <w:rsid w:val="002C6371"/>
    <w:rsid w:val="00341D35"/>
    <w:rsid w:val="00381DC9"/>
    <w:rsid w:val="00412B93"/>
    <w:rsid w:val="004E3807"/>
    <w:rsid w:val="004F316A"/>
    <w:rsid w:val="005D1D6D"/>
    <w:rsid w:val="005D6683"/>
    <w:rsid w:val="00693463"/>
    <w:rsid w:val="006C0B61"/>
    <w:rsid w:val="0078583C"/>
    <w:rsid w:val="0085421B"/>
    <w:rsid w:val="00915305"/>
    <w:rsid w:val="00960B0E"/>
    <w:rsid w:val="009D3BB3"/>
    <w:rsid w:val="00A253C6"/>
    <w:rsid w:val="00B07CA8"/>
    <w:rsid w:val="00B23505"/>
    <w:rsid w:val="00BA563E"/>
    <w:rsid w:val="00BC686F"/>
    <w:rsid w:val="00E65CBA"/>
    <w:rsid w:val="00ED6E81"/>
    <w:rsid w:val="00F4066C"/>
    <w:rsid w:val="04C8C980"/>
    <w:rsid w:val="078986B6"/>
    <w:rsid w:val="08159572"/>
    <w:rsid w:val="124EA2A1"/>
    <w:rsid w:val="15127EAE"/>
    <w:rsid w:val="1594DF65"/>
    <w:rsid w:val="190A010A"/>
    <w:rsid w:val="1C3EDF5F"/>
    <w:rsid w:val="1C6E372E"/>
    <w:rsid w:val="1E78E493"/>
    <w:rsid w:val="1EDB976A"/>
    <w:rsid w:val="22777636"/>
    <w:rsid w:val="22F0FAE8"/>
    <w:rsid w:val="24BC9D5A"/>
    <w:rsid w:val="2C8890D5"/>
    <w:rsid w:val="2E0738EE"/>
    <w:rsid w:val="312C3BBA"/>
    <w:rsid w:val="3218F597"/>
    <w:rsid w:val="388CC4BF"/>
    <w:rsid w:val="3A1B14E0"/>
    <w:rsid w:val="3A376415"/>
    <w:rsid w:val="3B4977E4"/>
    <w:rsid w:val="3BC66AFF"/>
    <w:rsid w:val="3BEE36A4"/>
    <w:rsid w:val="3CD0580D"/>
    <w:rsid w:val="440CE1A8"/>
    <w:rsid w:val="44817D83"/>
    <w:rsid w:val="510FD449"/>
    <w:rsid w:val="566A0A36"/>
    <w:rsid w:val="56FAED26"/>
    <w:rsid w:val="59905439"/>
    <w:rsid w:val="5D401130"/>
    <w:rsid w:val="6A39E2AC"/>
    <w:rsid w:val="70947AB0"/>
    <w:rsid w:val="74E078E8"/>
    <w:rsid w:val="7563E7C5"/>
    <w:rsid w:val="779CE6E3"/>
    <w:rsid w:val="7DB141D2"/>
    <w:rsid w:val="7DC7B2B9"/>
    <w:rsid w:val="7E02F987"/>
    <w:rsid w:val="7F9C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1FE6"/>
  <w15:chartTrackingRefBased/>
  <w15:docId w15:val="{AE06F339-78D3-45C4-9210-4B2865B5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305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tulo1">
    <w:name w:val="heading 1"/>
    <w:basedOn w:val="Normal"/>
    <w:link w:val="Ttulo1Car"/>
    <w:uiPriority w:val="9"/>
    <w:qFormat/>
    <w:rsid w:val="00BC68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C686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1530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915305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n">
    <w:name w:val="Revision"/>
    <w:hidden/>
    <w:uiPriority w:val="99"/>
    <w:semiHidden/>
    <w:rsid w:val="009D3BB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sid w:val="00BC686F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C686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customStyle="1" w:styleId="whitespace-pre-wrap">
    <w:name w:val="whitespace-pre-wrap"/>
    <w:basedOn w:val="Normal"/>
    <w:rsid w:val="00BC68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whitespace-normal">
    <w:name w:val="whitespace-normal"/>
    <w:basedOn w:val="Normal"/>
    <w:rsid w:val="00BC68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68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686F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Textodelmarcadordeposicin">
    <w:name w:val="Placeholder Text"/>
    <w:basedOn w:val="Fuentedeprrafopredeter"/>
    <w:uiPriority w:val="99"/>
    <w:semiHidden/>
    <w:rsid w:val="00BC686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150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021E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150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021E"/>
    <w:rPr>
      <w:kern w:val="2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15127EAE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B07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BD389D0341545B8D3650238506CC6" ma:contentTypeVersion="11" ma:contentTypeDescription="Create a new document." ma:contentTypeScope="" ma:versionID="fa74986a8fc8d5101cf59bf7a80cfc6d">
  <xsd:schema xmlns:xsd="http://www.w3.org/2001/XMLSchema" xmlns:xs="http://www.w3.org/2001/XMLSchema" xmlns:p="http://schemas.microsoft.com/office/2006/metadata/properties" xmlns:ns3="4f3a61a6-b0f4-4ebd-8740-ca35ed298250" targetNamespace="http://schemas.microsoft.com/office/2006/metadata/properties" ma:root="true" ma:fieldsID="4b826112dfecb540d8d57c3db0701877" ns3:_="">
    <xsd:import namespace="4f3a61a6-b0f4-4ebd-8740-ca35ed2982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a61a6-b0f4-4ebd-8740-ca35ed298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1A923A-2D30-4B13-9C27-58B8832ABF5F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4f3a61a6-b0f4-4ebd-8740-ca35ed298250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BDAFAE-5F18-4FBF-A254-B2C8677E5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a61a6-b0f4-4ebd-8740-ca35ed298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B4CFF2-D3E3-4B7C-A040-062AC1675F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509</Words>
  <Characters>2805</Characters>
  <Application>Microsoft Office Word</Application>
  <DocSecurity>0</DocSecurity>
  <Lines>23</Lines>
  <Paragraphs>6</Paragraphs>
  <ScaleCrop>false</ScaleCrop>
  <Company>Universidad Pública de Navarra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Asier Ortega Legarreta</dc:creator>
  <cp:keywords/>
  <dc:description/>
  <cp:lastModifiedBy>Asier Ortega Legarreta</cp:lastModifiedBy>
  <cp:revision>25</cp:revision>
  <dcterms:created xsi:type="dcterms:W3CDTF">2024-06-21T11:19:00Z</dcterms:created>
  <dcterms:modified xsi:type="dcterms:W3CDTF">2025-06-24T02:08:00Z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0x010100F6EBD389D0341545B8D3650238506CC6</vt:lpwstr>
  </property>
</Properties>
</file>