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A2346" w14:textId="77777777" w:rsidR="00004E0A" w:rsidRPr="00004E0A" w:rsidRDefault="00004E0A">
      <w:pPr>
        <w:rPr>
          <w:rFonts w:ascii="Times New Roman" w:hAnsi="Times New Roman" w:cs="Times New Roman"/>
        </w:rPr>
      </w:pPr>
    </w:p>
    <w:p w14:paraId="617F9F4F" w14:textId="08508181" w:rsidR="00004E0A" w:rsidRDefault="00004E0A" w:rsidP="00C63F7B">
      <w:pPr>
        <w:spacing w:line="276" w:lineRule="auto"/>
        <w:rPr>
          <w:rFonts w:ascii="Times New Roman" w:eastAsia="Times New Roman" w:hAnsi="Times New Roman" w:cs="Times New Roman"/>
          <w:b/>
        </w:rPr>
      </w:pPr>
      <w:r w:rsidRPr="00004E0A">
        <w:rPr>
          <w:rFonts w:ascii="Times New Roman" w:hAnsi="Times New Roman" w:cs="Times New Roman"/>
        </w:rPr>
        <w:t>Supplement</w:t>
      </w:r>
      <w:r w:rsidR="00C63F7B">
        <w:rPr>
          <w:rFonts w:ascii="Times New Roman" w:hAnsi="Times New Roman" w:cs="Times New Roman"/>
        </w:rPr>
        <w:t>ary materials for “</w:t>
      </w:r>
      <w:r w:rsidR="00C63F7B" w:rsidRPr="00742FE4">
        <w:rPr>
          <w:rFonts w:ascii="Times New Roman" w:eastAsia="Times New Roman" w:hAnsi="Times New Roman" w:cs="Times New Roman"/>
          <w:b/>
        </w:rPr>
        <w:t>ASET: An end-to-end pipeline for quantification and visualization of allele specific expression</w:t>
      </w:r>
      <w:r w:rsidR="00C63F7B">
        <w:rPr>
          <w:rFonts w:ascii="Times New Roman" w:eastAsia="Times New Roman" w:hAnsi="Times New Roman" w:cs="Times New Roman"/>
          <w:b/>
        </w:rPr>
        <w:t>”</w:t>
      </w:r>
      <w:r w:rsidR="00C63F7B" w:rsidRPr="00742FE4">
        <w:rPr>
          <w:rFonts w:ascii="Times New Roman" w:eastAsia="Times New Roman" w:hAnsi="Times New Roman" w:cs="Times New Roman"/>
          <w:b/>
        </w:rPr>
        <w:t xml:space="preserve"> </w:t>
      </w:r>
    </w:p>
    <w:p w14:paraId="6BA1F26D" w14:textId="77777777" w:rsidR="00C63F7B" w:rsidRPr="00C63F7B" w:rsidRDefault="00C63F7B" w:rsidP="00C63F7B">
      <w:pPr>
        <w:spacing w:line="276" w:lineRule="auto"/>
        <w:rPr>
          <w:rFonts w:ascii="Times New Roman" w:eastAsia="Times New Roman" w:hAnsi="Times New Roman" w:cs="Times New Roman"/>
          <w:b/>
        </w:rPr>
      </w:pPr>
    </w:p>
    <w:p w14:paraId="48B94B2C" w14:textId="475DC767" w:rsidR="007029C7" w:rsidRDefault="00DE1902">
      <w:pPr>
        <w:rPr>
          <w:rFonts w:ascii="Times New Roman" w:hAnsi="Times New Roman" w:cs="Times New Roman"/>
        </w:rPr>
      </w:pPr>
      <w:r w:rsidRPr="00DE1902">
        <w:rPr>
          <w:rFonts w:ascii="Times New Roman" w:hAnsi="Times New Roman" w:cs="Times New Roman"/>
          <w:noProof/>
        </w:rPr>
        <w:drawing>
          <wp:inline distT="0" distB="0" distL="0" distR="0" wp14:anchorId="73B78305" wp14:editId="4A2C91A0">
            <wp:extent cx="5943600" cy="1981200"/>
            <wp:effectExtent l="0" t="0" r="0" b="0"/>
            <wp:docPr id="682023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0230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10C21" w14:textId="7BE7C4C1" w:rsidR="007029C7" w:rsidRPr="00004E0A" w:rsidRDefault="00702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Figure 1. </w:t>
      </w:r>
      <w:r w:rsidR="00DE1902">
        <w:rPr>
          <w:rFonts w:ascii="Times New Roman" w:hAnsi="Times New Roman" w:cs="Times New Roman"/>
        </w:rPr>
        <w:t xml:space="preserve">Comparison of ASE read counts between </w:t>
      </w:r>
      <w:r>
        <w:rPr>
          <w:rFonts w:ascii="Times New Roman" w:hAnsi="Times New Roman" w:cs="Times New Roman"/>
        </w:rPr>
        <w:t>ASET (STAR+WASP alignment approach)</w:t>
      </w:r>
      <w:r w:rsidR="00DE1902">
        <w:rPr>
          <w:rFonts w:ascii="Times New Roman" w:hAnsi="Times New Roman" w:cs="Times New Roman"/>
        </w:rPr>
        <w:t xml:space="preserve"> and </w:t>
      </w:r>
      <w:proofErr w:type="spellStart"/>
      <w:r w:rsidR="00DE1902">
        <w:rPr>
          <w:rFonts w:ascii="Times New Roman" w:hAnsi="Times New Roman" w:cs="Times New Roman"/>
        </w:rPr>
        <w:t>GTEx</w:t>
      </w:r>
      <w:proofErr w:type="spellEnd"/>
      <w:r>
        <w:rPr>
          <w:rFonts w:ascii="Times New Roman" w:hAnsi="Times New Roman" w:cs="Times New Roman"/>
        </w:rPr>
        <w:t>.</w:t>
      </w:r>
      <w:r w:rsidR="00DE1902">
        <w:rPr>
          <w:rFonts w:ascii="Times New Roman" w:hAnsi="Times New Roman" w:cs="Times New Roman"/>
        </w:rPr>
        <w:t xml:space="preserve"> Sequencing reads from a sample were analyzed using both ASE with the STAR_WASP routine and the </w:t>
      </w:r>
      <w:proofErr w:type="spellStart"/>
      <w:r w:rsidR="00DE1902">
        <w:rPr>
          <w:rFonts w:ascii="Times New Roman" w:hAnsi="Times New Roman" w:cs="Times New Roman"/>
        </w:rPr>
        <w:t>GTEx</w:t>
      </w:r>
      <w:proofErr w:type="spellEnd"/>
      <w:r w:rsidR="00DE1902">
        <w:rPr>
          <w:rFonts w:ascii="Times New Roman" w:hAnsi="Times New Roman" w:cs="Times New Roman"/>
        </w:rPr>
        <w:t xml:space="preserve"> read alignment, deduplication and ASE read counting. </w:t>
      </w:r>
      <w:proofErr w:type="spellStart"/>
      <w:r w:rsidR="00DE1902">
        <w:rPr>
          <w:rFonts w:ascii="Times New Roman" w:hAnsi="Times New Roman" w:cs="Times New Roman"/>
        </w:rPr>
        <w:t>GTEx</w:t>
      </w:r>
      <w:proofErr w:type="spellEnd"/>
      <w:r w:rsidR="00DE1902">
        <w:rPr>
          <w:rFonts w:ascii="Times New Roman" w:hAnsi="Times New Roman" w:cs="Times New Roman"/>
        </w:rPr>
        <w:t xml:space="preserve"> analysis was performed according to </w:t>
      </w:r>
      <w:hyperlink r:id="rId5" w:history="1">
        <w:r w:rsidR="00DE1902" w:rsidRPr="00EC7027">
          <w:rPr>
            <w:rStyle w:val="Hyperlink"/>
            <w:rFonts w:ascii="Times New Roman" w:hAnsi="Times New Roman" w:cs="Times New Roman"/>
          </w:rPr>
          <w:t>https://github.com/broadinstitute/gtex-pipeline/blob/master/rnaseq/README.md</w:t>
        </w:r>
      </w:hyperlink>
      <w:r w:rsidR="00DE1902">
        <w:rPr>
          <w:rFonts w:ascii="Times New Roman" w:hAnsi="Times New Roman" w:cs="Times New Roman"/>
        </w:rPr>
        <w:t xml:space="preserve">. Since </w:t>
      </w:r>
      <w:proofErr w:type="spellStart"/>
      <w:r w:rsidR="00DE1902">
        <w:rPr>
          <w:rFonts w:ascii="Times New Roman" w:hAnsi="Times New Roman" w:cs="Times New Roman"/>
        </w:rPr>
        <w:t>GTEx</w:t>
      </w:r>
      <w:proofErr w:type="spellEnd"/>
      <w:r w:rsidR="00DE1902">
        <w:rPr>
          <w:rFonts w:ascii="Times New Roman" w:hAnsi="Times New Roman" w:cs="Times New Roman"/>
        </w:rPr>
        <w:t xml:space="preserve"> workflow does not separate strands while ASET does, the stranded read counts from ASET were summed </w:t>
      </w:r>
      <w:r w:rsidR="00C576B2">
        <w:rPr>
          <w:rFonts w:ascii="Times New Roman" w:hAnsi="Times New Roman" w:cs="Times New Roman"/>
        </w:rPr>
        <w:t xml:space="preserve">before comparing with the counts from </w:t>
      </w:r>
      <w:proofErr w:type="spellStart"/>
      <w:r w:rsidR="00C576B2">
        <w:rPr>
          <w:rFonts w:ascii="Times New Roman" w:hAnsi="Times New Roman" w:cs="Times New Roman"/>
        </w:rPr>
        <w:t>GTEx</w:t>
      </w:r>
      <w:proofErr w:type="spellEnd"/>
      <w:r w:rsidR="00C576B2">
        <w:rPr>
          <w:rFonts w:ascii="Times New Roman" w:hAnsi="Times New Roman" w:cs="Times New Roman"/>
        </w:rPr>
        <w:t xml:space="preserve">. The scatter plot in (A) shows that the correlation is very strong on both reference and alternate alleles. </w:t>
      </w:r>
      <w:r w:rsidR="006C16C3">
        <w:rPr>
          <w:rFonts w:ascii="Times New Roman" w:hAnsi="Times New Roman" w:cs="Times New Roman"/>
        </w:rPr>
        <w:t xml:space="preserve">The remaining differences could be caused by different parameter settings, filtering cutoffs, and software versions. </w:t>
      </w:r>
      <w:r w:rsidR="00C576B2">
        <w:rPr>
          <w:rFonts w:ascii="Times New Roman" w:hAnsi="Times New Roman" w:cs="Times New Roman"/>
        </w:rPr>
        <w:t>Based on the ASET output, about 40% of the SNPs have read counts on both strands, as shown in the pie chart (B).</w:t>
      </w:r>
    </w:p>
    <w:p w14:paraId="07B5B9EF" w14:textId="6BEFE386" w:rsidR="00004E0A" w:rsidRPr="00004E0A" w:rsidRDefault="00004E0A">
      <w:pPr>
        <w:rPr>
          <w:rFonts w:ascii="Times New Roman" w:hAnsi="Times New Roman" w:cs="Times New Roman"/>
        </w:rPr>
      </w:pPr>
      <w:r w:rsidRPr="00004E0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CF87F4B" wp14:editId="1DE1DDC2">
            <wp:extent cx="5125516" cy="7688275"/>
            <wp:effectExtent l="0" t="0" r="5715" b="0"/>
            <wp:docPr id="995779853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779853" name="Picture 2" descr="A screenshot of a computer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207" cy="773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6CC5A" w14:textId="3C8AFB6D" w:rsidR="00004E0A" w:rsidRPr="00004E0A" w:rsidRDefault="00004E0A">
      <w:pPr>
        <w:rPr>
          <w:rFonts w:ascii="Times New Roman" w:hAnsi="Times New Roman" w:cs="Times New Roman"/>
        </w:rPr>
      </w:pPr>
      <w:r w:rsidRPr="00004E0A">
        <w:rPr>
          <w:rFonts w:ascii="Times New Roman" w:hAnsi="Times New Roman" w:cs="Times New Roman"/>
        </w:rPr>
        <w:t xml:space="preserve">Supplementary Figure </w:t>
      </w:r>
      <w:r w:rsidR="007029C7">
        <w:rPr>
          <w:rFonts w:ascii="Times New Roman" w:hAnsi="Times New Roman" w:cs="Times New Roman"/>
        </w:rPr>
        <w:t>2</w:t>
      </w:r>
      <w:r w:rsidRPr="00004E0A">
        <w:rPr>
          <w:rFonts w:ascii="Times New Roman" w:hAnsi="Times New Roman" w:cs="Times New Roman"/>
        </w:rPr>
        <w:t xml:space="preserve">. </w:t>
      </w:r>
      <w:r w:rsidR="00824A4B" w:rsidRPr="00824A4B">
        <w:rPr>
          <w:rFonts w:ascii="Times New Roman" w:eastAsia="Times New Roman" w:hAnsi="Times New Roman" w:cs="Times New Roman"/>
        </w:rPr>
        <w:t xml:space="preserve">SNP locations in the RHOBTB3 gene locus, with isoforms </w:t>
      </w:r>
      <w:r w:rsidR="00824A4B">
        <w:rPr>
          <w:rFonts w:ascii="Times New Roman" w:eastAsia="Times New Roman" w:hAnsi="Times New Roman" w:cs="Times New Roman"/>
        </w:rPr>
        <w:t>shown separately</w:t>
      </w:r>
      <w:r w:rsidR="00824A4B" w:rsidRPr="00824A4B">
        <w:rPr>
          <w:rFonts w:ascii="Times New Roman" w:eastAsia="Times New Roman" w:hAnsi="Times New Roman" w:cs="Times New Roman"/>
        </w:rPr>
        <w:t>. The “</w:t>
      </w:r>
      <w:proofErr w:type="spellStart"/>
      <w:r w:rsidR="00824A4B" w:rsidRPr="00824A4B">
        <w:rPr>
          <w:rFonts w:ascii="Times New Roman" w:eastAsia="Times New Roman" w:hAnsi="Times New Roman" w:cs="Times New Roman"/>
        </w:rPr>
        <w:t>SNPs_all</w:t>
      </w:r>
      <w:proofErr w:type="spellEnd"/>
      <w:r w:rsidR="00824A4B" w:rsidRPr="00824A4B">
        <w:rPr>
          <w:rFonts w:ascii="Times New Roman" w:eastAsia="Times New Roman" w:hAnsi="Times New Roman" w:cs="Times New Roman"/>
        </w:rPr>
        <w:t xml:space="preserve">” track shows all assayed heterozygous SNPs in this gene; the </w:t>
      </w:r>
      <w:r w:rsidR="00824A4B" w:rsidRPr="00824A4B">
        <w:rPr>
          <w:rFonts w:ascii="Times New Roman" w:eastAsia="Times New Roman" w:hAnsi="Times New Roman" w:cs="Times New Roman"/>
        </w:rPr>
        <w:lastRenderedPageBreak/>
        <w:t>“SNPs_123884” track shows only the SNPs detected in the specified sample; and the “ENSEMBL” track displays the gene models.</w:t>
      </w:r>
    </w:p>
    <w:p w14:paraId="4543FA2F" w14:textId="77777777" w:rsidR="00004E0A" w:rsidRPr="00004E0A" w:rsidRDefault="00004E0A">
      <w:pPr>
        <w:rPr>
          <w:rFonts w:ascii="Times New Roman" w:hAnsi="Times New Roman" w:cs="Times New Roman"/>
        </w:rPr>
      </w:pPr>
    </w:p>
    <w:p w14:paraId="45D75EE2" w14:textId="5DB00887" w:rsidR="00322B07" w:rsidRPr="00004E0A" w:rsidRDefault="0071452E">
      <w:pPr>
        <w:rPr>
          <w:rFonts w:ascii="Times New Roman" w:hAnsi="Times New Roman" w:cs="Times New Roman"/>
        </w:rPr>
      </w:pPr>
      <w:r w:rsidRPr="00004E0A">
        <w:rPr>
          <w:rFonts w:ascii="Times New Roman" w:hAnsi="Times New Roman" w:cs="Times New Roman"/>
          <w:noProof/>
        </w:rPr>
        <w:drawing>
          <wp:inline distT="0" distB="0" distL="0" distR="0" wp14:anchorId="4C461C51" wp14:editId="5C261E77">
            <wp:extent cx="5943600" cy="2743200"/>
            <wp:effectExtent l="0" t="0" r="0" b="0"/>
            <wp:docPr id="536661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61222" name="Picture 5366612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78495" w14:textId="6176DBF9" w:rsidR="0071452E" w:rsidRDefault="0071452E">
      <w:pPr>
        <w:rPr>
          <w:rFonts w:ascii="Times New Roman" w:hAnsi="Times New Roman" w:cs="Times New Roman"/>
          <w:color w:val="000000"/>
        </w:rPr>
      </w:pPr>
      <w:r w:rsidRPr="00004E0A">
        <w:rPr>
          <w:rFonts w:ascii="Times New Roman" w:hAnsi="Times New Roman" w:cs="Times New Roman"/>
        </w:rPr>
        <w:t xml:space="preserve">Supplementary Figure 3. </w:t>
      </w:r>
      <w:r w:rsidRPr="00004E0A">
        <w:rPr>
          <w:rFonts w:ascii="Times New Roman" w:hAnsi="Times New Roman" w:cs="Times New Roman"/>
          <w:color w:val="000000"/>
        </w:rPr>
        <w:t>Distribution of SNP-level paternal allele frequency across different samples in a gene, shown as a boxplot where each unique SNP position is indicated</w:t>
      </w:r>
      <w:r w:rsidR="00D92C57">
        <w:rPr>
          <w:rFonts w:ascii="Times New Roman" w:hAnsi="Times New Roman" w:cs="Times New Roman"/>
          <w:color w:val="000000"/>
        </w:rPr>
        <w:t>. The SNPs at the same location have the same color.</w:t>
      </w:r>
    </w:p>
    <w:p w14:paraId="391686C9" w14:textId="77777777" w:rsidR="00D92C57" w:rsidRDefault="00D92C57">
      <w:pPr>
        <w:rPr>
          <w:rFonts w:ascii="Times New Roman" w:hAnsi="Times New Roman" w:cs="Times New Roman"/>
          <w:color w:val="000000"/>
        </w:rPr>
      </w:pPr>
    </w:p>
    <w:p w14:paraId="47C13CE5" w14:textId="0E245C79" w:rsidR="00D92C57" w:rsidRDefault="00D92C57" w:rsidP="007F68C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Supplementary Table 1. </w:t>
      </w:r>
      <w:r w:rsidR="007F68C1" w:rsidRPr="007F68C1">
        <w:rPr>
          <w:rFonts w:ascii="Times New Roman" w:hAnsi="Times New Roman" w:cs="Times New Roman"/>
          <w:color w:val="000000"/>
        </w:rPr>
        <w:t xml:space="preserve">We compared the genes identified as imprinted by our </w:t>
      </w:r>
      <w:proofErr w:type="spellStart"/>
      <w:r w:rsidR="007F68C1" w:rsidRPr="007F68C1">
        <w:rPr>
          <w:rFonts w:ascii="Times New Roman" w:hAnsi="Times New Roman" w:cs="Times New Roman"/>
          <w:color w:val="000000"/>
        </w:rPr>
        <w:t>PofO</w:t>
      </w:r>
      <w:proofErr w:type="spellEnd"/>
      <w:r w:rsidR="007F68C1" w:rsidRPr="007F68C1">
        <w:rPr>
          <w:rFonts w:ascii="Times New Roman" w:hAnsi="Times New Roman" w:cs="Times New Roman"/>
          <w:color w:val="000000"/>
        </w:rPr>
        <w:t xml:space="preserve"> method with those reported by Hamada et al. (2016). Our </w:t>
      </w:r>
      <w:proofErr w:type="spellStart"/>
      <w:r w:rsidR="007F68C1" w:rsidRPr="007F68C1">
        <w:rPr>
          <w:rFonts w:ascii="Times New Roman" w:hAnsi="Times New Roman" w:cs="Times New Roman"/>
          <w:color w:val="000000"/>
        </w:rPr>
        <w:t>PofO</w:t>
      </w:r>
      <w:proofErr w:type="spellEnd"/>
      <w:r w:rsidR="007F68C1" w:rsidRPr="007F68C1">
        <w:rPr>
          <w:rFonts w:ascii="Times New Roman" w:hAnsi="Times New Roman" w:cs="Times New Roman"/>
          <w:color w:val="000000"/>
        </w:rPr>
        <w:t xml:space="preserve"> test generated a </w:t>
      </w:r>
      <w:proofErr w:type="spellStart"/>
      <w:r w:rsidR="007F68C1" w:rsidRPr="007F68C1">
        <w:rPr>
          <w:rFonts w:ascii="Times New Roman" w:hAnsi="Times New Roman" w:cs="Times New Roman"/>
          <w:i/>
          <w:iCs/>
          <w:color w:val="000000"/>
        </w:rPr>
        <w:t>po_z</w:t>
      </w:r>
      <w:proofErr w:type="spellEnd"/>
      <w:r w:rsidR="007F68C1" w:rsidRPr="007F68C1">
        <w:rPr>
          <w:rFonts w:ascii="Times New Roman" w:hAnsi="Times New Roman" w:cs="Times New Roman"/>
          <w:color w:val="000000"/>
        </w:rPr>
        <w:t xml:space="preserve"> score for each gene, and we </w:t>
      </w:r>
      <w:r w:rsidR="002956CB">
        <w:rPr>
          <w:rFonts w:ascii="Times New Roman" w:hAnsi="Times New Roman" w:cs="Times New Roman"/>
          <w:color w:val="000000"/>
        </w:rPr>
        <w:t>classified</w:t>
      </w:r>
      <w:r w:rsidR="007F68C1" w:rsidRPr="007F68C1">
        <w:rPr>
          <w:rFonts w:ascii="Times New Roman" w:hAnsi="Times New Roman" w:cs="Times New Roman"/>
          <w:color w:val="000000"/>
        </w:rPr>
        <w:t xml:space="preserve"> genes with </w:t>
      </w:r>
      <w:r w:rsidR="007F68C1">
        <w:rPr>
          <w:rFonts w:ascii="Times New Roman" w:hAnsi="Times New Roman" w:cs="Times New Roman"/>
          <w:color w:val="000000"/>
        </w:rPr>
        <w:t xml:space="preserve">| </w:t>
      </w:r>
      <w:proofErr w:type="spellStart"/>
      <w:r w:rsidR="007F68C1" w:rsidRPr="007F68C1">
        <w:rPr>
          <w:rFonts w:ascii="Times New Roman" w:hAnsi="Times New Roman" w:cs="Times New Roman" w:hint="eastAsia"/>
          <w:i/>
          <w:iCs/>
          <w:color w:val="000000"/>
        </w:rPr>
        <w:t>po_z</w:t>
      </w:r>
      <w:proofErr w:type="spellEnd"/>
      <w:r w:rsidR="007F68C1">
        <w:rPr>
          <w:rFonts w:ascii="Times New Roman" w:hAnsi="Times New Roman" w:cs="Times New Roman"/>
          <w:color w:val="000000"/>
        </w:rPr>
        <w:t xml:space="preserve"> | &gt; </w:t>
      </w:r>
      <w:r w:rsidR="007F68C1" w:rsidRPr="007F68C1">
        <w:rPr>
          <w:rFonts w:ascii="Times New Roman" w:hAnsi="Times New Roman" w:cs="Times New Roman" w:hint="eastAsia"/>
          <w:color w:val="000000"/>
        </w:rPr>
        <w:t xml:space="preserve">3 as imprinted. In the Hamada dataset, allelic-specific expression (ASE) ratios and corrected binomial test p-values were reported in Supplementary Table 7, with p &lt; 0.05 considered significant. Using this cutoff, we classified genes as either </w:t>
      </w:r>
      <w:r w:rsidR="007F68C1" w:rsidRPr="007F68C1">
        <w:rPr>
          <w:rFonts w:ascii="Times New Roman" w:hAnsi="Times New Roman" w:cs="Times New Roman" w:hint="eastAsia"/>
          <w:color w:val="000000"/>
        </w:rPr>
        <w:t>“</w:t>
      </w:r>
      <w:proofErr w:type="spellStart"/>
      <w:r w:rsidR="007F68C1" w:rsidRPr="007F68C1">
        <w:rPr>
          <w:rFonts w:ascii="Times New Roman" w:hAnsi="Times New Roman" w:cs="Times New Roman" w:hint="eastAsia"/>
          <w:color w:val="000000"/>
        </w:rPr>
        <w:t>Hama</w:t>
      </w:r>
      <w:r w:rsidR="007F68C1" w:rsidRPr="007F68C1">
        <w:rPr>
          <w:rFonts w:ascii="Times New Roman" w:hAnsi="Times New Roman" w:cs="Times New Roman"/>
          <w:color w:val="000000"/>
        </w:rPr>
        <w:t>da_imprinted</w:t>
      </w:r>
      <w:proofErr w:type="spellEnd"/>
      <w:r w:rsidR="007F68C1" w:rsidRPr="007F68C1">
        <w:rPr>
          <w:rFonts w:ascii="Times New Roman" w:hAnsi="Times New Roman" w:cs="Times New Roman"/>
          <w:color w:val="000000"/>
        </w:rPr>
        <w:t>” or “</w:t>
      </w:r>
      <w:proofErr w:type="spellStart"/>
      <w:r w:rsidR="007F68C1" w:rsidRPr="007F68C1">
        <w:rPr>
          <w:rFonts w:ascii="Times New Roman" w:hAnsi="Times New Roman" w:cs="Times New Roman"/>
          <w:color w:val="000000"/>
        </w:rPr>
        <w:t>Hamada_not_imprinted</w:t>
      </w:r>
      <w:proofErr w:type="spellEnd"/>
      <w:r w:rsidR="007F68C1" w:rsidRPr="007F68C1">
        <w:rPr>
          <w:rFonts w:ascii="Times New Roman" w:hAnsi="Times New Roman" w:cs="Times New Roman"/>
          <w:color w:val="000000"/>
        </w:rPr>
        <w:t>”</w:t>
      </w:r>
      <w:r w:rsidR="007F68C1">
        <w:rPr>
          <w:rFonts w:ascii="Times New Roman" w:hAnsi="Times New Roman" w:cs="Times New Roman"/>
          <w:color w:val="000000"/>
        </w:rPr>
        <w:t>. As</w:t>
      </w:r>
      <w:r w:rsidR="007F68C1" w:rsidRPr="007F68C1">
        <w:rPr>
          <w:rFonts w:ascii="Times New Roman" w:hAnsi="Times New Roman" w:cs="Times New Roman"/>
          <w:color w:val="000000"/>
        </w:rPr>
        <w:t xml:space="preserve"> our test data were derived from targeted RNA-Seq, 208 genes had both </w:t>
      </w:r>
      <w:proofErr w:type="spellStart"/>
      <w:r w:rsidR="007F68C1" w:rsidRPr="007F68C1">
        <w:rPr>
          <w:rFonts w:ascii="Times New Roman" w:hAnsi="Times New Roman" w:cs="Times New Roman"/>
          <w:i/>
          <w:iCs/>
          <w:color w:val="000000"/>
        </w:rPr>
        <w:t>po_z</w:t>
      </w:r>
      <w:proofErr w:type="spellEnd"/>
      <w:r w:rsidR="007F68C1" w:rsidRPr="007F68C1">
        <w:rPr>
          <w:rFonts w:ascii="Times New Roman" w:hAnsi="Times New Roman" w:cs="Times New Roman"/>
          <w:color w:val="000000"/>
        </w:rPr>
        <w:t xml:space="preserve"> scores and Hamada p-values available. A 2×2 contingency table from these genes is shown below. Fisher’s exact test yielded p = 8.9</w:t>
      </w:r>
      <w:r w:rsidR="007F68C1">
        <w:rPr>
          <w:rFonts w:ascii="Times New Roman" w:hAnsi="Times New Roman" w:cs="Times New Roman"/>
          <w:color w:val="000000"/>
        </w:rPr>
        <w:t>e-15</w:t>
      </w:r>
      <w:r w:rsidR="007F68C1" w:rsidRPr="007F68C1">
        <w:rPr>
          <w:rFonts w:ascii="Times New Roman" w:hAnsi="Times New Roman" w:cs="Times New Roman"/>
          <w:color w:val="000000"/>
        </w:rPr>
        <w:t xml:space="preserve"> and an odds ratio of 12.7, indicati</w:t>
      </w:r>
      <w:r w:rsidR="007F68C1" w:rsidRPr="007F68C1">
        <w:rPr>
          <w:rFonts w:ascii="Times New Roman" w:hAnsi="Times New Roman" w:cs="Times New Roman" w:hint="eastAsia"/>
          <w:color w:val="000000"/>
        </w:rPr>
        <w:t xml:space="preserve">ng strong concordance between the two methods. Notably, our </w:t>
      </w:r>
      <w:proofErr w:type="spellStart"/>
      <w:r w:rsidR="007F68C1" w:rsidRPr="007F68C1">
        <w:rPr>
          <w:rFonts w:ascii="Times New Roman" w:hAnsi="Times New Roman" w:cs="Times New Roman" w:hint="eastAsia"/>
          <w:color w:val="000000"/>
        </w:rPr>
        <w:t>PofO</w:t>
      </w:r>
      <w:proofErr w:type="spellEnd"/>
      <w:r w:rsidR="007F68C1" w:rsidRPr="007F68C1">
        <w:rPr>
          <w:rFonts w:ascii="Times New Roman" w:hAnsi="Times New Roman" w:cs="Times New Roman" w:hint="eastAsia"/>
          <w:color w:val="000000"/>
        </w:rPr>
        <w:t xml:space="preserve"> model accounts for genetic effects, which may explain why </w:t>
      </w:r>
      <w:r w:rsidR="007F68C1">
        <w:rPr>
          <w:rFonts w:ascii="Times New Roman" w:hAnsi="Times New Roman" w:cs="Times New Roman"/>
          <w:color w:val="000000"/>
        </w:rPr>
        <w:t>many</w:t>
      </w:r>
      <w:r w:rsidR="007F68C1" w:rsidRPr="007F68C1">
        <w:rPr>
          <w:rFonts w:ascii="Times New Roman" w:hAnsi="Times New Roman" w:cs="Times New Roman" w:hint="eastAsia"/>
          <w:color w:val="000000"/>
        </w:rPr>
        <w:t xml:space="preserve"> genes in the </w:t>
      </w:r>
      <w:r w:rsidR="007F68C1" w:rsidRPr="007F68C1">
        <w:rPr>
          <w:rFonts w:ascii="Times New Roman" w:hAnsi="Times New Roman" w:cs="Times New Roman" w:hint="eastAsia"/>
          <w:color w:val="000000"/>
        </w:rPr>
        <w:t>“</w:t>
      </w:r>
      <w:proofErr w:type="spellStart"/>
      <w:r w:rsidR="007F68C1" w:rsidRPr="007F68C1">
        <w:rPr>
          <w:rFonts w:ascii="Times New Roman" w:hAnsi="Times New Roman" w:cs="Times New Roman" w:hint="eastAsia"/>
          <w:color w:val="000000"/>
        </w:rPr>
        <w:t>Hamada_imprinted</w:t>
      </w:r>
      <w:proofErr w:type="spellEnd"/>
      <w:r w:rsidR="007F68C1" w:rsidRPr="007F68C1">
        <w:rPr>
          <w:rFonts w:ascii="Times New Roman" w:hAnsi="Times New Roman" w:cs="Times New Roman" w:hint="eastAsia"/>
          <w:color w:val="000000"/>
        </w:rPr>
        <w:t>”</w:t>
      </w:r>
      <w:r w:rsidR="007F68C1" w:rsidRPr="007F68C1">
        <w:rPr>
          <w:rFonts w:ascii="Times New Roman" w:hAnsi="Times New Roman" w:cs="Times New Roman" w:hint="eastAsia"/>
          <w:color w:val="000000"/>
        </w:rPr>
        <w:t xml:space="preserve"> group exhibited </w:t>
      </w:r>
      <w:r w:rsidR="007F68C1">
        <w:rPr>
          <w:rFonts w:ascii="Times New Roman" w:hAnsi="Times New Roman" w:cs="Times New Roman"/>
          <w:color w:val="000000"/>
        </w:rPr>
        <w:t xml:space="preserve">| </w:t>
      </w:r>
      <w:proofErr w:type="spellStart"/>
      <w:r w:rsidR="007F68C1" w:rsidRPr="007F68C1">
        <w:rPr>
          <w:rFonts w:ascii="Times New Roman" w:hAnsi="Times New Roman" w:cs="Times New Roman" w:hint="eastAsia"/>
          <w:i/>
          <w:iCs/>
          <w:color w:val="000000"/>
        </w:rPr>
        <w:t>po_z</w:t>
      </w:r>
      <w:proofErr w:type="spellEnd"/>
      <w:r w:rsidR="007F68C1">
        <w:rPr>
          <w:rFonts w:ascii="Times New Roman" w:hAnsi="Times New Roman" w:cs="Times New Roman"/>
          <w:color w:val="000000"/>
        </w:rPr>
        <w:t xml:space="preserve"> |</w:t>
      </w:r>
      <w:r w:rsidR="007F68C1" w:rsidRPr="007F68C1">
        <w:rPr>
          <w:rFonts w:ascii="Times New Roman" w:hAnsi="Times New Roman" w:cs="Times New Roman" w:hint="eastAsia"/>
          <w:color w:val="000000"/>
        </w:rPr>
        <w:t xml:space="preserve"> scores below 3.</w:t>
      </w:r>
      <w:r w:rsidR="00BF5C4C">
        <w:rPr>
          <w:rFonts w:ascii="Times New Roman" w:hAnsi="Times New Roman" w:cs="Times New Roman"/>
          <w:color w:val="000000"/>
        </w:rPr>
        <w:t xml:space="preserve"> </w:t>
      </w:r>
      <w:r w:rsidR="00BF5C4C" w:rsidRPr="00BF5C4C">
        <w:rPr>
          <w:rFonts w:ascii="Times New Roman" w:hAnsi="Times New Roman" w:cs="Times New Roman"/>
          <w:color w:val="000000"/>
        </w:rPr>
        <w:t>In addition, the Hamada study primarily analyzed first- and second-trimester placentas, whereas our test data were from term placentas, which may also contribute to differences in imprinting classification between the two datasets.</w:t>
      </w:r>
    </w:p>
    <w:tbl>
      <w:tblPr>
        <w:tblW w:w="5970" w:type="dxa"/>
        <w:tblLook w:val="04A0" w:firstRow="1" w:lastRow="0" w:firstColumn="1" w:lastColumn="0" w:noHBand="0" w:noVBand="1"/>
      </w:tblPr>
      <w:tblGrid>
        <w:gridCol w:w="1435"/>
        <w:gridCol w:w="2243"/>
        <w:gridCol w:w="2697"/>
      </w:tblGrid>
      <w:tr w:rsidR="00D92C57" w:rsidRPr="00D92C57" w14:paraId="619AC6B2" w14:textId="77777777" w:rsidTr="00D92C57">
        <w:trPr>
          <w:trHeight w:val="32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93998" w14:textId="77777777" w:rsidR="00D92C57" w:rsidRPr="00D92C57" w:rsidRDefault="00D92C57" w:rsidP="00D92C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C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33731" w14:textId="77777777" w:rsidR="00D92C57" w:rsidRPr="00D92C57" w:rsidRDefault="00D92C57" w:rsidP="00D92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Hamada_imprinted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0468" w14:textId="77777777" w:rsidR="00D92C57" w:rsidRPr="00D92C57" w:rsidRDefault="00D92C57" w:rsidP="00D92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Hamada_not_imprinted</w:t>
            </w:r>
            <w:proofErr w:type="spellEnd"/>
          </w:p>
        </w:tc>
      </w:tr>
      <w:tr w:rsidR="00D92C57" w:rsidRPr="00D92C57" w14:paraId="4E386013" w14:textId="77777777" w:rsidTr="00D92C57">
        <w:trPr>
          <w:trHeight w:val="32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58E5B" w14:textId="6A42EEE8" w:rsidR="00D92C57" w:rsidRPr="00D92C57" w:rsidRDefault="00D92C57" w:rsidP="00D92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|</w:t>
            </w:r>
            <w:proofErr w:type="spellStart"/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po</w:t>
            </w:r>
            <w:r w:rsidR="00DB08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_</w:t>
            </w:r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z</w:t>
            </w:r>
            <w:proofErr w:type="spellEnd"/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| &gt; 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2FDEA" w14:textId="0C09EA12" w:rsidR="00D92C57" w:rsidRPr="00D92C57" w:rsidRDefault="00826E36" w:rsidP="00D92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  <w:r w:rsidR="0073465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F770" w14:textId="16B87795" w:rsidR="00D92C57" w:rsidRPr="00D92C57" w:rsidRDefault="00826E36" w:rsidP="00D92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73465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D92C57" w:rsidRPr="00D92C57" w14:paraId="27B69576" w14:textId="77777777" w:rsidTr="00D92C57">
        <w:trPr>
          <w:trHeight w:val="32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9151" w14:textId="7AB2514A" w:rsidR="00D92C57" w:rsidRPr="00D92C57" w:rsidRDefault="00D92C57" w:rsidP="00D92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|</w:t>
            </w:r>
            <w:proofErr w:type="spellStart"/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po</w:t>
            </w:r>
            <w:r w:rsidR="00DB08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_</w:t>
            </w:r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z</w:t>
            </w:r>
            <w:proofErr w:type="spellEnd"/>
            <w:r w:rsidRPr="00D92C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| &lt;= 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5B726" w14:textId="0E59124B" w:rsidR="00D92C57" w:rsidRPr="00D92C57" w:rsidRDefault="0073465B" w:rsidP="00D92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2E22" w14:textId="5B56A012" w:rsidR="00D92C57" w:rsidRPr="00D92C57" w:rsidRDefault="0073465B" w:rsidP="00D92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84</w:t>
            </w:r>
          </w:p>
        </w:tc>
      </w:tr>
    </w:tbl>
    <w:p w14:paraId="7B749184" w14:textId="7D37A417" w:rsidR="00E607B4" w:rsidRPr="00E607B4" w:rsidRDefault="00E607B4" w:rsidP="00E607B4">
      <w:pPr>
        <w:tabs>
          <w:tab w:val="left" w:pos="1311"/>
        </w:tabs>
        <w:rPr>
          <w:rFonts w:ascii="Times New Roman" w:hAnsi="Times New Roman" w:cs="Times New Roman"/>
        </w:rPr>
      </w:pPr>
    </w:p>
    <w:sectPr w:rsidR="00E607B4" w:rsidRPr="00E60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2E"/>
    <w:rsid w:val="00004E0A"/>
    <w:rsid w:val="00200967"/>
    <w:rsid w:val="002956CB"/>
    <w:rsid w:val="00322B07"/>
    <w:rsid w:val="00497D8D"/>
    <w:rsid w:val="006C16C3"/>
    <w:rsid w:val="00700F94"/>
    <w:rsid w:val="007029C7"/>
    <w:rsid w:val="0071452E"/>
    <w:rsid w:val="00714793"/>
    <w:rsid w:val="0073465B"/>
    <w:rsid w:val="007F68C1"/>
    <w:rsid w:val="00824A4B"/>
    <w:rsid w:val="00826E36"/>
    <w:rsid w:val="00BF5C4C"/>
    <w:rsid w:val="00C576B2"/>
    <w:rsid w:val="00C63F7B"/>
    <w:rsid w:val="00D92C57"/>
    <w:rsid w:val="00DB08DA"/>
    <w:rsid w:val="00DE1902"/>
    <w:rsid w:val="00E607B4"/>
    <w:rsid w:val="00EE4927"/>
    <w:rsid w:val="00F8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454076"/>
  <w15:chartTrackingRefBased/>
  <w15:docId w15:val="{B6F7ADAE-63DD-4E42-A4B8-1B2B3015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5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5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5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5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5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5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5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5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5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5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5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19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github.com/broadinstitute/gtex-pipeline/blob/master/rnaseq/README.md" TargetMode="Externa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Weisheng</dc:creator>
  <cp:keywords/>
  <dc:description/>
  <cp:lastModifiedBy>Wu, Weisheng</cp:lastModifiedBy>
  <cp:revision>12</cp:revision>
  <dcterms:created xsi:type="dcterms:W3CDTF">2025-06-01T19:33:00Z</dcterms:created>
  <dcterms:modified xsi:type="dcterms:W3CDTF">2025-09-18T13:55:00Z</dcterms:modified>
</cp:coreProperties>
</file>