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1A807C2B" w14:textId="77777777">
      <w:pPr>
        <w:pBdr/>
        <w:spacing/>
        <w:ind/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APPENDIX D — SUPPLEMENTARY ANALYSES</w:t>
      </w: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</w:r>
    </w:p>
    <w:p w14:paraId="7940831C" w14:textId="77777777">
      <w:pPr>
        <w:pBdr/>
        <w:spacing/>
        <w:ind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D.1 Independence Assumption (Section 2.4.2)</w:t>
      </w:r>
      <w:r>
        <w:rPr>
          <w:rFonts w:ascii="Times New Roman" w:hAnsi="Times New Roman" w:cs="Times New Roman"/>
          <w:sz w:val="22"/>
          <w:szCs w:val="22"/>
          <w:lang w:val="en-GB"/>
        </w:rPr>
      </w:r>
    </w:p>
    <w:p w14:paraId="3AF2C3FB" w14:textId="6E7B3563">
      <w:pPr>
        <w:pBdr/>
        <w:spacing w:after="0"/>
        <w:ind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Table D1. </w:t>
      </w:r>
      <m:oMath>
        <m:r>
          <w:rPr>
            <w:rFonts w:ascii="Cambria Math" w:hAnsi="Cambria Math" w:cs="Times New Roman"/>
            <w:sz w:val="22"/>
            <w:szCs w:val="22"/>
            <w:lang w:val="en-GB"/>
          </w:rPr>
          <m:rPr/>
          <m:t>Va</m:t>
        </m:r>
        <m:sSub>
          <m:sSubPr>
            <m:ctrlPr>
              <w:rPr>
                <w:rFonts w:ascii="Cambria Math" w:hAnsi="Cambria Math" w:cs="Times New Roman"/>
                <w:i/>
                <w:sz w:val="22"/>
                <w:szCs w:val="22"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sz w:val="22"/>
                <w:szCs w:val="22"/>
                <w:lang w:val="en-GB"/>
              </w:rPr>
              <m:rPr/>
              <m:t>r</m:t>
            </m:r>
          </m:e>
          <m:sub>
            <m:r>
              <w:rPr>
                <w:rFonts w:ascii="Cambria Math" w:hAnsi="Cambria Math" w:cs="Times New Roman"/>
                <w:sz w:val="22"/>
                <w:szCs w:val="22"/>
                <w:lang w:val="en-GB"/>
              </w:rPr>
              <m:rPr/>
              <m:t>Laplace</m:t>
            </m:r>
          </m:sub>
        </m:sSub>
      </m:oMath>
      <w:r>
        <w:rPr>
          <w:rFonts w:ascii="Times New Roman" w:hAnsi="Times New Roman" w:cs="Times New Roman"/>
          <w:sz w:val="22"/>
          <w:szCs w:val="22"/>
          <w:lang w:val="en-GB"/>
        </w:rPr>
        <w:t xml:space="preserve"> vs </w:t>
      </w:r>
      <m:oMath>
        <m:r>
          <w:rPr>
            <w:rFonts w:ascii="Cambria Math" w:hAnsi="Cambria Math" w:cs="Times New Roman"/>
            <w:sz w:val="22"/>
            <w:szCs w:val="22"/>
            <w:lang w:val="en-GB"/>
          </w:rPr>
          <m:rPr/>
          <m:t>Va</m:t>
        </m:r>
        <m:sSub>
          <m:sSubPr>
            <m:ctrlPr>
              <w:rPr>
                <w:rFonts w:ascii="Cambria Math" w:hAnsi="Cambria Math" w:cs="Times New Roman"/>
                <w:i/>
                <w:sz w:val="22"/>
                <w:szCs w:val="22"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sz w:val="22"/>
                <w:szCs w:val="22"/>
                <w:lang w:val="en-GB"/>
              </w:rPr>
              <m:rPr/>
              <m:t>r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22"/>
                    <w:szCs w:val="22"/>
                    <w:lang w:val="en-GB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2"/>
                    <w:szCs w:val="22"/>
                    <w:lang w:val="en-GB"/>
                  </w:rPr>
                  <m:rPr/>
                  <m:t>σ</m:t>
                </m:r>
              </m:e>
              <m:sub>
                <m:r>
                  <w:rPr>
                    <w:rFonts w:ascii="Cambria Math" w:hAnsi="Cambria Math" w:cs="Times New Roman"/>
                    <w:sz w:val="22"/>
                    <w:szCs w:val="22"/>
                    <w:lang w:val="en-GB"/>
                  </w:rPr>
                  <m:rPr/>
                  <m:t>k</m:t>
                </m:r>
              </m:sub>
            </m:sSub>
          </m:sub>
        </m:sSub>
      </m:oMath>
      <w:r>
        <w:rPr>
          <w:rFonts w:ascii="Times New Roman" w:hAnsi="Times New Roman" w:cs="Times New Roman"/>
          <w:sz w:val="22"/>
          <w:szCs w:val="22"/>
          <w:lang w:val="en-GB"/>
        </w:rPr>
        <w:t xml:space="preserve"> — FLChain test set (n = 1,564)</w:t>
      </w:r>
      <w:r>
        <w:rPr>
          <w:rFonts w:ascii="Times New Roman" w:hAnsi="Times New Roman" w:cs="Times New Roman"/>
          <w:sz w:val="22"/>
          <w:szCs w:val="22"/>
          <w:lang w:val="en-GB"/>
        </w:rPr>
      </w:r>
    </w:p>
    <w:tbl>
      <w:tblPr>
        <w:tblStyle w:val="700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323"/>
        <w:gridCol w:w="3749"/>
      </w:tblGrid>
      <w:tr>
        <w:trPr/>
        <w:tc>
          <w:tcPr>
            <w:tcBorders>
              <w:top w:val="single" w:color="auto" w:sz="4" w:space="0"/>
              <w:bottom w:val="single" w:color="auto" w:sz="4" w:space="0"/>
            </w:tcBorders>
            <w:tcW w:w="2934" w:type="pct"/>
          </w:tcPr>
          <w:p w14:paraId="0E5542F0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Metric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066" w:type="pct"/>
          </w:tcPr>
          <w:p w14:paraId="77F5A0FD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Value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>
              <w:top w:val="single" w:color="auto" w:sz="4" w:space="0"/>
            </w:tcBorders>
            <w:tcW w:w="2934" w:type="pct"/>
          </w:tcPr>
          <w:p w14:paraId="71A013C8" w14:textId="0FCDD2E1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Mean </w:t>
            </w:r>
            <m:oMath>
              <m:r>
                <w:rPr>
                  <w:rFonts w:ascii="Cambria Math" w:hAnsi="Cambria Math" w:cs="Times New Roman"/>
                  <w:sz w:val="22"/>
                  <w:szCs w:val="22"/>
                  <w:lang w:val="en-GB"/>
                </w:rPr>
                <m:rPr/>
                <m:t>Va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  <w:lang w:val="en-GB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  <w:szCs w:val="22"/>
                      <w:lang w:val="en-GB"/>
                    </w:rPr>
                    <m:rPr/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  <w:szCs w:val="22"/>
                      <w:lang w:val="en-GB"/>
                    </w:rPr>
                    <m:rPr/>
                    <m:t>Laplace</m:t>
                  </m:r>
                </m:sub>
              </m:sSub>
            </m:oMath>
            <w:r/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2066" w:type="pct"/>
          </w:tcPr>
          <w:p w14:paraId="2523C8DC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4.44 × 10⁻²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/>
            <w:tcW w:w="2934" w:type="pct"/>
          </w:tcPr>
          <w:p w14:paraId="0DF7C02E" w14:textId="2CECFB76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Mean </w:t>
            </w:r>
            <m:oMath>
              <m:r>
                <w:rPr>
                  <w:rFonts w:ascii="Cambria Math" w:hAnsi="Cambria Math" w:cs="Times New Roman"/>
                  <w:sz w:val="22"/>
                  <w:szCs w:val="22"/>
                  <w:lang w:val="en-GB"/>
                </w:rPr>
                <m:rPr/>
                <m:t>Va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  <w:lang w:val="en-GB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  <w:szCs w:val="22"/>
                      <w:lang w:val="en-GB"/>
                    </w:rPr>
                    <m:rPr/>
                    <m:t>r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2"/>
                          <w:szCs w:val="22"/>
                          <w:lang w:val="en-GB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2"/>
                          <w:szCs w:val="22"/>
                          <w:lang w:val="en-GB"/>
                        </w:rPr>
                        <m:rPr/>
                        <m:t>σ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2"/>
                          <w:szCs w:val="22"/>
                          <w:lang w:val="en-GB"/>
                        </w:rPr>
                        <m:rPr/>
                        <m:t>k</m:t>
                      </m:r>
                    </m:sub>
                  </m:sSub>
                </m:sub>
              </m:sSub>
            </m:oMath>
            <w:r/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2066" w:type="pct"/>
          </w:tcPr>
          <w:p w14:paraId="74944CA5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1.40 × 10⁻²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/>
            <w:tcW w:w="2934" w:type="pct"/>
          </w:tcPr>
          <w:p w14:paraId="48DD8766" w14:textId="56CAA840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/>
            <m:oMath>
              <m:r>
                <w:rPr>
                  <w:rFonts w:ascii="Cambria Math" w:hAnsi="Cambria Math" w:cs="Times New Roman"/>
                  <w:sz w:val="22"/>
                  <w:szCs w:val="22"/>
                  <w:lang w:val="en-GB"/>
                </w:rPr>
                <m:rPr/>
                <m:t>Va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  <w:lang w:val="en-GB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  <w:szCs w:val="22"/>
                      <w:lang w:val="en-GB"/>
                    </w:rPr>
                    <m:rPr/>
                    <m:t>r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2"/>
                          <w:szCs w:val="22"/>
                          <w:lang w:val="en-GB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2"/>
                          <w:szCs w:val="22"/>
                          <w:lang w:val="en-GB"/>
                        </w:rPr>
                        <m:rPr/>
                        <m:t>σ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2"/>
                          <w:szCs w:val="22"/>
                          <w:lang w:val="en-GB"/>
                        </w:rPr>
                        <m:rPr/>
                        <m:t>k</m:t>
                      </m:r>
                    </m:sub>
                  </m:sSub>
                </m:sub>
              </m:sSub>
            </m:oMath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/ Total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2066" w:type="pct"/>
          </w:tcPr>
          <w:p w14:paraId="75A03562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28.8%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/>
            <w:tcW w:w="2934" w:type="pct"/>
          </w:tcPr>
          <w:p w14:paraId="3CD703E4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Pearson r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2066" w:type="pct"/>
          </w:tcPr>
          <w:p w14:paraId="1FBD1D18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0.624 (p ≈ 0)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>
              <w:bottom w:val="single" w:color="auto" w:sz="4" w:space="0"/>
            </w:tcBorders>
            <w:tcW w:w="2934" w:type="pct"/>
          </w:tcPr>
          <w:p w14:paraId="098B6110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Spearman ρ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2066" w:type="pct"/>
          </w:tcPr>
          <w:p w14:paraId="431751CB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0.386 (p ≈ 0)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</w:tbl>
    <w:p w14:paraId="3F141853" w14:textId="77777777">
      <w:pPr>
        <w:pBdr/>
        <w:spacing/>
        <w:ind/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</w: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</w:r>
    </w:p>
    <w:p w14:paraId="38911D89" w14:textId="5388B853">
      <w:pPr>
        <w:pBdr/>
        <w:spacing w:after="0"/>
        <w:ind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Table D2. </w:t>
      </w:r>
      <w:r>
        <w:rPr>
          <w:rFonts w:ascii="Times New Roman" w:hAnsi="Times New Roman" w:cs="Times New Roman"/>
          <w:sz w:val="22"/>
          <w:szCs w:val="22"/>
          <w:lang w:val="en-GB"/>
        </w:rPr>
        <w:t xml:space="preserve">Variance component percentiles</w:t>
      </w:r>
      <w:r>
        <w:rPr>
          <w:rFonts w:ascii="Times New Roman" w:hAnsi="Times New Roman" w:cs="Times New Roman"/>
          <w:sz w:val="22"/>
          <w:szCs w:val="22"/>
          <w:lang w:val="en-GB"/>
        </w:rPr>
      </w:r>
    </w:p>
    <w:tbl>
      <w:tblPr>
        <w:tblStyle w:val="700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698"/>
        <w:gridCol w:w="3513"/>
        <w:gridCol w:w="2861"/>
      </w:tblGrid>
      <w:tr>
        <w:trPr/>
        <w:tc>
          <w:tcPr>
            <w:tcBorders>
              <w:top w:val="single" w:color="auto" w:sz="4" w:space="0"/>
              <w:bottom w:val="single" w:color="auto" w:sz="4" w:space="0"/>
            </w:tcBorders>
            <w:tcW w:w="1487" w:type="pct"/>
          </w:tcPr>
          <w:p w14:paraId="3226EEF5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Percentile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936" w:type="pct"/>
          </w:tcPr>
          <w:p w14:paraId="1AA9ECD8" w14:textId="78E49D64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/>
            <m:oMathPara>
              <m:oMathParaPr/>
              <m:oMath>
                <m:r>
                  <w:rPr>
                    <w:rFonts w:ascii="Cambria Math" w:hAnsi="Cambria Math" w:cs="Times New Roman"/>
                    <w:sz w:val="22"/>
                    <w:szCs w:val="22"/>
                    <w:lang w:val="en-GB"/>
                  </w:rPr>
                  <m:rPr>
                    <m:sty m:val="bi"/>
                  </m:rPr>
                  <m:t>Va</m:t>
                </m:r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bCs/>
                        <w:i/>
                        <w:sz w:val="22"/>
                        <w:szCs w:val="22"/>
                        <w:lang w:val="en-GB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2"/>
                        <w:szCs w:val="22"/>
                        <w:lang w:val="en-GB"/>
                      </w:rPr>
                      <m:rPr>
                        <m:sty m:val="bi"/>
                      </m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2"/>
                        <w:szCs w:val="22"/>
                        <w:lang w:val="en-GB"/>
                      </w:rPr>
                      <m:rPr>
                        <m:sty m:val="bi"/>
                      </m:rPr>
                      <m:t>Laplace</m:t>
                    </m:r>
                  </m:sub>
                </m:sSub>
              </m:oMath>
            </m:oMathPara>
            <w:r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577" w:type="pct"/>
          </w:tcPr>
          <w:p w14:paraId="03EFEB05" w14:textId="5CDBDA2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/>
            <m:oMathPara>
              <m:oMathParaPr/>
              <m:oMath>
                <m:r>
                  <w:rPr>
                    <w:rFonts w:ascii="Cambria Math" w:hAnsi="Cambria Math" w:cs="Times New Roman"/>
                    <w:sz w:val="22"/>
                    <w:szCs w:val="22"/>
                    <w:lang w:val="en-GB"/>
                  </w:rPr>
                  <m:rPr>
                    <m:sty m:val="bi"/>
                  </m:rPr>
                  <m:t>Va</m:t>
                </m:r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bCs/>
                        <w:i/>
                        <w:sz w:val="22"/>
                        <w:szCs w:val="22"/>
                        <w:lang w:val="en-GB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2"/>
                        <w:szCs w:val="22"/>
                        <w:lang w:val="en-GB"/>
                      </w:rPr>
                      <m:rPr>
                        <m:sty m:val="bi"/>
                      </m:rPr>
                      <m:t>r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b/>
                            <w:bCs/>
                            <w:i/>
                            <w:sz w:val="22"/>
                            <w:szCs w:val="22"/>
                            <w:lang w:val="en-GB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2"/>
                            <w:szCs w:val="22"/>
                            <w:lang w:val="en-GB"/>
                          </w:rPr>
                          <m:rPr>
                            <m:sty m:val="bi"/>
                          </m:rPr>
                          <m:t>σ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2"/>
                            <w:szCs w:val="22"/>
                            <w:lang w:val="en-GB"/>
                          </w:rPr>
                          <m:rPr>
                            <m:sty m:val="bi"/>
                          </m:rPr>
                          <m:t>k</m:t>
                        </m:r>
                      </m:sub>
                    </m:sSub>
                  </m:sub>
                </m:sSub>
              </m:oMath>
            </m:oMathPara>
            <w:r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>
              <w:top w:val="single" w:color="auto" w:sz="4" w:space="0"/>
            </w:tcBorders>
            <w:tcW w:w="1487" w:type="pct"/>
          </w:tcPr>
          <w:p w14:paraId="7C6F6775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25th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1936" w:type="pct"/>
          </w:tcPr>
          <w:p w14:paraId="58E0E000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7.15 × 10⁻³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1577" w:type="pct"/>
          </w:tcPr>
          <w:p w14:paraId="45FE3A70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1.21 × 10⁻³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/>
            <w:tcW w:w="1487" w:type="pct"/>
          </w:tcPr>
          <w:p w14:paraId="47C000CF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50th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1936" w:type="pct"/>
          </w:tcPr>
          <w:p w14:paraId="2BEBD66C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1.17 × 10⁻²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1577" w:type="pct"/>
          </w:tcPr>
          <w:p w14:paraId="118DC32E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3.81 × 10⁻³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/>
            <w:tcW w:w="1487" w:type="pct"/>
          </w:tcPr>
          <w:p w14:paraId="49FE5F7A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75th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1936" w:type="pct"/>
          </w:tcPr>
          <w:p w14:paraId="3EA1AC6E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1.96 × 10⁻²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1577" w:type="pct"/>
          </w:tcPr>
          <w:p w14:paraId="5B60BB05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1.08 × 10⁻²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>
              <w:bottom w:val="single" w:color="auto" w:sz="4" w:space="0"/>
            </w:tcBorders>
            <w:tcW w:w="1487" w:type="pct"/>
          </w:tcPr>
          <w:p w14:paraId="2512E112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95th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1936" w:type="pct"/>
          </w:tcPr>
          <w:p w14:paraId="60513EF6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7.30 × 10⁻²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1577" w:type="pct"/>
          </w:tcPr>
          <w:p w14:paraId="27E951E3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6.10 × 10⁻²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</w:tbl>
    <w:p w14:paraId="1F3CD779" w14:textId="77777777">
      <w:pPr>
        <w:pBdr/>
        <w:spacing/>
        <w:ind/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</w: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</w:r>
    </w:p>
    <w:p w14:paraId="52824D99" w14:textId="1C7A69E2">
      <w:pPr>
        <w:pBdr/>
        <w:spacing/>
        <w:ind/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D.2 κ Threshold Sensitivity (Section 2.6.3)</w:t>
      </w: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</w:r>
    </w:p>
    <w:p w14:paraId="6BE7CBCF" w14:textId="77777777">
      <w:pPr>
        <w:pBdr/>
        <w:spacing w:after="0"/>
        <w:ind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Table D3. </w:t>
      </w:r>
      <w:r>
        <w:rPr>
          <w:rFonts w:ascii="Times New Roman" w:hAnsi="Times New Roman" w:cs="Times New Roman"/>
          <w:sz w:val="22"/>
          <w:szCs w:val="22"/>
          <w:lang w:val="en-GB"/>
        </w:rPr>
        <w:t xml:space="preserve">Flagged pairs across κ values — </w:t>
      </w:r>
      <w:r>
        <w:rPr>
          <w:rFonts w:ascii="Times New Roman" w:hAnsi="Times New Roman" w:cs="Times New Roman"/>
          <w:sz w:val="22"/>
          <w:szCs w:val="22"/>
          <w:lang w:val="en-GB"/>
        </w:rPr>
        <w:t xml:space="preserve">FLChain</w:t>
      </w:r>
      <w:r>
        <w:rPr>
          <w:rFonts w:ascii="Times New Roman" w:hAnsi="Times New Roman" w:cs="Times New Roman"/>
          <w:sz w:val="22"/>
          <w:szCs w:val="22"/>
          <w:lang w:val="en-GB"/>
        </w:rPr>
      </w:r>
    </w:p>
    <w:tbl>
      <w:tblPr>
        <w:tblStyle w:val="700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758"/>
        <w:gridCol w:w="2709"/>
        <w:gridCol w:w="3201"/>
        <w:gridCol w:w="2404"/>
      </w:tblGrid>
      <w:tr>
        <w:trPr/>
        <w:tc>
          <w:tcPr>
            <w:tcBorders>
              <w:top w:val="single" w:color="auto" w:sz="4" w:space="0"/>
              <w:bottom w:val="single" w:color="auto" w:sz="4" w:space="0"/>
            </w:tcBorders>
            <w:tcW w:w="418" w:type="pct"/>
          </w:tcPr>
          <w:p w14:paraId="3682AD40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κ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493" w:type="pct"/>
          </w:tcPr>
          <w:p w14:paraId="4E3D3D33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Flagged pairs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764" w:type="pct"/>
          </w:tcPr>
          <w:p w14:paraId="1E61BC46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Unique patients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325" w:type="pct"/>
          </w:tcPr>
          <w:p w14:paraId="26808EBE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Unique pairs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>
              <w:top w:val="single" w:color="auto" w:sz="4" w:space="0"/>
            </w:tcBorders>
            <w:tcW w:w="418" w:type="pct"/>
          </w:tcPr>
          <w:p w14:paraId="2B7C5902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1.5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1493" w:type="pct"/>
          </w:tcPr>
          <w:p w14:paraId="5C6F7C63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16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1764" w:type="pct"/>
          </w:tcPr>
          <w:p w14:paraId="3C03D9ED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5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1325" w:type="pct"/>
          </w:tcPr>
          <w:p w14:paraId="7ACC2B84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6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/>
            <w:tcW w:w="418" w:type="pct"/>
          </w:tcPr>
          <w:p w14:paraId="0D98C837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2.0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1493" w:type="pct"/>
          </w:tcPr>
          <w:p w14:paraId="39459616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13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1764" w:type="pct"/>
          </w:tcPr>
          <w:p w14:paraId="3D9B94FF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5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1325" w:type="pct"/>
          </w:tcPr>
          <w:p w14:paraId="14AFCDA9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5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/>
            <w:tcW w:w="418" w:type="pct"/>
          </w:tcPr>
          <w:p w14:paraId="19BECE9D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3.0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1493" w:type="pct"/>
          </w:tcPr>
          <w:p w14:paraId="48092F88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9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1764" w:type="pct"/>
          </w:tcPr>
          <w:p w14:paraId="23714DB9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5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1325" w:type="pct"/>
          </w:tcPr>
          <w:p w14:paraId="4CBF7977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4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>
              <w:bottom w:val="single" w:color="auto" w:sz="4" w:space="0"/>
            </w:tcBorders>
            <w:tcW w:w="418" w:type="pct"/>
          </w:tcPr>
          <w:p w14:paraId="675BC969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5.0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1493" w:type="pct"/>
          </w:tcPr>
          <w:p w14:paraId="474AA58C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5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1764" w:type="pct"/>
          </w:tcPr>
          <w:p w14:paraId="15BDD4FD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4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1325" w:type="pct"/>
          </w:tcPr>
          <w:p w14:paraId="2EA09B51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2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</w:tbl>
    <w:p w14:paraId="1DDD72C5" w14:textId="77777777">
      <w:pPr>
        <w:pBdr/>
        <w:spacing/>
        <w:ind/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</w: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</w:r>
    </w:p>
    <w:p w14:paraId="7CAED975" w14:textId="0056D2B1">
      <w:pPr>
        <w:pBdr/>
        <w:spacing w:after="0"/>
        <w:ind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Table </w:t>
      </w:r>
      <w:r>
        <w:rPr>
          <w:rFonts w:ascii="Times New Roman" w:hAnsi="Times New Roman" w:cs="Times New Roman"/>
          <w:sz w:val="22"/>
          <w:szCs w:val="22"/>
          <w:lang w:val="en-GB"/>
        </w:rPr>
        <w:t xml:space="preserve">D4. Stable pairs (detected at all κ values)</w:t>
      </w:r>
      <w:r>
        <w:rPr>
          <w:rFonts w:ascii="Times New Roman" w:hAnsi="Times New Roman" w:cs="Times New Roman"/>
          <w:sz w:val="22"/>
          <w:szCs w:val="22"/>
          <w:lang w:val="en-GB"/>
        </w:rPr>
      </w:r>
    </w:p>
    <w:tbl>
      <w:tblPr>
        <w:tblStyle w:val="700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347"/>
        <w:gridCol w:w="1200"/>
        <w:gridCol w:w="1412"/>
        <w:gridCol w:w="1680"/>
        <w:gridCol w:w="1602"/>
        <w:gridCol w:w="831"/>
      </w:tblGrid>
      <w:tr>
        <w:trPr/>
        <w:tc>
          <w:tcPr>
            <w:tcBorders>
              <w:top w:val="single" w:color="auto" w:sz="4" w:space="0"/>
              <w:bottom w:val="single" w:color="auto" w:sz="4" w:space="0"/>
            </w:tcBorders>
            <w:tcW w:w="1293" w:type="pct"/>
          </w:tcPr>
          <w:p w14:paraId="5AD95A1C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Pair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661" w:type="pct"/>
          </w:tcPr>
          <w:p w14:paraId="5F62C0B5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Patient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778" w:type="pct"/>
          </w:tcPr>
          <w:p w14:paraId="6A87C61B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Category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926" w:type="pct"/>
          </w:tcPr>
          <w:p w14:paraId="75C7D84A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Patient ∂²η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883" w:type="pct"/>
          </w:tcPr>
          <w:p w14:paraId="0EC190F6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Global ∂²η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458" w:type="pct"/>
          </w:tcPr>
          <w:p w14:paraId="32E2ED6F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Ratio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>
              <w:top w:val="single" w:color="auto" w:sz="4" w:space="0"/>
            </w:tcBorders>
            <w:tcW w:w="1293" w:type="pct"/>
          </w:tcPr>
          <w:p w14:paraId="21540C1A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age × lambda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661" w:type="pct"/>
          </w:tcPr>
          <w:p w14:paraId="306101E3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#330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778" w:type="pct"/>
          </w:tcPr>
          <w:p w14:paraId="14921D09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CC-Low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926" w:type="pct"/>
          </w:tcPr>
          <w:p w14:paraId="4470A541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0.0282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883" w:type="pct"/>
          </w:tcPr>
          <w:p w14:paraId="3080974A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0.0016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458" w:type="pct"/>
          </w:tcPr>
          <w:p w14:paraId="5038C235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17.1×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/>
            <w:tcW w:w="1293" w:type="pct"/>
          </w:tcPr>
          <w:p w14:paraId="27EC8E04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age × lambda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661" w:type="pct"/>
          </w:tcPr>
          <w:p w14:paraId="3910F476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#812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778" w:type="pct"/>
          </w:tcPr>
          <w:p w14:paraId="5A7F37DF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UC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926" w:type="pct"/>
          </w:tcPr>
          <w:p w14:paraId="5D8F3A28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0.0106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883" w:type="pct"/>
          </w:tcPr>
          <w:p w14:paraId="5AB6E9B2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0.0016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458" w:type="pct"/>
          </w:tcPr>
          <w:p w14:paraId="36303159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6.4×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/>
            <w:tcW w:w="1293" w:type="pct"/>
          </w:tcPr>
          <w:p w14:paraId="057835A2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kappa × creatinine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661" w:type="pct"/>
          </w:tcPr>
          <w:p w14:paraId="6FAE4D02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#330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778" w:type="pct"/>
          </w:tcPr>
          <w:p w14:paraId="0CCD38AC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CC-Low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926" w:type="pct"/>
          </w:tcPr>
          <w:p w14:paraId="3803C42D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0.0347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883" w:type="pct"/>
          </w:tcPr>
          <w:p w14:paraId="0389B3D7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−0.0022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458" w:type="pct"/>
          </w:tcPr>
          <w:p w14:paraId="54C4E924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15.6×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/>
            <w:tcW w:w="1293" w:type="pct"/>
          </w:tcPr>
          <w:p w14:paraId="6B11E6A3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kappa × creatinine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661" w:type="pct"/>
          </w:tcPr>
          <w:p w14:paraId="28C9E6F7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#38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778" w:type="pct"/>
          </w:tcPr>
          <w:p w14:paraId="64AE4CFF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CC-High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926" w:type="pct"/>
          </w:tcPr>
          <w:p w14:paraId="0DCCC67B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−0.0336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883" w:type="pct"/>
          </w:tcPr>
          <w:p w14:paraId="03E7091F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−0.0022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458" w:type="pct"/>
          </w:tcPr>
          <w:p w14:paraId="515592B9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15.1×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>
              <w:bottom w:val="single" w:color="auto" w:sz="4" w:space="0"/>
            </w:tcBorders>
            <w:tcW w:w="1293" w:type="pct"/>
          </w:tcPr>
          <w:p w14:paraId="76162157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kappa × creatinine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661" w:type="pct"/>
          </w:tcPr>
          <w:p w14:paraId="4A09EA7C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#1395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778" w:type="pct"/>
          </w:tcPr>
          <w:p w14:paraId="797575D4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UW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926" w:type="pct"/>
          </w:tcPr>
          <w:p w14:paraId="2A363D9A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0.0336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883" w:type="pct"/>
          </w:tcPr>
          <w:p w14:paraId="7DE612E2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−0.0022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458" w:type="pct"/>
          </w:tcPr>
          <w:p w14:paraId="7E6F756A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15.1×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</w:tbl>
    <w:p w14:paraId="28026E86" w14:textId="77777777">
      <w:pPr>
        <w:pBdr/>
        <w:spacing/>
        <w:ind/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</w: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</w:r>
    </w:p>
    <w:p w14:paraId="15A92ACD" w14:textId="1B0EF60F">
      <w:pPr>
        <w:pBdr/>
        <w:spacing w:after="0"/>
        <w:ind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Table D5. </w:t>
      </w:r>
      <w:r>
        <w:rPr>
          <w:rFonts w:ascii="Times New Roman" w:hAnsi="Times New Roman" w:cs="Times New Roman"/>
          <w:sz w:val="22"/>
          <w:szCs w:val="22"/>
          <w:lang w:val="en-GB"/>
        </w:rPr>
        <w:t xml:space="preserve">All flagged pairs at κ = 2.0 (default)</w:t>
      </w:r>
      <w:r>
        <w:rPr>
          <w:rFonts w:ascii="Times New Roman" w:hAnsi="Times New Roman" w:cs="Times New Roman"/>
          <w:sz w:val="22"/>
          <w:szCs w:val="22"/>
          <w:lang w:val="en-GB"/>
        </w:rPr>
      </w:r>
    </w:p>
    <w:tbl>
      <w:tblPr>
        <w:tblStyle w:val="700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138"/>
        <w:gridCol w:w="1354"/>
        <w:gridCol w:w="2468"/>
        <w:gridCol w:w="1626"/>
        <w:gridCol w:w="1548"/>
        <w:gridCol w:w="938"/>
      </w:tblGrid>
      <w:tr>
        <w:trPr/>
        <w:tc>
          <w:tcPr>
            <w:tcBorders>
              <w:top w:val="single" w:color="auto" w:sz="4" w:space="0"/>
              <w:bottom w:val="single" w:color="auto" w:sz="4" w:space="0"/>
            </w:tcBorders>
            <w:tcW w:w="628" w:type="pct"/>
          </w:tcPr>
          <w:p w14:paraId="15DBBC43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Patient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746" w:type="pct"/>
          </w:tcPr>
          <w:p w14:paraId="29D21C40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Category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360" w:type="pct"/>
          </w:tcPr>
          <w:p w14:paraId="7C9288C8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Pair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896" w:type="pct"/>
          </w:tcPr>
          <w:p w14:paraId="1C965014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Patient ∂²η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853" w:type="pct"/>
          </w:tcPr>
          <w:p w14:paraId="4D8AC6A3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Global ∂²η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517" w:type="pct"/>
          </w:tcPr>
          <w:p w14:paraId="5FF33DF8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Ratio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>
              <w:top w:val="single" w:color="auto" w:sz="4" w:space="0"/>
            </w:tcBorders>
            <w:tcW w:w="628" w:type="pct"/>
          </w:tcPr>
          <w:p w14:paraId="5821C3DB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#330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746" w:type="pct"/>
          </w:tcPr>
          <w:p w14:paraId="22637D01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CC-Low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1360" w:type="pct"/>
          </w:tcPr>
          <w:p w14:paraId="5DBF5E09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age × lambda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896" w:type="pct"/>
          </w:tcPr>
          <w:p w14:paraId="118774D6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0.0282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853" w:type="pct"/>
          </w:tcPr>
          <w:p w14:paraId="1499E8FF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0.0016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517" w:type="pct"/>
          </w:tcPr>
          <w:p w14:paraId="6F8C3B67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17.1×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/>
            <w:tcW w:w="628" w:type="pct"/>
          </w:tcPr>
          <w:p w14:paraId="4AA5993C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#330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746" w:type="pct"/>
          </w:tcPr>
          <w:p w14:paraId="4DF47720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CC-Low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1360" w:type="pct"/>
          </w:tcPr>
          <w:p w14:paraId="368AE8C8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kappa × creatinine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896" w:type="pct"/>
          </w:tcPr>
          <w:p w14:paraId="0A11188D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0.0347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853" w:type="pct"/>
          </w:tcPr>
          <w:p w14:paraId="4CE78F2C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−0.0022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17" w:type="pct"/>
          </w:tcPr>
          <w:p w14:paraId="6A6C5C6E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15.6×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/>
            <w:tcW w:w="628" w:type="pct"/>
          </w:tcPr>
          <w:p w14:paraId="04FE29CB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#38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746" w:type="pct"/>
          </w:tcPr>
          <w:p w14:paraId="2595F503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CC-High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1360" w:type="pct"/>
          </w:tcPr>
          <w:p w14:paraId="04E54AA3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kappa × creatinine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896" w:type="pct"/>
          </w:tcPr>
          <w:p w14:paraId="6B6CFAD2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−0.0336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853" w:type="pct"/>
          </w:tcPr>
          <w:p w14:paraId="4EDF3F8D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−0.0022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17" w:type="pct"/>
          </w:tcPr>
          <w:p w14:paraId="6595E866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15.1×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/>
            <w:tcW w:w="628" w:type="pct"/>
          </w:tcPr>
          <w:p w14:paraId="2D56CC59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#1395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746" w:type="pct"/>
          </w:tcPr>
          <w:p w14:paraId="75EA4DE4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UW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1360" w:type="pct"/>
          </w:tcPr>
          <w:p w14:paraId="38BB22AF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kappa × creatinine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896" w:type="pct"/>
          </w:tcPr>
          <w:p w14:paraId="7E2E5AFA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0.0336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853" w:type="pct"/>
          </w:tcPr>
          <w:p w14:paraId="53652CFE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−0.0022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17" w:type="pct"/>
          </w:tcPr>
          <w:p w14:paraId="6B7BF5FF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15.1×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/>
            <w:tcW w:w="628" w:type="pct"/>
          </w:tcPr>
          <w:p w14:paraId="45F2539D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#812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746" w:type="pct"/>
          </w:tcPr>
          <w:p w14:paraId="7C7E8CE4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UC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1360" w:type="pct"/>
          </w:tcPr>
          <w:p w14:paraId="1DF00562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age × lambda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896" w:type="pct"/>
          </w:tcPr>
          <w:p w14:paraId="1C0B5280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0.0106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853" w:type="pct"/>
          </w:tcPr>
          <w:p w14:paraId="7968C06E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0.0016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17" w:type="pct"/>
          </w:tcPr>
          <w:p w14:paraId="42AB2430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6.4×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/>
            <w:tcW w:w="628" w:type="pct"/>
          </w:tcPr>
          <w:p w14:paraId="77064EB5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#383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746" w:type="pct"/>
          </w:tcPr>
          <w:p w14:paraId="4806616D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CW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1360" w:type="pct"/>
          </w:tcPr>
          <w:p w14:paraId="37D46D30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kappa × creatinine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896" w:type="pct"/>
          </w:tcPr>
          <w:p w14:paraId="6B6D9510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0.0107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853" w:type="pct"/>
          </w:tcPr>
          <w:p w14:paraId="65FC83B7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−0.0022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17" w:type="pct"/>
          </w:tcPr>
          <w:p w14:paraId="2355FBE4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4.8×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/>
            <w:tcW w:w="628" w:type="pct"/>
          </w:tcPr>
          <w:p w14:paraId="730B9FA5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#38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746" w:type="pct"/>
          </w:tcPr>
          <w:p w14:paraId="1FF870EF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CC-High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1360" w:type="pct"/>
          </w:tcPr>
          <w:p w14:paraId="19113B32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age × Sex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896" w:type="pct"/>
          </w:tcPr>
          <w:p w14:paraId="4518B3BF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0.0722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853" w:type="pct"/>
          </w:tcPr>
          <w:p w14:paraId="5FB48445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0.0188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17" w:type="pct"/>
          </w:tcPr>
          <w:p w14:paraId="2B433BC3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3.8×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/>
            <w:tcW w:w="628" w:type="pct"/>
          </w:tcPr>
          <w:p w14:paraId="52C7F7AE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#1395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746" w:type="pct"/>
          </w:tcPr>
          <w:p w14:paraId="5C75C1F9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UW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1360" w:type="pct"/>
          </w:tcPr>
          <w:p w14:paraId="2C9F5FA6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age × lambda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896" w:type="pct"/>
          </w:tcPr>
          <w:p w14:paraId="7925363F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0.0060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853" w:type="pct"/>
          </w:tcPr>
          <w:p w14:paraId="239F1203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0.0016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17" w:type="pct"/>
          </w:tcPr>
          <w:p w14:paraId="2882D223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3.6×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/>
            <w:tcW w:w="628" w:type="pct"/>
          </w:tcPr>
          <w:p w14:paraId="2D348ABD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#330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746" w:type="pct"/>
          </w:tcPr>
          <w:p w14:paraId="53BB5145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CC-Low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1360" w:type="pct"/>
          </w:tcPr>
          <w:p w14:paraId="5429B163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mgus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× Sex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896" w:type="pct"/>
          </w:tcPr>
          <w:p w14:paraId="5E86FD54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−0.0387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853" w:type="pct"/>
          </w:tcPr>
          <w:p w14:paraId="7BB15B99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0.0110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17" w:type="pct"/>
          </w:tcPr>
          <w:p w14:paraId="5E1405D9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3.5×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/>
            <w:tcW w:w="628" w:type="pct"/>
          </w:tcPr>
          <w:p w14:paraId="1B657877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#1395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746" w:type="pct"/>
          </w:tcPr>
          <w:p w14:paraId="1ECB1C10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UW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1360" w:type="pct"/>
          </w:tcPr>
          <w:p w14:paraId="71005971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age × Sex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896" w:type="pct"/>
          </w:tcPr>
          <w:p w14:paraId="357436C4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0.0468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853" w:type="pct"/>
          </w:tcPr>
          <w:p w14:paraId="4665DAA3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0.0188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17" w:type="pct"/>
          </w:tcPr>
          <w:p w14:paraId="4C818C76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2.5×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/>
            <w:tcW w:w="628" w:type="pct"/>
          </w:tcPr>
          <w:p w14:paraId="268B108D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#1395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746" w:type="pct"/>
          </w:tcPr>
          <w:p w14:paraId="4006AD64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UW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1360" w:type="pct"/>
          </w:tcPr>
          <w:p w14:paraId="5B36A9B2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age × kappa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896" w:type="pct"/>
          </w:tcPr>
          <w:p w14:paraId="5B18FFBB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−0.0651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853" w:type="pct"/>
          </w:tcPr>
          <w:p w14:paraId="6917A29D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−0.0286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17" w:type="pct"/>
          </w:tcPr>
          <w:p w14:paraId="4AC660A3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2.3×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/>
            <w:tcW w:w="628" w:type="pct"/>
          </w:tcPr>
          <w:p w14:paraId="4CB09FA5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#38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746" w:type="pct"/>
          </w:tcPr>
          <w:p w14:paraId="2EE9482C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CC-High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1360" w:type="pct"/>
          </w:tcPr>
          <w:p w14:paraId="4682818C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age × kappa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896" w:type="pct"/>
          </w:tcPr>
          <w:p w14:paraId="17B0AF3B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−0.0643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853" w:type="pct"/>
          </w:tcPr>
          <w:p w14:paraId="703F15F7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−0.0286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17" w:type="pct"/>
          </w:tcPr>
          <w:p w14:paraId="3F3A9306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2.3×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>
              <w:bottom w:val="single" w:color="auto" w:sz="4" w:space="0"/>
            </w:tcBorders>
            <w:tcW w:w="628" w:type="pct"/>
          </w:tcPr>
          <w:p w14:paraId="0C38A3A9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#383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746" w:type="pct"/>
          </w:tcPr>
          <w:p w14:paraId="73EB4BCE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CW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1360" w:type="pct"/>
          </w:tcPr>
          <w:p w14:paraId="24C80DA2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age × Sex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896" w:type="pct"/>
          </w:tcPr>
          <w:p w14:paraId="29BFB3A1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0.0397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853" w:type="pct"/>
          </w:tcPr>
          <w:p w14:paraId="3A5AEEAC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0.0188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517" w:type="pct"/>
          </w:tcPr>
          <w:p w14:paraId="4D830564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2.1×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</w:tbl>
    <w:p w14:paraId="0555DB57" w14:textId="6676C113">
      <w:pPr>
        <w:pBdr/>
        <w:spacing/>
        <w:ind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sz w:val="22"/>
          <w:szCs w:val="22"/>
          <w:lang w:val="en-GB"/>
        </w:rPr>
      </w:r>
      <w:r>
        <w:rPr>
          <w:rFonts w:ascii="Times New Roman" w:hAnsi="Times New Roman" w:cs="Times New Roman"/>
          <w:sz w:val="22"/>
          <w:szCs w:val="22"/>
          <w:lang w:val="en-GB"/>
        </w:rPr>
      </w:r>
    </w:p>
    <w:p w14:paraId="49CC4CD5" w14:textId="26CD0818">
      <w:pPr>
        <w:pBdr/>
        <w:spacing/>
        <w:ind/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D.</w:t>
      </w: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3</w:t>
      </w: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en-GB"/>
        </w:rPr>
        <w:t xml:space="preserve">SHAP vs ORF-Attribution — Five Patients (Section 3.3.5)</w:t>
      </w: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</w:r>
    </w:p>
    <w:p w14:paraId="3DAC5202" w14:textId="77777777">
      <w:pPr>
        <w:pBdr/>
        <w:spacing/>
        <w:ind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sz w:val="22"/>
          <w:szCs w:val="22"/>
          <w:lang w:val="en-GB"/>
        </w:rPr>
        <w:t xml:space="preserve">KernelSHAP</w:t>
      </w:r>
      <w:r>
        <w:rPr>
          <w:rFonts w:ascii="Times New Roman" w:hAnsi="Times New Roman" w:cs="Times New Roman"/>
          <w:sz w:val="22"/>
          <w:szCs w:val="22"/>
          <w:lang w:val="en-GB"/>
        </w:rPr>
        <w:t xml:space="preserve">: 100 background samples, 200 evaluation samples. ORF-attribution: Simpson's rule (Eq. 29), reference = training mean.</w:t>
      </w:r>
      <w:r>
        <w:rPr>
          <w:rFonts w:ascii="Times New Roman" w:hAnsi="Times New Roman" w:cs="Times New Roman"/>
          <w:sz w:val="22"/>
          <w:szCs w:val="22"/>
          <w:lang w:val="en-GB"/>
        </w:rPr>
      </w:r>
    </w:p>
    <w:p w14:paraId="16D2ED46" w14:textId="29C1B43F">
      <w:pPr>
        <w:pBdr/>
        <w:spacing w:after="0"/>
        <w:ind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Table D</w:t>
      </w: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6</w:t>
      </w: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.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Summary of SHAP vs ORF-attribution comparison metrics for five representative patients.</w:t>
      </w: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</w:r>
      <w:r>
        <w:rPr>
          <w:rFonts w:ascii="Times New Roman" w:hAnsi="Times New Roman" w:cs="Times New Roman"/>
          <w:sz w:val="22"/>
          <w:szCs w:val="22"/>
          <w:lang w:val="en-GB"/>
        </w:rPr>
      </w:r>
      <w:r>
        <w:rPr>
          <w:rFonts w:ascii="Times New Roman" w:hAnsi="Times New Roman" w:cs="Times New Roman"/>
          <w:sz w:val="22"/>
          <w:szCs w:val="22"/>
          <w:lang w:val="en-GB"/>
        </w:rPr>
      </w:r>
    </w:p>
    <w:tbl>
      <w:tblPr>
        <w:tblStyle w:val="700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659"/>
        <w:gridCol w:w="1397"/>
        <w:gridCol w:w="1152"/>
        <w:gridCol w:w="2121"/>
        <w:gridCol w:w="1702"/>
        <w:gridCol w:w="1041"/>
      </w:tblGrid>
      <w:tr>
        <w:trPr/>
        <w:tc>
          <w:tcPr>
            <w:tcBorders>
              <w:top w:val="single" w:color="auto" w:sz="4" w:space="0"/>
              <w:bottom w:val="single" w:color="auto" w:sz="4" w:space="0"/>
            </w:tcBorders>
            <w:tcW w:w="914" w:type="pct"/>
          </w:tcPr>
          <w:p w14:paraId="34E5420A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Category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770" w:type="pct"/>
          </w:tcPr>
          <w:p w14:paraId="5A234888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Patient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635" w:type="pct"/>
          </w:tcPr>
          <w:p w14:paraId="16A26D83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p̂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169" w:type="pct"/>
          </w:tcPr>
          <w:p w14:paraId="705007D7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Spearman ρ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938" w:type="pct"/>
          </w:tcPr>
          <w:p w14:paraId="4949A75C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Direction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575" w:type="pct"/>
          </w:tcPr>
          <w:p w14:paraId="29A64FC3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Gap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>
              <w:top w:val="single" w:color="auto" w:sz="4" w:space="0"/>
            </w:tcBorders>
            <w:tcW w:w="914" w:type="pct"/>
          </w:tcPr>
          <w:p w14:paraId="21ACBC4B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CC-Low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770" w:type="pct"/>
          </w:tcPr>
          <w:p w14:paraId="7AC05F09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#330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635" w:type="pct"/>
          </w:tcPr>
          <w:p w14:paraId="410ADBA6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0.062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1169" w:type="pct"/>
          </w:tcPr>
          <w:p w14:paraId="5899410D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0.314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938" w:type="pct"/>
          </w:tcPr>
          <w:p w14:paraId="0A617016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5/6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575" w:type="pct"/>
          </w:tcPr>
          <w:p w14:paraId="57159FBB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0.9%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/>
            <w:tcW w:w="914" w:type="pct"/>
          </w:tcPr>
          <w:p w14:paraId="052C0D0F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CC-High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770" w:type="pct"/>
          </w:tcPr>
          <w:p w14:paraId="05FD9E71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#38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635" w:type="pct"/>
          </w:tcPr>
          <w:p w14:paraId="6DB40C0C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0.975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1169" w:type="pct"/>
          </w:tcPr>
          <w:p w14:paraId="2F3F0EA3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0.943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938" w:type="pct"/>
          </w:tcPr>
          <w:p w14:paraId="21215ACF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5/6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75" w:type="pct"/>
          </w:tcPr>
          <w:p w14:paraId="17A577A4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5.2%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/>
            <w:tcW w:w="914" w:type="pct"/>
          </w:tcPr>
          <w:p w14:paraId="041F96CB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CW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770" w:type="pct"/>
          </w:tcPr>
          <w:p w14:paraId="4AE8AC0F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#383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635" w:type="pct"/>
          </w:tcPr>
          <w:p w14:paraId="5B1D8BC5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0.203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1169" w:type="pct"/>
          </w:tcPr>
          <w:p w14:paraId="1787F9FB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0.200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938" w:type="pct"/>
          </w:tcPr>
          <w:p w14:paraId="568DDDDC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3/6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75" w:type="pct"/>
          </w:tcPr>
          <w:p w14:paraId="1B852C4C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0.0%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/>
            <w:tcW w:w="914" w:type="pct"/>
          </w:tcPr>
          <w:p w14:paraId="48F25165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UC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770" w:type="pct"/>
          </w:tcPr>
          <w:p w14:paraId="132968DC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#812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635" w:type="pct"/>
          </w:tcPr>
          <w:p w14:paraId="36A8793E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0.499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1169" w:type="pct"/>
          </w:tcPr>
          <w:p w14:paraId="784017A3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0.943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938" w:type="pct"/>
          </w:tcPr>
          <w:p w14:paraId="4DD7B96E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5/6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75" w:type="pct"/>
          </w:tcPr>
          <w:p w14:paraId="67F19C7B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0.0%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>
              <w:bottom w:val="single" w:color="auto" w:sz="4" w:space="0"/>
            </w:tcBorders>
            <w:tcW w:w="914" w:type="pct"/>
          </w:tcPr>
          <w:p w14:paraId="7ED07F06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UW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770" w:type="pct"/>
          </w:tcPr>
          <w:p w14:paraId="1FA60976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#1395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635" w:type="pct"/>
          </w:tcPr>
          <w:p w14:paraId="3FC5A625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0.500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1169" w:type="pct"/>
          </w:tcPr>
          <w:p w14:paraId="1C83AEB6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0.771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938" w:type="pct"/>
          </w:tcPr>
          <w:p w14:paraId="02D24AB9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6/6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575" w:type="pct"/>
          </w:tcPr>
          <w:p w14:paraId="58893D13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0.0%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</w:tbl>
    <w:p w14:paraId="68200AC3" w14:textId="77777777">
      <w:pPr>
        <w:pBdr/>
        <w:spacing/>
        <w:ind/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</w: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</w:r>
    </w:p>
    <w:p w14:paraId="1DA869FA" w14:textId="4C44027B">
      <w:pPr>
        <w:pBdr/>
        <w:spacing w:after="0"/>
        <w:ind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Table D</w:t>
      </w: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7</w:t>
      </w: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. </w:t>
      </w:r>
      <w:r>
        <w:rPr>
          <w:rFonts w:ascii="Times New Roman" w:hAnsi="Times New Roman" w:cs="Times New Roman"/>
          <w:sz w:val="22"/>
          <w:szCs w:val="22"/>
          <w:lang w:val="en-GB"/>
        </w:rPr>
        <w:t xml:space="preserve">Patient #330 (CC-Low)</w:t>
      </w:r>
      <w:r>
        <w:rPr>
          <w:rFonts w:ascii="Times New Roman" w:hAnsi="Times New Roman" w:cs="Times New Roman"/>
          <w:sz w:val="22"/>
          <w:szCs w:val="22"/>
          <w:lang w:val="en-GB"/>
        </w:rPr>
      </w:r>
    </w:p>
    <w:tbl>
      <w:tblPr>
        <w:tblStyle w:val="700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334"/>
        <w:gridCol w:w="991"/>
        <w:gridCol w:w="991"/>
        <w:gridCol w:w="991"/>
        <w:gridCol w:w="991"/>
        <w:gridCol w:w="1568"/>
        <w:gridCol w:w="1633"/>
        <w:gridCol w:w="573"/>
      </w:tblGrid>
      <w:tr>
        <w:trPr/>
        <w:tc>
          <w:tcPr>
            <w:tcBorders>
              <w:top w:val="single" w:color="auto" w:sz="4" w:space="0"/>
              <w:bottom w:val="single" w:color="auto" w:sz="4" w:space="0"/>
            </w:tcBorders>
            <w:tcW w:w="736" w:type="pct"/>
          </w:tcPr>
          <w:p w14:paraId="60F655AA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Feature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546" w:type="pct"/>
          </w:tcPr>
          <w:p w14:paraId="65413D49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L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546" w:type="pct"/>
          </w:tcPr>
          <w:p w14:paraId="12D91441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NL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546" w:type="pct"/>
          </w:tcPr>
          <w:p w14:paraId="2CEAC952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L+NL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546" w:type="pct"/>
          </w:tcPr>
          <w:p w14:paraId="463A221C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SHAP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864" w:type="pct"/>
          </w:tcPr>
          <w:p w14:paraId="3F3B6569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Rank (L+NL)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900" w:type="pct"/>
          </w:tcPr>
          <w:p w14:paraId="64AE53CB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Rank (SHAP)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316" w:type="pct"/>
          </w:tcPr>
          <w:p w14:paraId="0ED18D1B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Dir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>
              <w:top w:val="single" w:color="auto" w:sz="4" w:space="0"/>
            </w:tcBorders>
            <w:tcW w:w="736" w:type="pct"/>
          </w:tcPr>
          <w:p w14:paraId="7AB71131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age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546" w:type="pct"/>
          </w:tcPr>
          <w:p w14:paraId="5C1B8287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−1.581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546" w:type="pct"/>
          </w:tcPr>
          <w:p w14:paraId="266B6D74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+0.166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546" w:type="pct"/>
          </w:tcPr>
          <w:p w14:paraId="0252D103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−1.414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546" w:type="pct"/>
          </w:tcPr>
          <w:p w14:paraId="3E2919B6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−0.177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864" w:type="pct"/>
          </w:tcPr>
          <w:p w14:paraId="49CC28BF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900" w:type="pct"/>
          </w:tcPr>
          <w:p w14:paraId="3843F8C2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316" w:type="pct"/>
          </w:tcPr>
          <w:p w14:paraId="22AB0E5C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Segoe UI Symbol" w:hAnsi="Segoe UI Symbol" w:cs="Segoe UI Symbol"/>
                <w:sz w:val="22"/>
                <w:szCs w:val="22"/>
                <w:lang w:val="en-GB"/>
              </w:rPr>
              <w:t xml:space="preserve">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/>
            <w:tcW w:w="736" w:type="pct"/>
          </w:tcPr>
          <w:p w14:paraId="56952AD2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Sex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46" w:type="pct"/>
          </w:tcPr>
          <w:p w14:paraId="3398945B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+0.233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46" w:type="pct"/>
          </w:tcPr>
          <w:p w14:paraId="7F802745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+0.016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46" w:type="pct"/>
          </w:tcPr>
          <w:p w14:paraId="726F7574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+0.249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46" w:type="pct"/>
          </w:tcPr>
          <w:p w14:paraId="38F9D8DB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+0.014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864" w:type="pct"/>
          </w:tcPr>
          <w:p w14:paraId="64010AD2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2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900" w:type="pct"/>
          </w:tcPr>
          <w:p w14:paraId="1708FC26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4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316" w:type="pct"/>
          </w:tcPr>
          <w:p w14:paraId="4EBDF9D2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Segoe UI Symbol" w:hAnsi="Segoe UI Symbol" w:cs="Segoe UI Symbol"/>
                <w:sz w:val="22"/>
                <w:szCs w:val="22"/>
                <w:lang w:val="en-GB"/>
              </w:rPr>
              <w:t xml:space="preserve">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/>
            <w:tcW w:w="736" w:type="pct"/>
          </w:tcPr>
          <w:p w14:paraId="6C2C4DF0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lambda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46" w:type="pct"/>
          </w:tcPr>
          <w:p w14:paraId="7AB6E91E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−0.187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46" w:type="pct"/>
          </w:tcPr>
          <w:p w14:paraId="561A2AB2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+0.108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46" w:type="pct"/>
          </w:tcPr>
          <w:p w14:paraId="44E4BFD0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−0.079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46" w:type="pct"/>
          </w:tcPr>
          <w:p w14:paraId="169F5D8A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−0.017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864" w:type="pct"/>
          </w:tcPr>
          <w:p w14:paraId="7AD43BD7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3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900" w:type="pct"/>
          </w:tcPr>
          <w:p w14:paraId="3B089699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3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316" w:type="pct"/>
          </w:tcPr>
          <w:p w14:paraId="53865036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Segoe UI Symbol" w:hAnsi="Segoe UI Symbol" w:cs="Segoe UI Symbol"/>
                <w:sz w:val="22"/>
                <w:szCs w:val="22"/>
                <w:lang w:val="en-GB"/>
              </w:rPr>
              <w:t xml:space="preserve">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/>
            <w:tcW w:w="736" w:type="pct"/>
          </w:tcPr>
          <w:p w14:paraId="7AB15AEC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kappa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46" w:type="pct"/>
          </w:tcPr>
          <w:p w14:paraId="00FA13E9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+0.083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46" w:type="pct"/>
          </w:tcPr>
          <w:p w14:paraId="14DA9502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−0.032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46" w:type="pct"/>
          </w:tcPr>
          <w:p w14:paraId="20932C85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+0.051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46" w:type="pct"/>
          </w:tcPr>
          <w:p w14:paraId="491FB189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+0.003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864" w:type="pct"/>
          </w:tcPr>
          <w:p w14:paraId="5FEAB457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4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900" w:type="pct"/>
          </w:tcPr>
          <w:p w14:paraId="4A154E6A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6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316" w:type="pct"/>
          </w:tcPr>
          <w:p w14:paraId="2E6E060F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Segoe UI Symbol" w:hAnsi="Segoe UI Symbol" w:cs="Segoe UI Symbol"/>
                <w:sz w:val="22"/>
                <w:szCs w:val="22"/>
                <w:lang w:val="en-GB"/>
              </w:rPr>
              <w:t xml:space="preserve">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/>
            <w:tcW w:w="736" w:type="pct"/>
          </w:tcPr>
          <w:p w14:paraId="5617D3AF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creatinine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46" w:type="pct"/>
          </w:tcPr>
          <w:p w14:paraId="6B20BE15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+0.017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46" w:type="pct"/>
          </w:tcPr>
          <w:p w14:paraId="62291FD7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+0.017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46" w:type="pct"/>
          </w:tcPr>
          <w:p w14:paraId="5EB770D1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+0.034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46" w:type="pct"/>
          </w:tcPr>
          <w:p w14:paraId="3E6FE97A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−0.005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864" w:type="pct"/>
          </w:tcPr>
          <w:p w14:paraId="665CC835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5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900" w:type="pct"/>
          </w:tcPr>
          <w:p w14:paraId="10797FC2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5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316" w:type="pct"/>
          </w:tcPr>
          <w:p w14:paraId="2026FB89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Segoe UI Symbol" w:hAnsi="Segoe UI Symbol" w:cs="Segoe UI Symbol"/>
                <w:sz w:val="22"/>
                <w:szCs w:val="22"/>
                <w:lang w:val="en-GB"/>
              </w:rPr>
              <w:t xml:space="preserve">✗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>
              <w:bottom w:val="single" w:color="auto" w:sz="4" w:space="0"/>
            </w:tcBorders>
            <w:tcW w:w="736" w:type="pct"/>
          </w:tcPr>
          <w:p w14:paraId="34A02D56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mgus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546" w:type="pct"/>
          </w:tcPr>
          <w:p w14:paraId="7FF81AA6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−1.411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546" w:type="pct"/>
          </w:tcPr>
          <w:p w14:paraId="6C234D69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+1.394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546" w:type="pct"/>
          </w:tcPr>
          <w:p w14:paraId="215D9FC5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−0.016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546" w:type="pct"/>
          </w:tcPr>
          <w:p w14:paraId="1FC70E54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−0.020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864" w:type="pct"/>
          </w:tcPr>
          <w:p w14:paraId="327D641D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6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900" w:type="pct"/>
          </w:tcPr>
          <w:p w14:paraId="0F767DD6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2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316" w:type="pct"/>
          </w:tcPr>
          <w:p w14:paraId="4FC6314A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Segoe UI Symbol" w:hAnsi="Segoe UI Symbol" w:cs="Segoe UI Symbol"/>
                <w:sz w:val="22"/>
                <w:szCs w:val="22"/>
                <w:lang w:val="en-GB"/>
              </w:rPr>
              <w:t xml:space="preserve">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</w:tbl>
    <w:p w14:paraId="30E49565" w14:textId="77777777">
      <w:pPr>
        <w:pBdr/>
        <w:spacing/>
        <w:ind/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</w: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</w:r>
    </w:p>
    <w:p w14:paraId="059D245D" w14:textId="68E4E9A7">
      <w:pPr>
        <w:pBdr/>
        <w:spacing w:after="0"/>
        <w:ind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Table D</w:t>
      </w: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8</w:t>
      </w: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. </w:t>
      </w:r>
      <w:r>
        <w:rPr>
          <w:rFonts w:ascii="Times New Roman" w:hAnsi="Times New Roman" w:cs="Times New Roman"/>
          <w:sz w:val="22"/>
          <w:szCs w:val="22"/>
          <w:lang w:val="en-GB"/>
        </w:rPr>
        <w:t xml:space="preserve">Patient #38 (CC-High)</w:t>
      </w:r>
      <w:r>
        <w:rPr>
          <w:rFonts w:ascii="Times New Roman" w:hAnsi="Times New Roman" w:cs="Times New Roman"/>
          <w:sz w:val="22"/>
          <w:szCs w:val="22"/>
          <w:lang w:val="en-GB"/>
        </w:rPr>
      </w:r>
    </w:p>
    <w:tbl>
      <w:tblPr>
        <w:tblStyle w:val="700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210"/>
        <w:gridCol w:w="1022"/>
        <w:gridCol w:w="1023"/>
        <w:gridCol w:w="1023"/>
        <w:gridCol w:w="1023"/>
        <w:gridCol w:w="1587"/>
        <w:gridCol w:w="1650"/>
        <w:gridCol w:w="534"/>
      </w:tblGrid>
      <w:tr>
        <w:trPr/>
        <w:tc>
          <w:tcPr>
            <w:tcBorders>
              <w:top w:val="single" w:color="auto" w:sz="4" w:space="0"/>
              <w:bottom w:val="single" w:color="auto" w:sz="4" w:space="0"/>
            </w:tcBorders>
            <w:tcW w:w="672" w:type="pct"/>
          </w:tcPr>
          <w:p w14:paraId="7888BB01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Feature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568" w:type="pct"/>
          </w:tcPr>
          <w:p w14:paraId="307B1C0B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L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568" w:type="pct"/>
          </w:tcPr>
          <w:p w14:paraId="7DEFA430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NL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568" w:type="pct"/>
          </w:tcPr>
          <w:p w14:paraId="6D7ACF9A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L+NL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568" w:type="pct"/>
          </w:tcPr>
          <w:p w14:paraId="1B7B450D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SHAP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879" w:type="pct"/>
          </w:tcPr>
          <w:p w14:paraId="6314D22C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Rank (L+NL)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914" w:type="pct"/>
          </w:tcPr>
          <w:p w14:paraId="30CFC2A5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Rank (SHAP)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62" w:type="pct"/>
          </w:tcPr>
          <w:p w14:paraId="2D6AF38F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Dir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>
              <w:top w:val="single" w:color="auto" w:sz="4" w:space="0"/>
            </w:tcBorders>
            <w:tcW w:w="672" w:type="pct"/>
          </w:tcPr>
          <w:p w14:paraId="7402412C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lambda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568" w:type="pct"/>
          </w:tcPr>
          <w:p w14:paraId="158B199E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+2.566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568" w:type="pct"/>
          </w:tcPr>
          <w:p w14:paraId="146273C7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−0.095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568" w:type="pct"/>
          </w:tcPr>
          <w:p w14:paraId="200067AC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+2.472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568" w:type="pct"/>
          </w:tcPr>
          <w:p w14:paraId="4A95E4CF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+0.233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879" w:type="pct"/>
          </w:tcPr>
          <w:p w14:paraId="7377C34B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914" w:type="pct"/>
          </w:tcPr>
          <w:p w14:paraId="548C1C3D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2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262" w:type="pct"/>
          </w:tcPr>
          <w:p w14:paraId="1E244414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Segoe UI Symbol" w:hAnsi="Segoe UI Symbol" w:cs="Segoe UI Symbol"/>
                <w:sz w:val="22"/>
                <w:szCs w:val="22"/>
                <w:lang w:val="en-GB"/>
              </w:rPr>
              <w:t xml:space="preserve">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/>
            <w:tcW w:w="672" w:type="pct"/>
          </w:tcPr>
          <w:p w14:paraId="70F378D2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age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476F143D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+3.127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0B683D0F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−1.048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38FB1435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+2.079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13431218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+0.266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879" w:type="pct"/>
          </w:tcPr>
          <w:p w14:paraId="0F19D839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2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914" w:type="pct"/>
          </w:tcPr>
          <w:p w14:paraId="6D88AA57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262" w:type="pct"/>
          </w:tcPr>
          <w:p w14:paraId="2EFBCF2E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Segoe UI Symbol" w:hAnsi="Segoe UI Symbol" w:cs="Segoe UI Symbol"/>
                <w:sz w:val="22"/>
                <w:szCs w:val="22"/>
                <w:lang w:val="en-GB"/>
              </w:rPr>
              <w:t xml:space="preserve">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/>
            <w:tcW w:w="672" w:type="pct"/>
          </w:tcPr>
          <w:p w14:paraId="1BD1027C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kappa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3C5907C5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+2.175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3E8BD74D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−1.958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15CF6A6F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+0.217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5132E669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+0.174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879" w:type="pct"/>
          </w:tcPr>
          <w:p w14:paraId="28BE2BED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3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914" w:type="pct"/>
          </w:tcPr>
          <w:p w14:paraId="22A7FE83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3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262" w:type="pct"/>
          </w:tcPr>
          <w:p w14:paraId="21DBB225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Segoe UI Symbol" w:hAnsi="Segoe UI Symbol" w:cs="Segoe UI Symbol"/>
                <w:sz w:val="22"/>
                <w:szCs w:val="22"/>
                <w:lang w:val="en-GB"/>
              </w:rPr>
              <w:t xml:space="preserve">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/>
            <w:tcW w:w="672" w:type="pct"/>
          </w:tcPr>
          <w:p w14:paraId="4023408C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creatinine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23700963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−0.116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1C24DC3B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+0.229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4D217EED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+0.114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190F2C7B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+0.030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879" w:type="pct"/>
          </w:tcPr>
          <w:p w14:paraId="762A311D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4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914" w:type="pct"/>
          </w:tcPr>
          <w:p w14:paraId="4BAB1BD9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4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262" w:type="pct"/>
          </w:tcPr>
          <w:p w14:paraId="7E582679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Segoe UI Symbol" w:hAnsi="Segoe UI Symbol" w:cs="Segoe UI Symbol"/>
                <w:sz w:val="22"/>
                <w:szCs w:val="22"/>
                <w:lang w:val="en-GB"/>
              </w:rPr>
              <w:t xml:space="preserve">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/>
            <w:tcW w:w="672" w:type="pct"/>
          </w:tcPr>
          <w:p w14:paraId="37B4AF91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Sex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29C02C3D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+0.233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4C6DDC7A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−0.203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2DB016A1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+0.029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5760DDF4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+0.010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879" w:type="pct"/>
          </w:tcPr>
          <w:p w14:paraId="3A2FADB6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5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914" w:type="pct"/>
          </w:tcPr>
          <w:p w14:paraId="5227F150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5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262" w:type="pct"/>
          </w:tcPr>
          <w:p w14:paraId="61616DDE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Segoe UI Symbol" w:hAnsi="Segoe UI Symbol" w:cs="Segoe UI Symbol"/>
                <w:sz w:val="22"/>
                <w:szCs w:val="22"/>
                <w:lang w:val="en-GB"/>
              </w:rPr>
              <w:t xml:space="preserve">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>
              <w:bottom w:val="single" w:color="auto" w:sz="4" w:space="0"/>
            </w:tcBorders>
            <w:tcW w:w="672" w:type="pct"/>
          </w:tcPr>
          <w:p w14:paraId="08FB8BB5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mgus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568" w:type="pct"/>
          </w:tcPr>
          <w:p w14:paraId="352B523B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+0.020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568" w:type="pct"/>
          </w:tcPr>
          <w:p w14:paraId="59FE731B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+0.005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568" w:type="pct"/>
          </w:tcPr>
          <w:p w14:paraId="1192AC34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+0.025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568" w:type="pct"/>
          </w:tcPr>
          <w:p w14:paraId="42E4EEC1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−0.000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879" w:type="pct"/>
          </w:tcPr>
          <w:p w14:paraId="63A82DDD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6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914" w:type="pct"/>
          </w:tcPr>
          <w:p w14:paraId="45F469A0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6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262" w:type="pct"/>
          </w:tcPr>
          <w:p w14:paraId="4C850002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Segoe UI Symbol" w:hAnsi="Segoe UI Symbol" w:cs="Segoe UI Symbol"/>
                <w:sz w:val="22"/>
                <w:szCs w:val="22"/>
                <w:lang w:val="en-GB"/>
              </w:rPr>
              <w:t xml:space="preserve">✗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</w:tbl>
    <w:p w14:paraId="54506FB2" w14:textId="77777777">
      <w:pPr>
        <w:pBdr/>
        <w:spacing/>
        <w:ind/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</w: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</w:r>
    </w:p>
    <w:p w14:paraId="272E4388" w14:textId="07BC0D21">
      <w:pPr>
        <w:pBdr/>
        <w:spacing w:after="0"/>
        <w:ind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Table D</w:t>
      </w: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9</w:t>
      </w: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. </w:t>
      </w:r>
      <w:r>
        <w:rPr>
          <w:rFonts w:ascii="Times New Roman" w:hAnsi="Times New Roman" w:cs="Times New Roman"/>
          <w:sz w:val="22"/>
          <w:szCs w:val="22"/>
          <w:lang w:val="en-GB"/>
        </w:rPr>
        <w:t xml:space="preserve">Patient #383 (CW)</w:t>
      </w:r>
      <w:r>
        <w:rPr>
          <w:rFonts w:ascii="Times New Roman" w:hAnsi="Times New Roman" w:cs="Times New Roman"/>
          <w:sz w:val="22"/>
          <w:szCs w:val="22"/>
          <w:lang w:val="en-GB"/>
        </w:rPr>
      </w:r>
    </w:p>
    <w:tbl>
      <w:tblPr>
        <w:tblStyle w:val="700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210"/>
        <w:gridCol w:w="1022"/>
        <w:gridCol w:w="1023"/>
        <w:gridCol w:w="1023"/>
        <w:gridCol w:w="1023"/>
        <w:gridCol w:w="1587"/>
        <w:gridCol w:w="1650"/>
        <w:gridCol w:w="534"/>
      </w:tblGrid>
      <w:tr>
        <w:trPr/>
        <w:tc>
          <w:tcPr>
            <w:tcBorders>
              <w:top w:val="single" w:color="auto" w:sz="4" w:space="0"/>
              <w:bottom w:val="single" w:color="auto" w:sz="4" w:space="0"/>
            </w:tcBorders>
            <w:tcW w:w="672" w:type="pct"/>
          </w:tcPr>
          <w:p w14:paraId="34E1837C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Feature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568" w:type="pct"/>
          </w:tcPr>
          <w:p w14:paraId="4A7E0609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L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568" w:type="pct"/>
          </w:tcPr>
          <w:p w14:paraId="5FBA66E0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NL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568" w:type="pct"/>
          </w:tcPr>
          <w:p w14:paraId="0D0996E4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L+NL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568" w:type="pct"/>
          </w:tcPr>
          <w:p w14:paraId="43EE5170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SHAP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879" w:type="pct"/>
          </w:tcPr>
          <w:p w14:paraId="28B720C3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Rank (L+NL)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914" w:type="pct"/>
          </w:tcPr>
          <w:p w14:paraId="1470A1F9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Rank (SHAP)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62" w:type="pct"/>
          </w:tcPr>
          <w:p w14:paraId="40028BB9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Dir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>
              <w:top w:val="single" w:color="auto" w:sz="4" w:space="0"/>
            </w:tcBorders>
            <w:tcW w:w="672" w:type="pct"/>
          </w:tcPr>
          <w:p w14:paraId="55E8CBC8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age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568" w:type="pct"/>
          </w:tcPr>
          <w:p w14:paraId="5EDE9577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+0.328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568" w:type="pct"/>
          </w:tcPr>
          <w:p w14:paraId="1C18DFF5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+0.005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568" w:type="pct"/>
          </w:tcPr>
          <w:p w14:paraId="015478CC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+0.333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568" w:type="pct"/>
          </w:tcPr>
          <w:p w14:paraId="20AAE5D4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−0.001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879" w:type="pct"/>
          </w:tcPr>
          <w:p w14:paraId="573FC6F0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914" w:type="pct"/>
          </w:tcPr>
          <w:p w14:paraId="44BFD11F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5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262" w:type="pct"/>
          </w:tcPr>
          <w:p w14:paraId="0DC67206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Segoe UI Symbol" w:hAnsi="Segoe UI Symbol" w:cs="Segoe UI Symbol"/>
                <w:sz w:val="22"/>
                <w:szCs w:val="22"/>
                <w:lang w:val="en-GB"/>
              </w:rPr>
              <w:t xml:space="preserve">✗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/>
            <w:tcW w:w="672" w:type="pct"/>
          </w:tcPr>
          <w:p w14:paraId="558F4CA6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Sex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757C6820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−0.189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40B37C13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+0.048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40ABC6D5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−0.142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18F7C2BB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−0.036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879" w:type="pct"/>
          </w:tcPr>
          <w:p w14:paraId="73F6423E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2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914" w:type="pct"/>
          </w:tcPr>
          <w:p w14:paraId="49583B36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262" w:type="pct"/>
          </w:tcPr>
          <w:p w14:paraId="58E455AA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Segoe UI Symbol" w:hAnsi="Segoe UI Symbol" w:cs="Segoe UI Symbol"/>
                <w:sz w:val="22"/>
                <w:szCs w:val="22"/>
                <w:lang w:val="en-GB"/>
              </w:rPr>
              <w:t xml:space="preserve">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/>
            <w:tcW w:w="672" w:type="pct"/>
          </w:tcPr>
          <w:p w14:paraId="750A197B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kappa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1F8068B0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−0.026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1C3CFC16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−0.002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6A9F8ACB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−0.028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059C6D6F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−0.005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879" w:type="pct"/>
          </w:tcPr>
          <w:p w14:paraId="5D1EED13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3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914" w:type="pct"/>
          </w:tcPr>
          <w:p w14:paraId="0679E31F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4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262" w:type="pct"/>
          </w:tcPr>
          <w:p w14:paraId="0D0AE159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Segoe UI Symbol" w:hAnsi="Segoe UI Symbol" w:cs="Segoe UI Symbol"/>
                <w:sz w:val="22"/>
                <w:szCs w:val="22"/>
                <w:lang w:val="en-GB"/>
              </w:rPr>
              <w:t xml:space="preserve">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/>
            <w:tcW w:w="672" w:type="pct"/>
          </w:tcPr>
          <w:p w14:paraId="78566592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creatinine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258391F2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+0.017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4382A6CA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+0.007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06455DDE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+0.024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2E2EAFE4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−0.008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879" w:type="pct"/>
          </w:tcPr>
          <w:p w14:paraId="501E980B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4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914" w:type="pct"/>
          </w:tcPr>
          <w:p w14:paraId="40BBAC26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3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262" w:type="pct"/>
          </w:tcPr>
          <w:p w14:paraId="7AC7F296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Segoe UI Symbol" w:hAnsi="Segoe UI Symbol" w:cs="Segoe UI Symbol"/>
                <w:sz w:val="22"/>
                <w:szCs w:val="22"/>
                <w:lang w:val="en-GB"/>
              </w:rPr>
              <w:t xml:space="preserve">✗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/>
            <w:tcW w:w="672" w:type="pct"/>
          </w:tcPr>
          <w:p w14:paraId="4C582339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lambda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6C4C20B7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−0.022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3F8FF29C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+0.002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105B1454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−0.020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1127A333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−0.012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879" w:type="pct"/>
          </w:tcPr>
          <w:p w14:paraId="38AC9659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5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914" w:type="pct"/>
          </w:tcPr>
          <w:p w14:paraId="50109E5C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2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262" w:type="pct"/>
          </w:tcPr>
          <w:p w14:paraId="28981AF2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Segoe UI Symbol" w:hAnsi="Segoe UI Symbol" w:cs="Segoe UI Symbol"/>
                <w:sz w:val="22"/>
                <w:szCs w:val="22"/>
                <w:lang w:val="en-GB"/>
              </w:rPr>
              <w:t xml:space="preserve">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>
              <w:bottom w:val="single" w:color="auto" w:sz="4" w:space="0"/>
            </w:tcBorders>
            <w:tcW w:w="672" w:type="pct"/>
          </w:tcPr>
          <w:p w14:paraId="54F0E7AD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mgus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568" w:type="pct"/>
          </w:tcPr>
          <w:p w14:paraId="38F4B1D6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+0.020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568" w:type="pct"/>
          </w:tcPr>
          <w:p w14:paraId="1E573E5A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−0.001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568" w:type="pct"/>
          </w:tcPr>
          <w:p w14:paraId="13FFD3D8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+0.019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568" w:type="pct"/>
          </w:tcPr>
          <w:p w14:paraId="586ED471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−0.000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879" w:type="pct"/>
          </w:tcPr>
          <w:p w14:paraId="2ED8DE20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6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914" w:type="pct"/>
          </w:tcPr>
          <w:p w14:paraId="50CE3AC1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6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262" w:type="pct"/>
          </w:tcPr>
          <w:p w14:paraId="12B0E2BF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Segoe UI Symbol" w:hAnsi="Segoe UI Symbol" w:cs="Segoe UI Symbol"/>
                <w:sz w:val="22"/>
                <w:szCs w:val="22"/>
                <w:lang w:val="en-GB"/>
              </w:rPr>
              <w:t xml:space="preserve">✗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</w:tbl>
    <w:p w14:paraId="3FB8B629" w14:textId="77777777">
      <w:pPr>
        <w:pBdr/>
        <w:spacing/>
        <w:ind/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</w: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</w:r>
    </w:p>
    <w:p w14:paraId="7CC4CFB4" w14:textId="2CD9EF29">
      <w:pPr>
        <w:pBdr/>
        <w:spacing w:after="0"/>
        <w:ind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Table D</w:t>
      </w: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10</w:t>
      </w: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.</w:t>
      </w:r>
      <w:r>
        <w:rPr>
          <w:rFonts w:ascii="Times New Roman" w:hAnsi="Times New Roman" w:cs="Times New Roman"/>
          <w:sz w:val="22"/>
          <w:szCs w:val="22"/>
          <w:lang w:val="en-GB"/>
        </w:rPr>
        <w:t xml:space="preserve"> Patient #812 (UC)</w:t>
      </w:r>
      <w:r>
        <w:rPr>
          <w:rFonts w:ascii="Times New Roman" w:hAnsi="Times New Roman" w:cs="Times New Roman"/>
          <w:sz w:val="22"/>
          <w:szCs w:val="22"/>
          <w:lang w:val="en-GB"/>
        </w:rPr>
      </w:r>
    </w:p>
    <w:tbl>
      <w:tblPr>
        <w:tblStyle w:val="700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210"/>
        <w:gridCol w:w="1022"/>
        <w:gridCol w:w="1023"/>
        <w:gridCol w:w="1023"/>
        <w:gridCol w:w="1023"/>
        <w:gridCol w:w="1587"/>
        <w:gridCol w:w="1650"/>
        <w:gridCol w:w="534"/>
      </w:tblGrid>
      <w:tr>
        <w:trPr/>
        <w:tc>
          <w:tcPr>
            <w:tcBorders>
              <w:top w:val="single" w:color="auto" w:sz="4" w:space="0"/>
              <w:bottom w:val="single" w:color="auto" w:sz="4" w:space="0"/>
            </w:tcBorders>
            <w:tcW w:w="672" w:type="pct"/>
          </w:tcPr>
          <w:p w14:paraId="25613091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Feature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568" w:type="pct"/>
          </w:tcPr>
          <w:p w14:paraId="1C90EE0A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L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568" w:type="pct"/>
          </w:tcPr>
          <w:p w14:paraId="7F08B46B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NL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568" w:type="pct"/>
          </w:tcPr>
          <w:p w14:paraId="0BFE7552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L+NL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568" w:type="pct"/>
          </w:tcPr>
          <w:p w14:paraId="3BE7756D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SHAP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879" w:type="pct"/>
          </w:tcPr>
          <w:p w14:paraId="399097A3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Rank (L+NL)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914" w:type="pct"/>
          </w:tcPr>
          <w:p w14:paraId="7B16152A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Rank (SHAP)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62" w:type="pct"/>
          </w:tcPr>
          <w:p w14:paraId="1936DB01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Dir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>
              <w:top w:val="single" w:color="auto" w:sz="4" w:space="0"/>
            </w:tcBorders>
            <w:tcW w:w="672" w:type="pct"/>
          </w:tcPr>
          <w:p w14:paraId="0A80B2BE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age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568" w:type="pct"/>
          </w:tcPr>
          <w:p w14:paraId="0655DE72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+1.219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568" w:type="pct"/>
          </w:tcPr>
          <w:p w14:paraId="27437077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+0.112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568" w:type="pct"/>
          </w:tcPr>
          <w:p w14:paraId="613E4FC8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+1.331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568" w:type="pct"/>
          </w:tcPr>
          <w:p w14:paraId="2E87A198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+0.226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879" w:type="pct"/>
          </w:tcPr>
          <w:p w14:paraId="244F1A50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914" w:type="pct"/>
          </w:tcPr>
          <w:p w14:paraId="09B13D97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262" w:type="pct"/>
          </w:tcPr>
          <w:p w14:paraId="6F948B1E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Segoe UI Symbol" w:hAnsi="Segoe UI Symbol" w:cs="Segoe UI Symbol"/>
                <w:sz w:val="22"/>
                <w:szCs w:val="22"/>
                <w:lang w:val="en-GB"/>
              </w:rPr>
              <w:t xml:space="preserve">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/>
            <w:tcW w:w="672" w:type="pct"/>
          </w:tcPr>
          <w:p w14:paraId="7FF9D1A4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Sex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2DEC7B50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+0.233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644373EB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+0.064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0AC2DFA2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+0.296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7109F47C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+0.042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879" w:type="pct"/>
          </w:tcPr>
          <w:p w14:paraId="25F52073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2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914" w:type="pct"/>
          </w:tcPr>
          <w:p w14:paraId="47EAA8BB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2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262" w:type="pct"/>
          </w:tcPr>
          <w:p w14:paraId="1057D651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Segoe UI Symbol" w:hAnsi="Segoe UI Symbol" w:cs="Segoe UI Symbol"/>
                <w:sz w:val="22"/>
                <w:szCs w:val="22"/>
                <w:lang w:val="en-GB"/>
              </w:rPr>
              <w:t xml:space="preserve">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/>
            <w:tcW w:w="672" w:type="pct"/>
          </w:tcPr>
          <w:p w14:paraId="7D9A54CF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lambda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24B4733A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−0.076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39B52C72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−0.002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7676E9FA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−0.078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4AFB107C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−0.020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879" w:type="pct"/>
          </w:tcPr>
          <w:p w14:paraId="1CB437D8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3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914" w:type="pct"/>
          </w:tcPr>
          <w:p w14:paraId="48CF284B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3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262" w:type="pct"/>
          </w:tcPr>
          <w:p w14:paraId="4E49A262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Segoe UI Symbol" w:hAnsi="Segoe UI Symbol" w:cs="Segoe UI Symbol"/>
                <w:sz w:val="22"/>
                <w:szCs w:val="22"/>
                <w:lang w:val="en-GB"/>
              </w:rPr>
              <w:t xml:space="preserve">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/>
            <w:tcW w:w="672" w:type="pct"/>
          </w:tcPr>
          <w:p w14:paraId="3B99E656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kappa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1A265007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−0.031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4AD8EDC4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+0.005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7F264E24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−0.026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7B90C864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−0.003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879" w:type="pct"/>
          </w:tcPr>
          <w:p w14:paraId="7C649458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4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914" w:type="pct"/>
          </w:tcPr>
          <w:p w14:paraId="399BE317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5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262" w:type="pct"/>
          </w:tcPr>
          <w:p w14:paraId="2C63AB38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Segoe UI Symbol" w:hAnsi="Segoe UI Symbol" w:cs="Segoe UI Symbol"/>
                <w:sz w:val="22"/>
                <w:szCs w:val="22"/>
                <w:lang w:val="en-GB"/>
              </w:rPr>
              <w:t xml:space="preserve">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/>
            <w:tcW w:w="672" w:type="pct"/>
          </w:tcPr>
          <w:p w14:paraId="1B8E5C1F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creatinine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3F70DAB1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+0.017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67829270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−0.001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1738C03C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+0.016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773386B3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−0.010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879" w:type="pct"/>
          </w:tcPr>
          <w:p w14:paraId="0EC3771E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5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914" w:type="pct"/>
          </w:tcPr>
          <w:p w14:paraId="7BBD7790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4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262" w:type="pct"/>
          </w:tcPr>
          <w:p w14:paraId="2EA0BBF6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Segoe UI Symbol" w:hAnsi="Segoe UI Symbol" w:cs="Segoe UI Symbol"/>
                <w:sz w:val="22"/>
                <w:szCs w:val="22"/>
                <w:lang w:val="en-GB"/>
              </w:rPr>
              <w:t xml:space="preserve">✗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/>
            <w:tcW w:w="672" w:type="pct"/>
          </w:tcPr>
          <w:p w14:paraId="2503B9CB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mgus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1AFB780A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+0.020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3C38E290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−0.006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6D587A5D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+0.015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765B29A2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+0.000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879" w:type="pct"/>
          </w:tcPr>
          <w:p w14:paraId="225922C4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6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914" w:type="pct"/>
          </w:tcPr>
          <w:p w14:paraId="509776DE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6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262" w:type="pct"/>
          </w:tcPr>
          <w:p w14:paraId="5DB80F4B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Segoe UI Symbol" w:hAnsi="Segoe UI Symbol" w:cs="Segoe UI Symbol"/>
                <w:sz w:val="22"/>
                <w:szCs w:val="22"/>
                <w:lang w:val="en-GB"/>
              </w:rPr>
              <w:t xml:space="preserve">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</w:tbl>
    <w:p w14:paraId="72D4CDB7" w14:textId="77777777">
      <w:pPr>
        <w:pBdr/>
        <w:spacing/>
        <w:ind/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</w: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</w:r>
    </w:p>
    <w:p w14:paraId="31FEE693" w14:textId="2C311A90">
      <w:pPr>
        <w:pBdr/>
        <w:spacing w:after="0"/>
        <w:ind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Table D</w:t>
      </w: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11</w:t>
      </w: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.</w:t>
      </w:r>
      <w:r>
        <w:rPr>
          <w:rFonts w:ascii="Times New Roman" w:hAnsi="Times New Roman" w:cs="Times New Roman"/>
          <w:sz w:val="22"/>
          <w:szCs w:val="22"/>
          <w:lang w:val="en-GB"/>
        </w:rPr>
        <w:t xml:space="preserve"> Patient #1395 (UW)</w:t>
      </w:r>
      <w:r>
        <w:rPr>
          <w:rFonts w:ascii="Times New Roman" w:hAnsi="Times New Roman" w:cs="Times New Roman"/>
          <w:sz w:val="22"/>
          <w:szCs w:val="22"/>
          <w:lang w:val="en-GB"/>
        </w:rPr>
      </w:r>
    </w:p>
    <w:tbl>
      <w:tblPr>
        <w:tblStyle w:val="700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210"/>
        <w:gridCol w:w="1022"/>
        <w:gridCol w:w="1023"/>
        <w:gridCol w:w="1023"/>
        <w:gridCol w:w="1023"/>
        <w:gridCol w:w="1587"/>
        <w:gridCol w:w="1650"/>
        <w:gridCol w:w="534"/>
      </w:tblGrid>
      <w:tr>
        <w:trPr/>
        <w:tc>
          <w:tcPr>
            <w:tcBorders>
              <w:top w:val="single" w:color="auto" w:sz="4" w:space="0"/>
              <w:bottom w:val="single" w:color="auto" w:sz="4" w:space="0"/>
            </w:tcBorders>
            <w:tcW w:w="672" w:type="pct"/>
          </w:tcPr>
          <w:p w14:paraId="1AE074F0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Feature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568" w:type="pct"/>
          </w:tcPr>
          <w:p w14:paraId="2FF2E55E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L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568" w:type="pct"/>
          </w:tcPr>
          <w:p w14:paraId="14561A3F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NL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568" w:type="pct"/>
          </w:tcPr>
          <w:p w14:paraId="4639A739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L+NL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568" w:type="pct"/>
          </w:tcPr>
          <w:p w14:paraId="2CD1025C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SHAP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879" w:type="pct"/>
          </w:tcPr>
          <w:p w14:paraId="6954564A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Rank (L+NL)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914" w:type="pct"/>
          </w:tcPr>
          <w:p w14:paraId="637F510A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Rank (SHAP)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62" w:type="pct"/>
          </w:tcPr>
          <w:p w14:paraId="2654C5A6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Dir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>
              <w:top w:val="single" w:color="auto" w:sz="4" w:space="0"/>
            </w:tcBorders>
            <w:tcW w:w="672" w:type="pct"/>
          </w:tcPr>
          <w:p w14:paraId="392C2A15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age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568" w:type="pct"/>
          </w:tcPr>
          <w:p w14:paraId="6E5731BB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+1.219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568" w:type="pct"/>
          </w:tcPr>
          <w:p w14:paraId="221BC56D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+0.060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568" w:type="pct"/>
          </w:tcPr>
          <w:p w14:paraId="1E71AF0E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+1.279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568" w:type="pct"/>
          </w:tcPr>
          <w:p w14:paraId="0A55785E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+0.219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879" w:type="pct"/>
          </w:tcPr>
          <w:p w14:paraId="0BF75E2E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914" w:type="pct"/>
          </w:tcPr>
          <w:p w14:paraId="2BE4CEBF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262" w:type="pct"/>
          </w:tcPr>
          <w:p w14:paraId="03DC4C88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Segoe UI Symbol" w:hAnsi="Segoe UI Symbol" w:cs="Segoe UI Symbol"/>
                <w:sz w:val="22"/>
                <w:szCs w:val="22"/>
                <w:lang w:val="en-GB"/>
              </w:rPr>
              <w:t xml:space="preserve">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/>
            <w:tcW w:w="672" w:type="pct"/>
          </w:tcPr>
          <w:p w14:paraId="40ABAF59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creatinine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1572D070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+0.083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70B309C3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+0.114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1F8A7D12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+0.197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1EECDF80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+0.023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879" w:type="pct"/>
          </w:tcPr>
          <w:p w14:paraId="004701AD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2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914" w:type="pct"/>
          </w:tcPr>
          <w:p w14:paraId="3F180AF6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4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262" w:type="pct"/>
          </w:tcPr>
          <w:p w14:paraId="1869534B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Segoe UI Symbol" w:hAnsi="Segoe UI Symbol" w:cs="Segoe UI Symbol"/>
                <w:sz w:val="22"/>
                <w:szCs w:val="22"/>
                <w:lang w:val="en-GB"/>
              </w:rPr>
              <w:t xml:space="preserve">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/>
            <w:tcW w:w="672" w:type="pct"/>
          </w:tcPr>
          <w:p w14:paraId="595FF24B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kappa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50DF0CA0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+0.168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17F426C0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−0.009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0C7F5850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+0.158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0C6BB042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+0.031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879" w:type="pct"/>
          </w:tcPr>
          <w:p w14:paraId="1A559A7D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3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914" w:type="pct"/>
          </w:tcPr>
          <w:p w14:paraId="61145DF6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3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262" w:type="pct"/>
          </w:tcPr>
          <w:p w14:paraId="65659B2E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Segoe UI Symbol" w:hAnsi="Segoe UI Symbol" w:cs="Segoe UI Symbol"/>
                <w:sz w:val="22"/>
                <w:szCs w:val="22"/>
                <w:lang w:val="en-GB"/>
              </w:rPr>
              <w:t xml:space="preserve">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/>
            <w:tcW w:w="672" w:type="pct"/>
          </w:tcPr>
          <w:p w14:paraId="25BD4021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Sex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6851EDA1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−0.189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2A1629CF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+0.051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2F4EA864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−0.138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779ED506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−0.040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879" w:type="pct"/>
          </w:tcPr>
          <w:p w14:paraId="235F3913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4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914" w:type="pct"/>
          </w:tcPr>
          <w:p w14:paraId="171D44FA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2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262" w:type="pct"/>
          </w:tcPr>
          <w:p w14:paraId="58EBF1B4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Segoe UI Symbol" w:hAnsi="Segoe UI Symbol" w:cs="Segoe UI Symbol"/>
                <w:sz w:val="22"/>
                <w:szCs w:val="22"/>
                <w:lang w:val="en-GB"/>
              </w:rPr>
              <w:t xml:space="preserve">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/>
            <w:tcW w:w="672" w:type="pct"/>
          </w:tcPr>
          <w:p w14:paraId="3215543B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lambda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774D1799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+0.048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638F4350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−0.004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0A164249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+0.044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68" w:type="pct"/>
          </w:tcPr>
          <w:p w14:paraId="12F9A56B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+0.003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879" w:type="pct"/>
          </w:tcPr>
          <w:p w14:paraId="0E4BA482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5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914" w:type="pct"/>
          </w:tcPr>
          <w:p w14:paraId="06F2D045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5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262" w:type="pct"/>
          </w:tcPr>
          <w:p w14:paraId="2C2C8DA8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Segoe UI Symbol" w:hAnsi="Segoe UI Symbol" w:cs="Segoe UI Symbol"/>
                <w:sz w:val="22"/>
                <w:szCs w:val="22"/>
                <w:lang w:val="en-GB"/>
              </w:rPr>
              <w:t xml:space="preserve">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>
              <w:bottom w:val="single" w:color="auto" w:sz="4" w:space="0"/>
            </w:tcBorders>
            <w:tcW w:w="672" w:type="pct"/>
          </w:tcPr>
          <w:p w14:paraId="60585DD1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mgus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568" w:type="pct"/>
          </w:tcPr>
          <w:p w14:paraId="3913F571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+0.020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568" w:type="pct"/>
          </w:tcPr>
          <w:p w14:paraId="4DBBB3B6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−0.003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568" w:type="pct"/>
          </w:tcPr>
          <w:p w14:paraId="34EA27C8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+0.017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568" w:type="pct"/>
          </w:tcPr>
          <w:p w14:paraId="1604F542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+0.000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879" w:type="pct"/>
          </w:tcPr>
          <w:p w14:paraId="57419109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6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914" w:type="pct"/>
          </w:tcPr>
          <w:p w14:paraId="0965D89F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6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262" w:type="pct"/>
          </w:tcPr>
          <w:p w14:paraId="2333F0C7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Segoe UI Symbol" w:hAnsi="Segoe UI Symbol" w:cs="Segoe UI Symbol"/>
                <w:sz w:val="22"/>
                <w:szCs w:val="22"/>
                <w:lang w:val="en-GB"/>
              </w:rPr>
              <w:t xml:space="preserve">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</w:tbl>
    <w:p w14:paraId="598527DE" w14:textId="74D9F581">
      <w:pPr>
        <w:pBdr/>
        <w:spacing/>
        <w:ind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sz w:val="22"/>
          <w:szCs w:val="22"/>
          <w:lang w:val="en-GB"/>
        </w:rPr>
      </w:r>
      <w:r>
        <w:rPr>
          <w:rFonts w:ascii="Times New Roman" w:hAnsi="Times New Roman" w:cs="Times New Roman"/>
          <w:sz w:val="22"/>
          <w:szCs w:val="22"/>
          <w:lang w:val="en-GB"/>
        </w:rPr>
      </w:r>
    </w:p>
    <w:p w14:paraId="645768A8" w14:textId="6595F7EC">
      <w:pPr>
        <w:pBdr/>
        <w:spacing/>
        <w:ind/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D.</w:t>
      </w: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4</w:t>
      </w: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 UQ Benchmark — </w:t>
      </w: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FLChain</w:t>
      </w: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 (Section 3.3.7)</w:t>
      </w: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</w:r>
    </w:p>
    <w:p w14:paraId="0856DC49" w14:textId="77777777">
      <w:pPr>
        <w:pBdr/>
        <w:spacing/>
        <w:ind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sz w:val="22"/>
          <w:szCs w:val="22"/>
          <w:lang w:val="en-GB"/>
        </w:rPr>
        <w:t xml:space="preserve">FLARE: logit-space CI (Eq. 15), two-component SE (Eq. 13). LR: Wald CI from Fisher information matrix (C = 1.0). </w:t>
      </w:r>
      <w:r>
        <w:rPr>
          <w:rFonts w:ascii="Times New Roman" w:hAnsi="Times New Roman" w:cs="Times New Roman"/>
          <w:sz w:val="22"/>
          <w:szCs w:val="22"/>
          <w:lang w:val="en-GB"/>
        </w:rPr>
        <w:t xml:space="preserve">NGBoost</w:t>
      </w:r>
      <w:r>
        <w:rPr>
          <w:rFonts w:ascii="Times New Roman" w:hAnsi="Times New Roman" w:cs="Times New Roman"/>
          <w:sz w:val="22"/>
          <w:szCs w:val="22"/>
          <w:lang w:val="en-GB"/>
        </w:rPr>
        <w:t xml:space="preserve">: Bernoulli distributional parameters (</w:t>
      </w:r>
      <w:r>
        <w:rPr>
          <w:rFonts w:ascii="Times New Roman" w:hAnsi="Times New Roman" w:cs="Times New Roman"/>
          <w:sz w:val="22"/>
          <w:szCs w:val="22"/>
          <w:lang w:val="en-GB"/>
        </w:rPr>
        <w:t xml:space="preserve">n_estimators</w:t>
      </w:r>
      <w:r>
        <w:rPr>
          <w:rFonts w:ascii="Times New Roman" w:hAnsi="Times New Roman" w:cs="Times New Roman"/>
          <w:sz w:val="22"/>
          <w:szCs w:val="22"/>
          <w:lang w:val="en-GB"/>
        </w:rPr>
        <w:t xml:space="preserve"> = 300).</w:t>
      </w:r>
      <w:r>
        <w:rPr>
          <w:rFonts w:ascii="Times New Roman" w:hAnsi="Times New Roman" w:cs="Times New Roman"/>
          <w:sz w:val="22"/>
          <w:szCs w:val="22"/>
          <w:lang w:val="en-GB"/>
        </w:rPr>
      </w:r>
    </w:p>
    <w:p w14:paraId="074D9B8A" w14:textId="631138FE">
      <w:pPr>
        <w:pBdr/>
        <w:spacing w:after="0"/>
        <w:ind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Table D</w:t>
      </w: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12</w:t>
      </w: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. </w:t>
      </w:r>
      <w:r>
        <w:rPr>
          <w:rFonts w:ascii="Times New Roman" w:hAnsi="Times New Roman" w:cs="Times New Roman"/>
          <w:sz w:val="22"/>
          <w:szCs w:val="22"/>
          <w:lang w:val="en-GB"/>
        </w:rPr>
        <w:t xml:space="preserve">UQ Benchmark — </w:t>
      </w:r>
      <w:r>
        <w:rPr>
          <w:rFonts w:ascii="Times New Roman" w:hAnsi="Times New Roman" w:cs="Times New Roman"/>
          <w:sz w:val="22"/>
          <w:szCs w:val="22"/>
          <w:lang w:val="en-GB"/>
        </w:rPr>
        <w:t xml:space="preserve">FLChain</w:t>
      </w:r>
      <w:r>
        <w:rPr>
          <w:rFonts w:ascii="Times New Roman" w:hAnsi="Times New Roman" w:cs="Times New Roman"/>
          <w:sz w:val="22"/>
          <w:szCs w:val="22"/>
          <w:lang w:val="en-GB"/>
        </w:rPr>
        <w:t xml:space="preserve"> test set (n = 1,564)</w:t>
      </w:r>
      <w:r>
        <w:rPr>
          <w:rFonts w:ascii="Times New Roman" w:hAnsi="Times New Roman" w:cs="Times New Roman"/>
          <w:sz w:val="22"/>
          <w:szCs w:val="22"/>
          <w:lang w:val="en-GB"/>
        </w:rPr>
      </w:r>
    </w:p>
    <w:tbl>
      <w:tblPr>
        <w:tblStyle w:val="700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113"/>
        <w:gridCol w:w="1202"/>
        <w:gridCol w:w="1650"/>
        <w:gridCol w:w="913"/>
        <w:gridCol w:w="2175"/>
        <w:gridCol w:w="2019"/>
      </w:tblGrid>
      <w:tr>
        <w:trPr/>
        <w:tc>
          <w:tcPr>
            <w:tcBorders>
              <w:top w:val="single" w:color="auto" w:sz="4" w:space="0"/>
              <w:bottom w:val="single" w:color="auto" w:sz="4" w:space="0"/>
            </w:tcBorders>
            <w:tcW w:w="613" w:type="pct"/>
          </w:tcPr>
          <w:p w14:paraId="4754A764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Method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662" w:type="pct"/>
          </w:tcPr>
          <w:p w14:paraId="15A69241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SE Ratio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909" w:type="pct"/>
          </w:tcPr>
          <w:p w14:paraId="324582CF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% Uncertain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503" w:type="pct"/>
          </w:tcPr>
          <w:p w14:paraId="2FB805B5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n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199" w:type="pct"/>
          </w:tcPr>
          <w:p w14:paraId="41BFC7AC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Error (Uncertain)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113" w:type="pct"/>
          </w:tcPr>
          <w:p w14:paraId="755BDFEE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Error (Confident)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>
              <w:top w:val="single" w:color="auto" w:sz="4" w:space="0"/>
            </w:tcBorders>
            <w:tcW w:w="613" w:type="pct"/>
          </w:tcPr>
          <w:p w14:paraId="0FDAB8D0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FLARE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662" w:type="pct"/>
          </w:tcPr>
          <w:p w14:paraId="54F0CD24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1.59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909" w:type="pct"/>
          </w:tcPr>
          <w:p w14:paraId="34FAC628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9.1%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503" w:type="pct"/>
          </w:tcPr>
          <w:p w14:paraId="1390AB79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142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1199" w:type="pct"/>
          </w:tcPr>
          <w:p w14:paraId="300F0A9D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44.4%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top w:val="single" w:color="auto" w:sz="4" w:space="0"/>
            </w:tcBorders>
            <w:tcW w:w="1113" w:type="pct"/>
          </w:tcPr>
          <w:p w14:paraId="4C16F1B7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15.1%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/>
            <w:tcW w:w="613" w:type="pct"/>
          </w:tcPr>
          <w:p w14:paraId="712875C9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LR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662" w:type="pct"/>
          </w:tcPr>
          <w:p w14:paraId="383B8B8B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1.42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909" w:type="pct"/>
          </w:tcPr>
          <w:p w14:paraId="5F652025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9.0%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503" w:type="pct"/>
          </w:tcPr>
          <w:p w14:paraId="458F24AD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140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1199" w:type="pct"/>
          </w:tcPr>
          <w:p w14:paraId="1F7ED6A5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47.9%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/>
            <w:tcW w:w="1113" w:type="pct"/>
          </w:tcPr>
          <w:p w14:paraId="5FFD2A97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14.8%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  <w:tr>
        <w:trPr/>
        <w:tc>
          <w:tcPr>
            <w:tcBorders>
              <w:bottom w:val="single" w:color="auto" w:sz="4" w:space="0"/>
            </w:tcBorders>
            <w:tcW w:w="613" w:type="pct"/>
          </w:tcPr>
          <w:p w14:paraId="5B781616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NGBoost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662" w:type="pct"/>
          </w:tcPr>
          <w:p w14:paraId="28F43A76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1.26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909" w:type="pct"/>
          </w:tcPr>
          <w:p w14:paraId="3C738CFF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100.0%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503" w:type="pct"/>
          </w:tcPr>
          <w:p w14:paraId="37F4DB18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1,564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1199" w:type="pct"/>
          </w:tcPr>
          <w:p w14:paraId="4785F3FF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17.5%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  <w:tc>
          <w:tcPr>
            <w:tcBorders>
              <w:bottom w:val="single" w:color="auto" w:sz="4" w:space="0"/>
            </w:tcBorders>
            <w:tcW w:w="1113" w:type="pct"/>
          </w:tcPr>
          <w:p w14:paraId="78EE5407" w14:textId="7777777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N/A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</w:r>
          </w:p>
        </w:tc>
      </w:tr>
    </w:tbl>
    <w:p w14:paraId="14EB46B2" w14:textId="77777777">
      <w:pPr>
        <w:pBdr/>
        <w:spacing/>
        <w:ind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i/>
          <w:iCs/>
          <w:sz w:val="22"/>
          <w:szCs w:val="22"/>
          <w:lang w:val="en-GB"/>
        </w:rPr>
        <w:t xml:space="preserve">SE Ratio = mean SE of misclassified / mean SE of correctly classified (probability space). </w:t>
      </w:r>
      <w:r>
        <w:rPr>
          <w:rFonts w:ascii="Times New Roman" w:hAnsi="Times New Roman" w:cs="Times New Roman"/>
          <w:i/>
          <w:iCs/>
          <w:sz w:val="22"/>
          <w:szCs w:val="22"/>
          <w:lang w:val="en-GB"/>
        </w:rPr>
        <w:t xml:space="preserve">NGBoost</w:t>
      </w:r>
      <w:r>
        <w:rPr>
          <w:rFonts w:ascii="Times New Roman" w:hAnsi="Times New Roman" w:cs="Times New Roman"/>
          <w:i/>
          <w:iCs/>
          <w:sz w:val="22"/>
          <w:szCs w:val="22"/>
          <w:lang w:val="en-GB"/>
        </w:rPr>
        <w:t xml:space="preserve"> flagged all patients as Uncertain due to wide Bernoulli prediction intervals at moderate event rates (27.8%).</w:t>
      </w:r>
      <w:r>
        <w:rPr>
          <w:rFonts w:ascii="Times New Roman" w:hAnsi="Times New Roman" w:cs="Times New Roman"/>
          <w:sz w:val="22"/>
          <w:szCs w:val="22"/>
          <w:lang w:val="en-GB"/>
        </w:rPr>
      </w:r>
    </w:p>
    <w:p w14:paraId="1698163F" w14:textId="77777777">
      <w:pPr>
        <w:pBdr/>
        <w:spacing/>
        <w:ind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sz w:val="22"/>
          <w:szCs w:val="22"/>
          <w:lang w:val="en-GB"/>
        </w:rPr>
      </w:r>
      <w:r>
        <w:rPr>
          <w:rFonts w:ascii="Times New Roman" w:hAnsi="Times New Roman" w:cs="Times New Roman"/>
          <w:sz w:val="22"/>
          <w:szCs w:val="22"/>
          <w:lang w:val="en-GB"/>
        </w:rPr>
      </w:r>
    </w:p>
    <w:sectPr>
      <w:footnotePr/>
      <w:endnotePr/>
      <w:type w:val="nextPage"/>
      <w:pgSz w:h="16838" w:orient="portrait" w:w="11906"/>
      <w:pgMar w:top="1417" w:right="1417" w:bottom="1417" w:left="1417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panose1 w:val="020B0502040204020203"/>
  </w:font>
  <w:font w:name="Cambria Math">
    <w:panose1 w:val="0204050305040603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4"/>
        <w:szCs w:val="24"/>
        <w:lang w:val="tr-TR" w:eastAsia="en-US" w:bidi="ar-SA"/>
        <w14:ligatures w14:val="standardContextual"/>
      </w:rPr>
    </w:rPrDefault>
    <w:pPrDefault>
      <w:pPr>
        <w:pBdr/>
        <w:spacing w:after="160" w:afterAutospacing="0" w:before="0" w:beforeAutospacing="0" w:line="278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67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7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7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0e4f5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3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c1f0c7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9edf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2ceee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2d0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2ab8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8d45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86dc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8fd974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50">
    <w:name w:val="Heading 1 Char"/>
    <w:basedOn w:val="677"/>
    <w:link w:val="66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77"/>
    <w:link w:val="66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77"/>
    <w:link w:val="67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77"/>
    <w:link w:val="67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77"/>
    <w:link w:val="67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77"/>
    <w:link w:val="67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77"/>
    <w:link w:val="67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77"/>
    <w:link w:val="67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77"/>
    <w:link w:val="67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677"/>
    <w:link w:val="68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677"/>
    <w:link w:val="69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4">
    <w:name w:val="Quote Char"/>
    <w:basedOn w:val="677"/>
    <w:link w:val="69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8">
    <w:name w:val="Intense Quote Char"/>
    <w:basedOn w:val="677"/>
    <w:link w:val="697"/>
    <w:uiPriority w:val="30"/>
    <w:pPr>
      <w:pBdr/>
      <w:spacing/>
      <w:ind/>
    </w:pPr>
    <w:rPr>
      <w:i/>
      <w:iCs/>
      <w:color w:val="0f4761" w:themeColor="accent1" w:themeShade="BF"/>
    </w:rPr>
  </w:style>
  <w:style w:type="paragraph" w:styleId="170">
    <w:name w:val="No Spacing"/>
    <w:basedOn w:val="667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67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77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677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7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7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7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77"/>
    <w:link w:val="176"/>
    <w:uiPriority w:val="99"/>
    <w:pPr>
      <w:pBdr/>
      <w:spacing/>
      <w:ind/>
    </w:pPr>
  </w:style>
  <w:style w:type="paragraph" w:styleId="178">
    <w:name w:val="Footer"/>
    <w:basedOn w:val="667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77"/>
    <w:link w:val="178"/>
    <w:uiPriority w:val="99"/>
    <w:pPr>
      <w:pBdr/>
      <w:spacing/>
      <w:ind/>
    </w:pPr>
  </w:style>
  <w:style w:type="paragraph" w:styleId="180">
    <w:name w:val="Caption"/>
    <w:basedOn w:val="667"/>
    <w:next w:val="66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7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77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77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7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77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77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67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67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7"/>
    <w:next w:val="667"/>
    <w:uiPriority w:val="39"/>
    <w:unhideWhenUsed/>
    <w:pPr>
      <w:pBdr/>
      <w:spacing w:after="100"/>
      <w:ind/>
    </w:pPr>
  </w:style>
  <w:style w:type="paragraph" w:styleId="190">
    <w:name w:val="toc 2"/>
    <w:basedOn w:val="667"/>
    <w:next w:val="667"/>
    <w:uiPriority w:val="39"/>
    <w:unhideWhenUsed/>
    <w:pPr>
      <w:pBdr/>
      <w:spacing w:after="100"/>
      <w:ind w:left="220"/>
    </w:pPr>
  </w:style>
  <w:style w:type="paragraph" w:styleId="191">
    <w:name w:val="toc 3"/>
    <w:basedOn w:val="667"/>
    <w:next w:val="667"/>
    <w:uiPriority w:val="39"/>
    <w:unhideWhenUsed/>
    <w:pPr>
      <w:pBdr/>
      <w:spacing w:after="100"/>
      <w:ind w:left="440"/>
    </w:pPr>
  </w:style>
  <w:style w:type="paragraph" w:styleId="192">
    <w:name w:val="toc 4"/>
    <w:basedOn w:val="667"/>
    <w:next w:val="667"/>
    <w:uiPriority w:val="39"/>
    <w:unhideWhenUsed/>
    <w:pPr>
      <w:pBdr/>
      <w:spacing w:after="100"/>
      <w:ind w:left="660"/>
    </w:pPr>
  </w:style>
  <w:style w:type="paragraph" w:styleId="193">
    <w:name w:val="toc 5"/>
    <w:basedOn w:val="667"/>
    <w:next w:val="667"/>
    <w:uiPriority w:val="39"/>
    <w:unhideWhenUsed/>
    <w:pPr>
      <w:pBdr/>
      <w:spacing w:after="100"/>
      <w:ind w:left="880"/>
    </w:pPr>
  </w:style>
  <w:style w:type="paragraph" w:styleId="194">
    <w:name w:val="toc 6"/>
    <w:basedOn w:val="667"/>
    <w:next w:val="667"/>
    <w:uiPriority w:val="39"/>
    <w:unhideWhenUsed/>
    <w:pPr>
      <w:pBdr/>
      <w:spacing w:after="100"/>
      <w:ind w:left="1100"/>
    </w:pPr>
  </w:style>
  <w:style w:type="paragraph" w:styleId="195">
    <w:name w:val="toc 7"/>
    <w:basedOn w:val="667"/>
    <w:next w:val="667"/>
    <w:uiPriority w:val="39"/>
    <w:unhideWhenUsed/>
    <w:pPr>
      <w:pBdr/>
      <w:spacing w:after="100"/>
      <w:ind w:left="1320"/>
    </w:pPr>
  </w:style>
  <w:style w:type="paragraph" w:styleId="196">
    <w:name w:val="toc 8"/>
    <w:basedOn w:val="667"/>
    <w:next w:val="667"/>
    <w:uiPriority w:val="39"/>
    <w:unhideWhenUsed/>
    <w:pPr>
      <w:pBdr/>
      <w:spacing w:after="100"/>
      <w:ind w:left="1540"/>
    </w:pPr>
  </w:style>
  <w:style w:type="paragraph" w:styleId="197">
    <w:name w:val="toc 9"/>
    <w:basedOn w:val="667"/>
    <w:next w:val="667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77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7"/>
    <w:next w:val="667"/>
    <w:uiPriority w:val="99"/>
    <w:unhideWhenUsed/>
    <w:pPr>
      <w:pBdr/>
      <w:spacing w:after="0" w:afterAutospacing="0"/>
      <w:ind/>
    </w:pPr>
  </w:style>
  <w:style w:type="paragraph" w:styleId="667" w:default="1">
    <w:name w:val="Normal"/>
    <w:qFormat/>
    <w:pPr>
      <w:pBdr/>
      <w:spacing/>
      <w:ind/>
    </w:pPr>
  </w:style>
  <w:style w:type="paragraph" w:styleId="668">
    <w:name w:val="Heading 1"/>
    <w:basedOn w:val="667"/>
    <w:next w:val="667"/>
    <w:link w:val="68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669">
    <w:name w:val="Heading 2"/>
    <w:basedOn w:val="667"/>
    <w:next w:val="667"/>
    <w:link w:val="681"/>
    <w:uiPriority w:val="9"/>
    <w:semiHidden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670">
    <w:name w:val="Heading 3"/>
    <w:basedOn w:val="667"/>
    <w:next w:val="667"/>
    <w:link w:val="682"/>
    <w:uiPriority w:val="9"/>
    <w:semiHidden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671">
    <w:name w:val="Heading 4"/>
    <w:basedOn w:val="667"/>
    <w:next w:val="667"/>
    <w:link w:val="683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672">
    <w:name w:val="Heading 5"/>
    <w:basedOn w:val="667"/>
    <w:next w:val="667"/>
    <w:link w:val="684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0f4761" w:themeColor="accent1" w:themeShade="BF"/>
    </w:rPr>
  </w:style>
  <w:style w:type="paragraph" w:styleId="673">
    <w:name w:val="Heading 6"/>
    <w:basedOn w:val="667"/>
    <w:next w:val="667"/>
    <w:link w:val="685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674">
    <w:name w:val="Heading 7"/>
    <w:basedOn w:val="667"/>
    <w:next w:val="667"/>
    <w:link w:val="686"/>
    <w:uiPriority w:val="9"/>
    <w:semiHidden/>
    <w:unhideWhenUsed/>
    <w:qFormat/>
    <w:pPr>
      <w:keepNext w:val="true"/>
      <w:keepLines w:val="true"/>
      <w:pBdr/>
      <w:spacing w:after="0" w:before="40"/>
      <w:ind/>
      <w:outlineLvl w:val="6"/>
    </w:pPr>
    <w:rPr>
      <w:rFonts w:eastAsiaTheme="majorEastAsia" w:cstheme="majorBidi"/>
      <w:color w:val="595959" w:themeColor="text1" w:themeTint="A6"/>
    </w:rPr>
  </w:style>
  <w:style w:type="paragraph" w:styleId="675">
    <w:name w:val="Heading 8"/>
    <w:basedOn w:val="667"/>
    <w:next w:val="667"/>
    <w:link w:val="687"/>
    <w:uiPriority w:val="9"/>
    <w:semiHidden/>
    <w:unhideWhenUsed/>
    <w:qFormat/>
    <w:pPr>
      <w:keepNext w:val="true"/>
      <w:keepLines w:val="true"/>
      <w:pBdr/>
      <w:spacing w:after="0"/>
      <w:ind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676">
    <w:name w:val="Heading 9"/>
    <w:basedOn w:val="667"/>
    <w:next w:val="667"/>
    <w:link w:val="688"/>
    <w:uiPriority w:val="9"/>
    <w:semiHidden/>
    <w:unhideWhenUsed/>
    <w:qFormat/>
    <w:pPr>
      <w:keepNext w:val="true"/>
      <w:keepLines w:val="true"/>
      <w:pBdr/>
      <w:spacing w:after="0"/>
      <w:ind/>
      <w:outlineLvl w:val="8"/>
    </w:pPr>
    <w:rPr>
      <w:rFonts w:eastAsiaTheme="majorEastAsia" w:cstheme="majorBidi"/>
      <w:color w:val="272727" w:themeColor="text1" w:themeTint="D8"/>
    </w:rPr>
  </w:style>
  <w:style w:type="character" w:styleId="677" w:default="1">
    <w:name w:val="Default Paragraph Font"/>
    <w:uiPriority w:val="1"/>
    <w:semiHidden/>
    <w:unhideWhenUsed/>
    <w:pPr>
      <w:pBdr/>
      <w:spacing/>
      <w:ind/>
    </w:pPr>
  </w:style>
  <w:style w:type="table" w:styleId="678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79" w:default="1">
    <w:name w:val="No List"/>
    <w:uiPriority w:val="99"/>
    <w:semiHidden/>
    <w:unhideWhenUsed/>
    <w:pPr>
      <w:pBdr/>
      <w:spacing/>
      <w:ind/>
    </w:pPr>
  </w:style>
  <w:style w:type="character" w:styleId="680" w:customStyle="1">
    <w:name w:val="Başlık 1 Char"/>
    <w:basedOn w:val="677"/>
    <w:link w:val="668"/>
    <w:uiPriority w:val="9"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681" w:customStyle="1">
    <w:name w:val="Başlık 2 Char"/>
    <w:basedOn w:val="677"/>
    <w:link w:val="669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682" w:customStyle="1">
    <w:name w:val="Başlık 3 Char"/>
    <w:basedOn w:val="677"/>
    <w:link w:val="670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683" w:customStyle="1">
    <w:name w:val="Başlık 4 Char"/>
    <w:basedOn w:val="677"/>
    <w:link w:val="671"/>
    <w:uiPriority w:val="9"/>
    <w:semiHidden/>
    <w:pPr>
      <w:pBdr/>
      <w:spacing/>
      <w:ind/>
    </w:pPr>
    <w:rPr>
      <w:rFonts w:eastAsiaTheme="majorEastAsia" w:cstheme="majorBidi"/>
      <w:i/>
      <w:iCs/>
      <w:color w:val="0f4761" w:themeColor="accent1" w:themeShade="BF"/>
    </w:rPr>
  </w:style>
  <w:style w:type="character" w:styleId="684" w:customStyle="1">
    <w:name w:val="Başlık 5 Char"/>
    <w:basedOn w:val="677"/>
    <w:link w:val="672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</w:rPr>
  </w:style>
  <w:style w:type="character" w:styleId="685" w:customStyle="1">
    <w:name w:val="Başlık 6 Char"/>
    <w:basedOn w:val="677"/>
    <w:link w:val="673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</w:rPr>
  </w:style>
  <w:style w:type="character" w:styleId="686" w:customStyle="1">
    <w:name w:val="Başlık 7 Char"/>
    <w:basedOn w:val="677"/>
    <w:link w:val="674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</w:rPr>
  </w:style>
  <w:style w:type="character" w:styleId="687" w:customStyle="1">
    <w:name w:val="Başlık 8 Char"/>
    <w:basedOn w:val="677"/>
    <w:link w:val="675"/>
    <w:uiPriority w:val="9"/>
    <w:semiHidden/>
    <w:pPr>
      <w:pBdr/>
      <w:spacing/>
      <w:ind/>
    </w:pPr>
    <w:rPr>
      <w:rFonts w:eastAsiaTheme="majorEastAsia" w:cstheme="majorBidi"/>
      <w:i/>
      <w:iCs/>
      <w:color w:val="272727" w:themeColor="text1" w:themeTint="D8"/>
    </w:rPr>
  </w:style>
  <w:style w:type="character" w:styleId="688" w:customStyle="1">
    <w:name w:val="Başlık 9 Char"/>
    <w:basedOn w:val="677"/>
    <w:link w:val="676"/>
    <w:uiPriority w:val="9"/>
    <w:semiHidden/>
    <w:pPr>
      <w:pBdr/>
      <w:spacing/>
      <w:ind/>
    </w:pPr>
    <w:rPr>
      <w:rFonts w:eastAsiaTheme="majorEastAsia" w:cstheme="majorBidi"/>
      <w:color w:val="272727" w:themeColor="text1" w:themeTint="D8"/>
    </w:rPr>
  </w:style>
  <w:style w:type="paragraph" w:styleId="689">
    <w:name w:val="Title"/>
    <w:basedOn w:val="667"/>
    <w:next w:val="667"/>
    <w:link w:val="690"/>
    <w:uiPriority w:val="10"/>
    <w:qFormat/>
    <w:pPr>
      <w:pBdr/>
      <w:spacing w:after="80" w:line="240" w:lineRule="auto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690" w:customStyle="1">
    <w:name w:val="Konu Başlığı Char"/>
    <w:basedOn w:val="677"/>
    <w:link w:val="689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691">
    <w:name w:val="Subtitle"/>
    <w:basedOn w:val="667"/>
    <w:next w:val="667"/>
    <w:link w:val="692"/>
    <w:uiPriority w:val="11"/>
    <w:qFormat/>
    <w:pPr>
      <w:numPr>
        <w:ilvl w:val="1"/>
      </w:num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692" w:customStyle="1">
    <w:name w:val="Altyazı Char"/>
    <w:basedOn w:val="677"/>
    <w:link w:val="691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693">
    <w:name w:val="Quote"/>
    <w:basedOn w:val="667"/>
    <w:next w:val="667"/>
    <w:link w:val="69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694" w:customStyle="1">
    <w:name w:val="Alıntı Char"/>
    <w:basedOn w:val="677"/>
    <w:link w:val="69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695">
    <w:name w:val="List Paragraph"/>
    <w:basedOn w:val="667"/>
    <w:uiPriority w:val="34"/>
    <w:qFormat/>
    <w:pPr>
      <w:pBdr/>
      <w:spacing/>
      <w:ind w:left="720"/>
      <w:contextualSpacing w:val="true"/>
    </w:pPr>
  </w:style>
  <w:style w:type="character" w:styleId="696">
    <w:name w:val="Intense Emphasis"/>
    <w:basedOn w:val="67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697">
    <w:name w:val="Intense Quote"/>
    <w:basedOn w:val="667"/>
    <w:next w:val="667"/>
    <w:link w:val="69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698" w:customStyle="1">
    <w:name w:val="Güçlü Alıntı Char"/>
    <w:basedOn w:val="677"/>
    <w:link w:val="69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699">
    <w:name w:val="Intense Reference"/>
    <w:basedOn w:val="67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table" w:styleId="700">
    <w:name w:val="Table Grid"/>
    <w:basedOn w:val="678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revision>8</cp:revision>
  <dcterms:created xsi:type="dcterms:W3CDTF">2026-09-05T17:25:00Z</dcterms:created>
  <dcterms:modified xsi:type="dcterms:W3CDTF">2026-10-13T12:08:52Z</dcterms:modified>
</cp:coreProperties>
</file>