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B24EF" w14:textId="548B5666" w:rsidR="00C020A7" w:rsidRDefault="00C020A7"/>
    <w:sdt>
      <w:sdtPr>
        <w:rPr>
          <w:rFonts w:asciiTheme="minorHAnsi" w:eastAsiaTheme="minorEastAsia" w:hAnsiTheme="minorHAnsi" w:cstheme="minorBidi"/>
          <w:color w:val="auto"/>
          <w:kern w:val="2"/>
          <w:sz w:val="24"/>
          <w:szCs w:val="24"/>
          <w:lang w:val="en-GB"/>
          <w14:ligatures w14:val="standardContextual"/>
        </w:rPr>
        <w:id w:val="91760280"/>
        <w:docPartObj>
          <w:docPartGallery w:val="Table of Contents"/>
          <w:docPartUnique/>
        </w:docPartObj>
      </w:sdtPr>
      <w:sdtEndPr>
        <w:rPr>
          <w:b/>
          <w:bCs/>
        </w:rPr>
      </w:sdtEndPr>
      <w:sdtContent>
        <w:p w14:paraId="744D8172" w14:textId="77777777" w:rsidR="002C1314" w:rsidRDefault="002C1314" w:rsidP="002C1314">
          <w:pPr>
            <w:pStyle w:val="Kopvaninhoudsopgave"/>
            <w:rPr>
              <w:lang w:val="en-GB"/>
            </w:rPr>
          </w:pPr>
          <w:r w:rsidRPr="1B64702C">
            <w:rPr>
              <w:lang w:val="en-GB"/>
            </w:rPr>
            <w:t>Contents</w:t>
          </w:r>
        </w:p>
        <w:p w14:paraId="3D240513" w14:textId="2A5CAD71" w:rsidR="006D321C" w:rsidRDefault="002C1314">
          <w:pPr>
            <w:pStyle w:val="Inhopg1"/>
            <w:tabs>
              <w:tab w:val="right" w:leader="dot" w:pos="9062"/>
            </w:tabs>
            <w:rPr>
              <w:noProof/>
              <w:lang w:eastAsia="en-US"/>
            </w:rPr>
          </w:pPr>
          <w:r w:rsidRPr="00381430">
            <w:fldChar w:fldCharType="begin"/>
          </w:r>
          <w:r w:rsidRPr="00381430">
            <w:instrText xml:space="preserve"> TOC \o "1-3" \h \z \u </w:instrText>
          </w:r>
          <w:r w:rsidRPr="00381430">
            <w:fldChar w:fldCharType="separate"/>
          </w:r>
          <w:hyperlink w:anchor="_Toc241497575" w:history="1">
            <w:r w:rsidR="006D321C" w:rsidRPr="003B09B3">
              <w:rPr>
                <w:rStyle w:val="Hyperlink"/>
                <w:noProof/>
              </w:rPr>
              <w:t>Supplementary figures</w:t>
            </w:r>
            <w:r w:rsidR="006D321C">
              <w:rPr>
                <w:noProof/>
                <w:webHidden/>
              </w:rPr>
              <w:tab/>
            </w:r>
            <w:r w:rsidR="006D321C">
              <w:rPr>
                <w:noProof/>
                <w:webHidden/>
              </w:rPr>
              <w:fldChar w:fldCharType="begin"/>
            </w:r>
            <w:r w:rsidR="006D321C">
              <w:rPr>
                <w:noProof/>
                <w:webHidden/>
              </w:rPr>
              <w:instrText xml:space="preserve"> PAGEREF _Toc241497575 \h </w:instrText>
            </w:r>
            <w:r w:rsidR="006D321C">
              <w:rPr>
                <w:noProof/>
                <w:webHidden/>
              </w:rPr>
            </w:r>
            <w:r w:rsidR="006D321C">
              <w:rPr>
                <w:noProof/>
                <w:webHidden/>
              </w:rPr>
              <w:fldChar w:fldCharType="separate"/>
            </w:r>
            <w:r w:rsidR="006D321C">
              <w:rPr>
                <w:noProof/>
                <w:webHidden/>
              </w:rPr>
              <w:t>3</w:t>
            </w:r>
            <w:r w:rsidR="006D321C">
              <w:rPr>
                <w:noProof/>
                <w:webHidden/>
              </w:rPr>
              <w:fldChar w:fldCharType="end"/>
            </w:r>
          </w:hyperlink>
        </w:p>
        <w:p w14:paraId="29E37907" w14:textId="1EE33F65" w:rsidR="006D321C" w:rsidRDefault="006D321C">
          <w:pPr>
            <w:pStyle w:val="Inhopg2"/>
            <w:tabs>
              <w:tab w:val="right" w:leader="dot" w:pos="9062"/>
            </w:tabs>
            <w:rPr>
              <w:noProof/>
              <w:lang w:eastAsia="en-US"/>
            </w:rPr>
          </w:pPr>
          <w:hyperlink w:anchor="_Toc241497576" w:history="1">
            <w:r w:rsidRPr="003B09B3">
              <w:rPr>
                <w:rStyle w:val="Hyperlink"/>
                <w:i/>
                <w:iCs/>
                <w:noProof/>
              </w:rPr>
              <w:t>Figure S1. Total  number of SNVs present in the reporter lists which were absent and detected in the baseline sample.</w:t>
            </w:r>
            <w:r>
              <w:rPr>
                <w:noProof/>
                <w:webHidden/>
              </w:rPr>
              <w:tab/>
            </w:r>
            <w:r>
              <w:rPr>
                <w:noProof/>
                <w:webHidden/>
              </w:rPr>
              <w:fldChar w:fldCharType="begin"/>
            </w:r>
            <w:r>
              <w:rPr>
                <w:noProof/>
                <w:webHidden/>
              </w:rPr>
              <w:instrText xml:space="preserve"> PAGEREF _Toc241497576 \h </w:instrText>
            </w:r>
            <w:r>
              <w:rPr>
                <w:noProof/>
                <w:webHidden/>
              </w:rPr>
            </w:r>
            <w:r>
              <w:rPr>
                <w:noProof/>
                <w:webHidden/>
              </w:rPr>
              <w:fldChar w:fldCharType="separate"/>
            </w:r>
            <w:r>
              <w:rPr>
                <w:noProof/>
                <w:webHidden/>
              </w:rPr>
              <w:t>3</w:t>
            </w:r>
            <w:r>
              <w:rPr>
                <w:noProof/>
                <w:webHidden/>
              </w:rPr>
              <w:fldChar w:fldCharType="end"/>
            </w:r>
          </w:hyperlink>
        </w:p>
        <w:p w14:paraId="16A6D431" w14:textId="1F8CB9A5" w:rsidR="006D321C" w:rsidRDefault="006D321C">
          <w:pPr>
            <w:pStyle w:val="Inhopg2"/>
            <w:tabs>
              <w:tab w:val="right" w:leader="dot" w:pos="9062"/>
            </w:tabs>
            <w:rPr>
              <w:noProof/>
              <w:lang w:eastAsia="en-US"/>
            </w:rPr>
          </w:pPr>
          <w:hyperlink w:anchor="_Toc241497577" w:history="1">
            <w:r w:rsidRPr="003B09B3">
              <w:rPr>
                <w:rStyle w:val="Hyperlink"/>
                <w:i/>
                <w:iCs/>
                <w:noProof/>
              </w:rPr>
              <w:t>Figure S2. Overview of MNVista performance for the ‘baseline’ (0.1% dilution) PhasED-Seq sample per patient using the PhasED-Seq reporter list as input</w:t>
            </w:r>
            <w:r>
              <w:rPr>
                <w:noProof/>
                <w:webHidden/>
              </w:rPr>
              <w:tab/>
            </w:r>
            <w:r>
              <w:rPr>
                <w:noProof/>
                <w:webHidden/>
              </w:rPr>
              <w:fldChar w:fldCharType="begin"/>
            </w:r>
            <w:r>
              <w:rPr>
                <w:noProof/>
                <w:webHidden/>
              </w:rPr>
              <w:instrText xml:space="preserve"> PAGEREF _Toc241497577 \h </w:instrText>
            </w:r>
            <w:r>
              <w:rPr>
                <w:noProof/>
                <w:webHidden/>
              </w:rPr>
            </w:r>
            <w:r>
              <w:rPr>
                <w:noProof/>
                <w:webHidden/>
              </w:rPr>
              <w:fldChar w:fldCharType="separate"/>
            </w:r>
            <w:r>
              <w:rPr>
                <w:noProof/>
                <w:webHidden/>
              </w:rPr>
              <w:t>4</w:t>
            </w:r>
            <w:r>
              <w:rPr>
                <w:noProof/>
                <w:webHidden/>
              </w:rPr>
              <w:fldChar w:fldCharType="end"/>
            </w:r>
          </w:hyperlink>
        </w:p>
        <w:p w14:paraId="19271CB1" w14:textId="3A00B17F" w:rsidR="006D321C" w:rsidRDefault="006D321C">
          <w:pPr>
            <w:pStyle w:val="Inhopg2"/>
            <w:tabs>
              <w:tab w:val="right" w:leader="dot" w:pos="9062"/>
            </w:tabs>
            <w:rPr>
              <w:noProof/>
              <w:lang w:eastAsia="en-US"/>
            </w:rPr>
          </w:pPr>
          <w:hyperlink w:anchor="_Toc241497578" w:history="1">
            <w:r w:rsidRPr="003B09B3">
              <w:rPr>
                <w:rStyle w:val="Hyperlink"/>
                <w:i/>
                <w:iCs/>
                <w:noProof/>
              </w:rPr>
              <w:t>Figure S3 Overview of the largest (size 9) multi-nucleotide variant (MNV) called by MNVista in the dilution series analysis using both the de novo in-house SNV input and PhasED-Seq reporter list SNV input, stemming from the DLBCL084 patient</w:t>
            </w:r>
            <w:r>
              <w:rPr>
                <w:noProof/>
                <w:webHidden/>
              </w:rPr>
              <w:tab/>
            </w:r>
            <w:r>
              <w:rPr>
                <w:noProof/>
                <w:webHidden/>
              </w:rPr>
              <w:fldChar w:fldCharType="begin"/>
            </w:r>
            <w:r>
              <w:rPr>
                <w:noProof/>
                <w:webHidden/>
              </w:rPr>
              <w:instrText xml:space="preserve"> PAGEREF _Toc241497578 \h </w:instrText>
            </w:r>
            <w:r>
              <w:rPr>
                <w:noProof/>
                <w:webHidden/>
              </w:rPr>
            </w:r>
            <w:r>
              <w:rPr>
                <w:noProof/>
                <w:webHidden/>
              </w:rPr>
              <w:fldChar w:fldCharType="separate"/>
            </w:r>
            <w:r>
              <w:rPr>
                <w:noProof/>
                <w:webHidden/>
              </w:rPr>
              <w:t>5</w:t>
            </w:r>
            <w:r>
              <w:rPr>
                <w:noProof/>
                <w:webHidden/>
              </w:rPr>
              <w:fldChar w:fldCharType="end"/>
            </w:r>
          </w:hyperlink>
        </w:p>
        <w:p w14:paraId="0C847152" w14:textId="4CB2C683" w:rsidR="006D321C" w:rsidRDefault="006D321C">
          <w:pPr>
            <w:pStyle w:val="Inhopg2"/>
            <w:tabs>
              <w:tab w:val="right" w:leader="dot" w:pos="9062"/>
            </w:tabs>
            <w:rPr>
              <w:noProof/>
              <w:lang w:eastAsia="en-US"/>
            </w:rPr>
          </w:pPr>
          <w:hyperlink w:anchor="_Toc241497579" w:history="1">
            <w:r w:rsidRPr="003B09B3">
              <w:rPr>
                <w:rStyle w:val="Hyperlink"/>
                <w:i/>
                <w:iCs/>
                <w:noProof/>
              </w:rPr>
              <w:t>Figure S4. Overview of MNVista performance for the ‘baseline’ (0.1% dilution) PhasED-Seq sample per patient using the in-house SNVs as input.</w:t>
            </w:r>
            <w:r>
              <w:rPr>
                <w:noProof/>
                <w:webHidden/>
              </w:rPr>
              <w:tab/>
            </w:r>
            <w:r>
              <w:rPr>
                <w:noProof/>
                <w:webHidden/>
              </w:rPr>
              <w:fldChar w:fldCharType="begin"/>
            </w:r>
            <w:r>
              <w:rPr>
                <w:noProof/>
                <w:webHidden/>
              </w:rPr>
              <w:instrText xml:space="preserve"> PAGEREF _Toc241497579 \h </w:instrText>
            </w:r>
            <w:r>
              <w:rPr>
                <w:noProof/>
                <w:webHidden/>
              </w:rPr>
            </w:r>
            <w:r>
              <w:rPr>
                <w:noProof/>
                <w:webHidden/>
              </w:rPr>
              <w:fldChar w:fldCharType="separate"/>
            </w:r>
            <w:r>
              <w:rPr>
                <w:noProof/>
                <w:webHidden/>
              </w:rPr>
              <w:t>6</w:t>
            </w:r>
            <w:r>
              <w:rPr>
                <w:noProof/>
                <w:webHidden/>
              </w:rPr>
              <w:fldChar w:fldCharType="end"/>
            </w:r>
          </w:hyperlink>
        </w:p>
        <w:p w14:paraId="4FFC010C" w14:textId="34B209EA" w:rsidR="006D321C" w:rsidRDefault="006D321C">
          <w:pPr>
            <w:pStyle w:val="Inhopg2"/>
            <w:tabs>
              <w:tab w:val="right" w:leader="dot" w:pos="9062"/>
            </w:tabs>
            <w:rPr>
              <w:noProof/>
              <w:lang w:eastAsia="en-US"/>
            </w:rPr>
          </w:pPr>
          <w:hyperlink w:anchor="_Toc241497580" w:history="1">
            <w:r w:rsidRPr="003B09B3">
              <w:rPr>
                <w:rStyle w:val="Hyperlink"/>
                <w:i/>
                <w:iCs/>
                <w:noProof/>
              </w:rPr>
              <w:t>Figure S5. Comparison of MNV calls and MNV span between MNVista and the PhasED-Seq reporter MNVs.</w:t>
            </w:r>
            <w:r>
              <w:rPr>
                <w:noProof/>
                <w:webHidden/>
              </w:rPr>
              <w:tab/>
            </w:r>
            <w:r>
              <w:rPr>
                <w:noProof/>
                <w:webHidden/>
              </w:rPr>
              <w:fldChar w:fldCharType="begin"/>
            </w:r>
            <w:r>
              <w:rPr>
                <w:noProof/>
                <w:webHidden/>
              </w:rPr>
              <w:instrText xml:space="preserve"> PAGEREF _Toc241497580 \h </w:instrText>
            </w:r>
            <w:r>
              <w:rPr>
                <w:noProof/>
                <w:webHidden/>
              </w:rPr>
            </w:r>
            <w:r>
              <w:rPr>
                <w:noProof/>
                <w:webHidden/>
              </w:rPr>
              <w:fldChar w:fldCharType="separate"/>
            </w:r>
            <w:r>
              <w:rPr>
                <w:noProof/>
                <w:webHidden/>
              </w:rPr>
              <w:t>7</w:t>
            </w:r>
            <w:r>
              <w:rPr>
                <w:noProof/>
                <w:webHidden/>
              </w:rPr>
              <w:fldChar w:fldCharType="end"/>
            </w:r>
          </w:hyperlink>
        </w:p>
        <w:p w14:paraId="11C11449" w14:textId="1BDCE1C1" w:rsidR="006D321C" w:rsidRDefault="006D321C">
          <w:pPr>
            <w:pStyle w:val="Inhopg2"/>
            <w:tabs>
              <w:tab w:val="right" w:leader="dot" w:pos="9062"/>
            </w:tabs>
            <w:rPr>
              <w:noProof/>
              <w:lang w:eastAsia="en-US"/>
            </w:rPr>
          </w:pPr>
          <w:hyperlink w:anchor="_Toc241497581" w:history="1">
            <w:r w:rsidRPr="003B09B3">
              <w:rPr>
                <w:rStyle w:val="Hyperlink"/>
                <w:i/>
                <w:iCs/>
                <w:noProof/>
              </w:rPr>
              <w:t>Figure S6. Overview of MNVista multi nucleotide variant (MNV) supporting reads and read depth per dilution sample using the reporter SNVs as input</w:t>
            </w:r>
            <w:r>
              <w:rPr>
                <w:noProof/>
                <w:webHidden/>
              </w:rPr>
              <w:tab/>
            </w:r>
            <w:r>
              <w:rPr>
                <w:noProof/>
                <w:webHidden/>
              </w:rPr>
              <w:fldChar w:fldCharType="begin"/>
            </w:r>
            <w:r>
              <w:rPr>
                <w:noProof/>
                <w:webHidden/>
              </w:rPr>
              <w:instrText xml:space="preserve"> PAGEREF _Toc241497581 \h </w:instrText>
            </w:r>
            <w:r>
              <w:rPr>
                <w:noProof/>
                <w:webHidden/>
              </w:rPr>
            </w:r>
            <w:r>
              <w:rPr>
                <w:noProof/>
                <w:webHidden/>
              </w:rPr>
              <w:fldChar w:fldCharType="separate"/>
            </w:r>
            <w:r>
              <w:rPr>
                <w:noProof/>
                <w:webHidden/>
              </w:rPr>
              <w:t>8</w:t>
            </w:r>
            <w:r>
              <w:rPr>
                <w:noProof/>
                <w:webHidden/>
              </w:rPr>
              <w:fldChar w:fldCharType="end"/>
            </w:r>
          </w:hyperlink>
        </w:p>
        <w:p w14:paraId="3733EFB7" w14:textId="7B7DCAE5" w:rsidR="006D321C" w:rsidRDefault="006D321C">
          <w:pPr>
            <w:pStyle w:val="Inhopg2"/>
            <w:tabs>
              <w:tab w:val="right" w:leader="dot" w:pos="9062"/>
            </w:tabs>
            <w:rPr>
              <w:noProof/>
              <w:lang w:eastAsia="en-US"/>
            </w:rPr>
          </w:pPr>
          <w:hyperlink w:anchor="_Toc241497582" w:history="1">
            <w:r w:rsidRPr="003B09B3">
              <w:rPr>
                <w:rStyle w:val="Hyperlink"/>
                <w:i/>
                <w:iCs/>
                <w:noProof/>
              </w:rPr>
              <w:t>Figure S7. Overview of Mutect2 (SNV mode) performance for the PhasED-Seq dilution series.</w:t>
            </w:r>
            <w:r>
              <w:rPr>
                <w:noProof/>
                <w:webHidden/>
              </w:rPr>
              <w:tab/>
            </w:r>
            <w:r>
              <w:rPr>
                <w:noProof/>
                <w:webHidden/>
              </w:rPr>
              <w:fldChar w:fldCharType="begin"/>
            </w:r>
            <w:r>
              <w:rPr>
                <w:noProof/>
                <w:webHidden/>
              </w:rPr>
              <w:instrText xml:space="preserve"> PAGEREF _Toc241497582 \h </w:instrText>
            </w:r>
            <w:r>
              <w:rPr>
                <w:noProof/>
                <w:webHidden/>
              </w:rPr>
            </w:r>
            <w:r>
              <w:rPr>
                <w:noProof/>
                <w:webHidden/>
              </w:rPr>
              <w:fldChar w:fldCharType="separate"/>
            </w:r>
            <w:r>
              <w:rPr>
                <w:noProof/>
                <w:webHidden/>
              </w:rPr>
              <w:t>9</w:t>
            </w:r>
            <w:r>
              <w:rPr>
                <w:noProof/>
                <w:webHidden/>
              </w:rPr>
              <w:fldChar w:fldCharType="end"/>
            </w:r>
          </w:hyperlink>
        </w:p>
        <w:p w14:paraId="5E8005FD" w14:textId="0A9B5287" w:rsidR="006D321C" w:rsidRDefault="006D321C">
          <w:pPr>
            <w:pStyle w:val="Inhopg2"/>
            <w:tabs>
              <w:tab w:val="right" w:leader="dot" w:pos="9062"/>
            </w:tabs>
            <w:rPr>
              <w:noProof/>
              <w:lang w:eastAsia="en-US"/>
            </w:rPr>
          </w:pPr>
          <w:hyperlink w:anchor="_Toc241497583" w:history="1">
            <w:r w:rsidRPr="003B09B3">
              <w:rPr>
                <w:rStyle w:val="Hyperlink"/>
                <w:i/>
                <w:iCs/>
                <w:noProof/>
              </w:rPr>
              <w:t>Figure S8. Overview of the synthetic benchmark spike-in SNV statistics.</w:t>
            </w:r>
            <w:r>
              <w:rPr>
                <w:noProof/>
                <w:webHidden/>
              </w:rPr>
              <w:tab/>
            </w:r>
            <w:r>
              <w:rPr>
                <w:noProof/>
                <w:webHidden/>
              </w:rPr>
              <w:fldChar w:fldCharType="begin"/>
            </w:r>
            <w:r>
              <w:rPr>
                <w:noProof/>
                <w:webHidden/>
              </w:rPr>
              <w:instrText xml:space="preserve"> PAGEREF _Toc241497583 \h </w:instrText>
            </w:r>
            <w:r>
              <w:rPr>
                <w:noProof/>
                <w:webHidden/>
              </w:rPr>
            </w:r>
            <w:r>
              <w:rPr>
                <w:noProof/>
                <w:webHidden/>
              </w:rPr>
              <w:fldChar w:fldCharType="separate"/>
            </w:r>
            <w:r>
              <w:rPr>
                <w:noProof/>
                <w:webHidden/>
              </w:rPr>
              <w:t>10</w:t>
            </w:r>
            <w:r>
              <w:rPr>
                <w:noProof/>
                <w:webHidden/>
              </w:rPr>
              <w:fldChar w:fldCharType="end"/>
            </w:r>
          </w:hyperlink>
        </w:p>
        <w:p w14:paraId="707291D3" w14:textId="0792305D" w:rsidR="006D321C" w:rsidRDefault="006D321C">
          <w:pPr>
            <w:pStyle w:val="Inhopg2"/>
            <w:tabs>
              <w:tab w:val="right" w:leader="dot" w:pos="9062"/>
            </w:tabs>
            <w:rPr>
              <w:noProof/>
              <w:lang w:eastAsia="en-US"/>
            </w:rPr>
          </w:pPr>
          <w:hyperlink w:anchor="_Toc241497584" w:history="1">
            <w:r w:rsidRPr="003B09B3">
              <w:rPr>
                <w:rStyle w:val="Hyperlink"/>
                <w:i/>
                <w:iCs/>
                <w:noProof/>
              </w:rPr>
              <w:t>Figure S9. Overview of false-positive analysis in the MNVista synthetic benchmark for each noise group.</w:t>
            </w:r>
            <w:r>
              <w:rPr>
                <w:noProof/>
                <w:webHidden/>
              </w:rPr>
              <w:tab/>
            </w:r>
            <w:r>
              <w:rPr>
                <w:noProof/>
                <w:webHidden/>
              </w:rPr>
              <w:fldChar w:fldCharType="begin"/>
            </w:r>
            <w:r>
              <w:rPr>
                <w:noProof/>
                <w:webHidden/>
              </w:rPr>
              <w:instrText xml:space="preserve"> PAGEREF _Toc241497584 \h </w:instrText>
            </w:r>
            <w:r>
              <w:rPr>
                <w:noProof/>
                <w:webHidden/>
              </w:rPr>
            </w:r>
            <w:r>
              <w:rPr>
                <w:noProof/>
                <w:webHidden/>
              </w:rPr>
              <w:fldChar w:fldCharType="separate"/>
            </w:r>
            <w:r>
              <w:rPr>
                <w:noProof/>
                <w:webHidden/>
              </w:rPr>
              <w:t>10</w:t>
            </w:r>
            <w:r>
              <w:rPr>
                <w:noProof/>
                <w:webHidden/>
              </w:rPr>
              <w:fldChar w:fldCharType="end"/>
            </w:r>
          </w:hyperlink>
        </w:p>
        <w:p w14:paraId="76514076" w14:textId="152B3A2A" w:rsidR="006D321C" w:rsidRDefault="006D321C">
          <w:pPr>
            <w:pStyle w:val="Inhopg2"/>
            <w:tabs>
              <w:tab w:val="right" w:leader="dot" w:pos="9062"/>
            </w:tabs>
            <w:rPr>
              <w:noProof/>
              <w:lang w:eastAsia="en-US"/>
            </w:rPr>
          </w:pPr>
          <w:hyperlink w:anchor="_Toc241497585" w:history="1">
            <w:r w:rsidRPr="003B09B3">
              <w:rPr>
                <w:rStyle w:val="Hyperlink"/>
                <w:i/>
                <w:iCs/>
                <w:noProof/>
              </w:rPr>
              <w:t>Figure S10. Prior sensitivity analysis in a baseline setting for both priors (-P and -E) for three values (0.01, 0.1, 0.5) resulting in a grid space of 9 points per each noise group.</w:t>
            </w:r>
            <w:r>
              <w:rPr>
                <w:noProof/>
                <w:webHidden/>
              </w:rPr>
              <w:tab/>
            </w:r>
            <w:r>
              <w:rPr>
                <w:noProof/>
                <w:webHidden/>
              </w:rPr>
              <w:fldChar w:fldCharType="begin"/>
            </w:r>
            <w:r>
              <w:rPr>
                <w:noProof/>
                <w:webHidden/>
              </w:rPr>
              <w:instrText xml:space="preserve"> PAGEREF _Toc241497585 \h </w:instrText>
            </w:r>
            <w:r>
              <w:rPr>
                <w:noProof/>
                <w:webHidden/>
              </w:rPr>
            </w:r>
            <w:r>
              <w:rPr>
                <w:noProof/>
                <w:webHidden/>
              </w:rPr>
              <w:fldChar w:fldCharType="separate"/>
            </w:r>
            <w:r>
              <w:rPr>
                <w:noProof/>
                <w:webHidden/>
              </w:rPr>
              <w:t>11</w:t>
            </w:r>
            <w:r>
              <w:rPr>
                <w:noProof/>
                <w:webHidden/>
              </w:rPr>
              <w:fldChar w:fldCharType="end"/>
            </w:r>
          </w:hyperlink>
        </w:p>
        <w:p w14:paraId="2622F5F7" w14:textId="12C4DF9E" w:rsidR="006D321C" w:rsidRDefault="006D321C">
          <w:pPr>
            <w:pStyle w:val="Inhopg2"/>
            <w:tabs>
              <w:tab w:val="right" w:leader="dot" w:pos="9062"/>
            </w:tabs>
            <w:rPr>
              <w:noProof/>
              <w:lang w:eastAsia="en-US"/>
            </w:rPr>
          </w:pPr>
          <w:hyperlink w:anchor="_Toc241497586" w:history="1">
            <w:r w:rsidRPr="003B09B3">
              <w:rPr>
                <w:rStyle w:val="Hyperlink"/>
                <w:i/>
                <w:iCs/>
                <w:noProof/>
              </w:rPr>
              <w:t>Figure S11. Stratification of recall fractions per sample and noise group per spike-in VAF level subgroup (A), inter-SNV span of MNVs (B), locus read depth (C) and number of supporting reads (D).</w:t>
            </w:r>
            <w:r>
              <w:rPr>
                <w:noProof/>
                <w:webHidden/>
              </w:rPr>
              <w:tab/>
            </w:r>
            <w:r>
              <w:rPr>
                <w:noProof/>
                <w:webHidden/>
              </w:rPr>
              <w:fldChar w:fldCharType="begin"/>
            </w:r>
            <w:r>
              <w:rPr>
                <w:noProof/>
                <w:webHidden/>
              </w:rPr>
              <w:instrText xml:space="preserve"> PAGEREF _Toc241497586 \h </w:instrText>
            </w:r>
            <w:r>
              <w:rPr>
                <w:noProof/>
                <w:webHidden/>
              </w:rPr>
            </w:r>
            <w:r>
              <w:rPr>
                <w:noProof/>
                <w:webHidden/>
              </w:rPr>
              <w:fldChar w:fldCharType="separate"/>
            </w:r>
            <w:r>
              <w:rPr>
                <w:noProof/>
                <w:webHidden/>
              </w:rPr>
              <w:t>12</w:t>
            </w:r>
            <w:r>
              <w:rPr>
                <w:noProof/>
                <w:webHidden/>
              </w:rPr>
              <w:fldChar w:fldCharType="end"/>
            </w:r>
          </w:hyperlink>
        </w:p>
        <w:p w14:paraId="2642CB64" w14:textId="543A35C7" w:rsidR="006D321C" w:rsidRDefault="006D321C">
          <w:pPr>
            <w:pStyle w:val="Inhopg1"/>
            <w:tabs>
              <w:tab w:val="right" w:leader="dot" w:pos="9062"/>
            </w:tabs>
            <w:rPr>
              <w:noProof/>
              <w:lang w:eastAsia="en-US"/>
            </w:rPr>
          </w:pPr>
          <w:hyperlink w:anchor="_Toc241497587" w:history="1">
            <w:r w:rsidRPr="003B09B3">
              <w:rPr>
                <w:rStyle w:val="Hyperlink"/>
                <w:noProof/>
              </w:rPr>
              <w:t>Supplementary tables</w:t>
            </w:r>
            <w:r>
              <w:rPr>
                <w:noProof/>
                <w:webHidden/>
              </w:rPr>
              <w:tab/>
            </w:r>
            <w:r>
              <w:rPr>
                <w:noProof/>
                <w:webHidden/>
              </w:rPr>
              <w:fldChar w:fldCharType="begin"/>
            </w:r>
            <w:r>
              <w:rPr>
                <w:noProof/>
                <w:webHidden/>
              </w:rPr>
              <w:instrText xml:space="preserve"> PAGEREF _Toc241497587 \h </w:instrText>
            </w:r>
            <w:r>
              <w:rPr>
                <w:noProof/>
                <w:webHidden/>
              </w:rPr>
            </w:r>
            <w:r>
              <w:rPr>
                <w:noProof/>
                <w:webHidden/>
              </w:rPr>
              <w:fldChar w:fldCharType="separate"/>
            </w:r>
            <w:r>
              <w:rPr>
                <w:noProof/>
                <w:webHidden/>
              </w:rPr>
              <w:t>13</w:t>
            </w:r>
            <w:r>
              <w:rPr>
                <w:noProof/>
                <w:webHidden/>
              </w:rPr>
              <w:fldChar w:fldCharType="end"/>
            </w:r>
          </w:hyperlink>
        </w:p>
        <w:p w14:paraId="6B8179D1" w14:textId="777B85AA" w:rsidR="006D321C" w:rsidRDefault="006D321C">
          <w:pPr>
            <w:pStyle w:val="Inhopg2"/>
            <w:tabs>
              <w:tab w:val="right" w:leader="dot" w:pos="9062"/>
            </w:tabs>
            <w:rPr>
              <w:noProof/>
              <w:lang w:eastAsia="en-US"/>
            </w:rPr>
          </w:pPr>
          <w:hyperlink w:anchor="_Toc241497588" w:history="1">
            <w:r w:rsidRPr="003B09B3">
              <w:rPr>
                <w:rStyle w:val="Hyperlink"/>
                <w:noProof/>
              </w:rPr>
              <w:t>Table S1. Overview of all samples used in the analyses and their respective dataset</w:t>
            </w:r>
            <w:r>
              <w:rPr>
                <w:noProof/>
                <w:webHidden/>
              </w:rPr>
              <w:tab/>
            </w:r>
            <w:r>
              <w:rPr>
                <w:noProof/>
                <w:webHidden/>
              </w:rPr>
              <w:fldChar w:fldCharType="begin"/>
            </w:r>
            <w:r>
              <w:rPr>
                <w:noProof/>
                <w:webHidden/>
              </w:rPr>
              <w:instrText xml:space="preserve"> PAGEREF _Toc241497588 \h </w:instrText>
            </w:r>
            <w:r>
              <w:rPr>
                <w:noProof/>
                <w:webHidden/>
              </w:rPr>
            </w:r>
            <w:r>
              <w:rPr>
                <w:noProof/>
                <w:webHidden/>
              </w:rPr>
              <w:fldChar w:fldCharType="separate"/>
            </w:r>
            <w:r>
              <w:rPr>
                <w:noProof/>
                <w:webHidden/>
              </w:rPr>
              <w:t>13</w:t>
            </w:r>
            <w:r>
              <w:rPr>
                <w:noProof/>
                <w:webHidden/>
              </w:rPr>
              <w:fldChar w:fldCharType="end"/>
            </w:r>
          </w:hyperlink>
        </w:p>
        <w:p w14:paraId="612B337F" w14:textId="68068B4A" w:rsidR="006D321C" w:rsidRDefault="006D321C">
          <w:pPr>
            <w:pStyle w:val="Inhopg2"/>
            <w:tabs>
              <w:tab w:val="right" w:leader="dot" w:pos="9062"/>
            </w:tabs>
            <w:rPr>
              <w:noProof/>
              <w:lang w:eastAsia="en-US"/>
            </w:rPr>
          </w:pPr>
          <w:hyperlink w:anchor="_Toc241497589" w:history="1">
            <w:r w:rsidRPr="003B09B3">
              <w:rPr>
                <w:rStyle w:val="Hyperlink"/>
                <w:noProof/>
              </w:rPr>
              <w:t>Table S2. Overview of the super enhancer region-focused panel used for benchmarking</w:t>
            </w:r>
            <w:r>
              <w:rPr>
                <w:noProof/>
                <w:webHidden/>
              </w:rPr>
              <w:tab/>
            </w:r>
            <w:r>
              <w:rPr>
                <w:noProof/>
                <w:webHidden/>
              </w:rPr>
              <w:fldChar w:fldCharType="begin"/>
            </w:r>
            <w:r>
              <w:rPr>
                <w:noProof/>
                <w:webHidden/>
              </w:rPr>
              <w:instrText xml:space="preserve"> PAGEREF _Toc241497589 \h </w:instrText>
            </w:r>
            <w:r>
              <w:rPr>
                <w:noProof/>
                <w:webHidden/>
              </w:rPr>
            </w:r>
            <w:r>
              <w:rPr>
                <w:noProof/>
                <w:webHidden/>
              </w:rPr>
              <w:fldChar w:fldCharType="separate"/>
            </w:r>
            <w:r>
              <w:rPr>
                <w:noProof/>
                <w:webHidden/>
              </w:rPr>
              <w:t>13</w:t>
            </w:r>
            <w:r>
              <w:rPr>
                <w:noProof/>
                <w:webHidden/>
              </w:rPr>
              <w:fldChar w:fldCharType="end"/>
            </w:r>
          </w:hyperlink>
        </w:p>
        <w:p w14:paraId="5163709E" w14:textId="3BCEC93E" w:rsidR="006D321C" w:rsidRDefault="006D321C">
          <w:pPr>
            <w:pStyle w:val="Inhopg2"/>
            <w:tabs>
              <w:tab w:val="right" w:leader="dot" w:pos="9062"/>
            </w:tabs>
            <w:rPr>
              <w:noProof/>
              <w:lang w:eastAsia="en-US"/>
            </w:rPr>
          </w:pPr>
          <w:hyperlink w:anchor="_Toc241497590" w:history="1">
            <w:r w:rsidRPr="003B09B3">
              <w:rPr>
                <w:rStyle w:val="Hyperlink"/>
                <w:noProof/>
              </w:rPr>
              <w:t>Table S3. Overview of MNVista calls showing MNVs called using the reporter-list SNVs and in-house called SNVs as inputs, compared to the reporter-list MNVs.</w:t>
            </w:r>
            <w:r>
              <w:rPr>
                <w:noProof/>
                <w:webHidden/>
              </w:rPr>
              <w:tab/>
            </w:r>
            <w:r>
              <w:rPr>
                <w:noProof/>
                <w:webHidden/>
              </w:rPr>
              <w:fldChar w:fldCharType="begin"/>
            </w:r>
            <w:r>
              <w:rPr>
                <w:noProof/>
                <w:webHidden/>
              </w:rPr>
              <w:instrText xml:space="preserve"> PAGEREF _Toc241497590 \h </w:instrText>
            </w:r>
            <w:r>
              <w:rPr>
                <w:noProof/>
                <w:webHidden/>
              </w:rPr>
            </w:r>
            <w:r>
              <w:rPr>
                <w:noProof/>
                <w:webHidden/>
              </w:rPr>
              <w:fldChar w:fldCharType="separate"/>
            </w:r>
            <w:r>
              <w:rPr>
                <w:noProof/>
                <w:webHidden/>
              </w:rPr>
              <w:t>14</w:t>
            </w:r>
            <w:r>
              <w:rPr>
                <w:noProof/>
                <w:webHidden/>
              </w:rPr>
              <w:fldChar w:fldCharType="end"/>
            </w:r>
          </w:hyperlink>
        </w:p>
        <w:p w14:paraId="6EE4434C" w14:textId="53C874BD" w:rsidR="006D321C" w:rsidRDefault="006D321C">
          <w:pPr>
            <w:pStyle w:val="Inhopg2"/>
            <w:tabs>
              <w:tab w:val="right" w:leader="dot" w:pos="9062"/>
            </w:tabs>
            <w:rPr>
              <w:noProof/>
              <w:lang w:eastAsia="en-US"/>
            </w:rPr>
          </w:pPr>
          <w:hyperlink w:anchor="_Toc241497591" w:history="1">
            <w:r w:rsidRPr="003B09B3">
              <w:rPr>
                <w:rStyle w:val="Hyperlink"/>
                <w:noProof/>
              </w:rPr>
              <w:t>Table S4. Overview of MNVista calls using in-house SNVs in the dilution-series ‘baseline’ sample and the overlap with matching reporter MNVs and SNVs.</w:t>
            </w:r>
            <w:r>
              <w:rPr>
                <w:noProof/>
                <w:webHidden/>
              </w:rPr>
              <w:tab/>
            </w:r>
            <w:r>
              <w:rPr>
                <w:noProof/>
                <w:webHidden/>
              </w:rPr>
              <w:fldChar w:fldCharType="begin"/>
            </w:r>
            <w:r>
              <w:rPr>
                <w:noProof/>
                <w:webHidden/>
              </w:rPr>
              <w:instrText xml:space="preserve"> PAGEREF _Toc241497591 \h </w:instrText>
            </w:r>
            <w:r>
              <w:rPr>
                <w:noProof/>
                <w:webHidden/>
              </w:rPr>
            </w:r>
            <w:r>
              <w:rPr>
                <w:noProof/>
                <w:webHidden/>
              </w:rPr>
              <w:fldChar w:fldCharType="separate"/>
            </w:r>
            <w:r>
              <w:rPr>
                <w:noProof/>
                <w:webHidden/>
              </w:rPr>
              <w:t>15</w:t>
            </w:r>
            <w:r>
              <w:rPr>
                <w:noProof/>
                <w:webHidden/>
              </w:rPr>
              <w:fldChar w:fldCharType="end"/>
            </w:r>
          </w:hyperlink>
        </w:p>
        <w:p w14:paraId="45F6BC03" w14:textId="69339E31" w:rsidR="006D321C" w:rsidRDefault="006D321C">
          <w:pPr>
            <w:pStyle w:val="Inhopg2"/>
            <w:tabs>
              <w:tab w:val="right" w:leader="dot" w:pos="9062"/>
            </w:tabs>
            <w:rPr>
              <w:noProof/>
              <w:lang w:eastAsia="en-US"/>
            </w:rPr>
          </w:pPr>
          <w:hyperlink w:anchor="_Toc241497592" w:history="1">
            <w:r w:rsidRPr="003B09B3">
              <w:rPr>
                <w:rStyle w:val="Hyperlink"/>
                <w:noProof/>
              </w:rPr>
              <w:t>Table S5.  Description of analyses used for the public dilution series data</w:t>
            </w:r>
            <w:r>
              <w:rPr>
                <w:noProof/>
                <w:webHidden/>
              </w:rPr>
              <w:tab/>
            </w:r>
            <w:r>
              <w:rPr>
                <w:noProof/>
                <w:webHidden/>
              </w:rPr>
              <w:fldChar w:fldCharType="begin"/>
            </w:r>
            <w:r>
              <w:rPr>
                <w:noProof/>
                <w:webHidden/>
              </w:rPr>
              <w:instrText xml:space="preserve"> PAGEREF _Toc241497592 \h </w:instrText>
            </w:r>
            <w:r>
              <w:rPr>
                <w:noProof/>
                <w:webHidden/>
              </w:rPr>
            </w:r>
            <w:r>
              <w:rPr>
                <w:noProof/>
                <w:webHidden/>
              </w:rPr>
              <w:fldChar w:fldCharType="separate"/>
            </w:r>
            <w:r>
              <w:rPr>
                <w:noProof/>
                <w:webHidden/>
              </w:rPr>
              <w:t>15</w:t>
            </w:r>
            <w:r>
              <w:rPr>
                <w:noProof/>
                <w:webHidden/>
              </w:rPr>
              <w:fldChar w:fldCharType="end"/>
            </w:r>
          </w:hyperlink>
        </w:p>
        <w:p w14:paraId="25978D3E" w14:textId="0E015A4A" w:rsidR="006D321C" w:rsidRDefault="006D321C">
          <w:pPr>
            <w:pStyle w:val="Inhopg2"/>
            <w:tabs>
              <w:tab w:val="right" w:leader="dot" w:pos="9062"/>
            </w:tabs>
            <w:rPr>
              <w:noProof/>
              <w:lang w:eastAsia="en-US"/>
            </w:rPr>
          </w:pPr>
          <w:hyperlink w:anchor="_Toc241497593" w:history="1">
            <w:r w:rsidRPr="003B09B3">
              <w:rPr>
                <w:rStyle w:val="Hyperlink"/>
                <w:noProof/>
              </w:rPr>
              <w:t>Table S6. Overview of the number of SNVs spiked-in the BAM files of the 5 DLBCL samples (with somatic and sequencing errors background) used for the synthetic benchmark.</w:t>
            </w:r>
            <w:r>
              <w:rPr>
                <w:noProof/>
                <w:webHidden/>
              </w:rPr>
              <w:tab/>
            </w:r>
            <w:r>
              <w:rPr>
                <w:noProof/>
                <w:webHidden/>
              </w:rPr>
              <w:fldChar w:fldCharType="begin"/>
            </w:r>
            <w:r>
              <w:rPr>
                <w:noProof/>
                <w:webHidden/>
              </w:rPr>
              <w:instrText xml:space="preserve"> PAGEREF _Toc241497593 \h </w:instrText>
            </w:r>
            <w:r>
              <w:rPr>
                <w:noProof/>
                <w:webHidden/>
              </w:rPr>
            </w:r>
            <w:r>
              <w:rPr>
                <w:noProof/>
                <w:webHidden/>
              </w:rPr>
              <w:fldChar w:fldCharType="separate"/>
            </w:r>
            <w:r>
              <w:rPr>
                <w:noProof/>
                <w:webHidden/>
              </w:rPr>
              <w:t>15</w:t>
            </w:r>
            <w:r>
              <w:rPr>
                <w:noProof/>
                <w:webHidden/>
              </w:rPr>
              <w:fldChar w:fldCharType="end"/>
            </w:r>
          </w:hyperlink>
        </w:p>
        <w:p w14:paraId="4212484F" w14:textId="1E84AF5F" w:rsidR="006D321C" w:rsidRDefault="006D321C">
          <w:pPr>
            <w:pStyle w:val="Inhopg2"/>
            <w:tabs>
              <w:tab w:val="right" w:leader="dot" w:pos="9062"/>
            </w:tabs>
            <w:rPr>
              <w:noProof/>
              <w:lang w:eastAsia="en-US"/>
            </w:rPr>
          </w:pPr>
          <w:hyperlink w:anchor="_Toc241497594" w:history="1">
            <w:r w:rsidRPr="003B09B3">
              <w:rPr>
                <w:rStyle w:val="Hyperlink"/>
                <w:noProof/>
              </w:rPr>
              <w:t>Table S7. Overview of spike-in statistics in the synthetic benchmark for each DLBCL sample and noise group.</w:t>
            </w:r>
            <w:r>
              <w:rPr>
                <w:noProof/>
                <w:webHidden/>
              </w:rPr>
              <w:tab/>
            </w:r>
            <w:r>
              <w:rPr>
                <w:noProof/>
                <w:webHidden/>
              </w:rPr>
              <w:fldChar w:fldCharType="begin"/>
            </w:r>
            <w:r>
              <w:rPr>
                <w:noProof/>
                <w:webHidden/>
              </w:rPr>
              <w:instrText xml:space="preserve"> PAGEREF _Toc241497594 \h </w:instrText>
            </w:r>
            <w:r>
              <w:rPr>
                <w:noProof/>
                <w:webHidden/>
              </w:rPr>
            </w:r>
            <w:r>
              <w:rPr>
                <w:noProof/>
                <w:webHidden/>
              </w:rPr>
              <w:fldChar w:fldCharType="separate"/>
            </w:r>
            <w:r>
              <w:rPr>
                <w:noProof/>
                <w:webHidden/>
              </w:rPr>
              <w:t>15</w:t>
            </w:r>
            <w:r>
              <w:rPr>
                <w:noProof/>
                <w:webHidden/>
              </w:rPr>
              <w:fldChar w:fldCharType="end"/>
            </w:r>
          </w:hyperlink>
        </w:p>
        <w:p w14:paraId="18E6BFC4" w14:textId="526CCECC" w:rsidR="002C1314" w:rsidRDefault="002C1314" w:rsidP="002C1314">
          <w:pPr>
            <w:rPr>
              <w:b/>
              <w:bCs/>
              <w:lang w:val="en-GB"/>
            </w:rPr>
          </w:pPr>
          <w:r w:rsidRPr="00381430">
            <w:rPr>
              <w:b/>
              <w:bCs/>
              <w:lang w:val="en-GB"/>
            </w:rPr>
            <w:fldChar w:fldCharType="end"/>
          </w:r>
        </w:p>
      </w:sdtContent>
    </w:sdt>
    <w:p w14:paraId="6091B6E5" w14:textId="77777777" w:rsidR="002D191A" w:rsidRDefault="002D191A" w:rsidP="002C1314">
      <w:pPr>
        <w:rPr>
          <w:b/>
          <w:bCs/>
          <w:lang w:val="en-GB"/>
        </w:rPr>
      </w:pPr>
    </w:p>
    <w:p w14:paraId="268FDCF5" w14:textId="77777777" w:rsidR="002D191A" w:rsidRDefault="002D191A" w:rsidP="002C1314">
      <w:pPr>
        <w:rPr>
          <w:b/>
          <w:bCs/>
          <w:lang w:val="en-GB"/>
        </w:rPr>
      </w:pPr>
    </w:p>
    <w:p w14:paraId="41E6F6B7" w14:textId="77777777" w:rsidR="002D191A" w:rsidRDefault="002D191A" w:rsidP="002C1314">
      <w:pPr>
        <w:rPr>
          <w:b/>
          <w:bCs/>
          <w:lang w:val="en-GB"/>
        </w:rPr>
      </w:pPr>
    </w:p>
    <w:p w14:paraId="76E2D6B9" w14:textId="77777777" w:rsidR="002D191A" w:rsidRDefault="002D191A" w:rsidP="002C1314">
      <w:pPr>
        <w:rPr>
          <w:b/>
          <w:bCs/>
          <w:lang w:val="en-GB"/>
        </w:rPr>
      </w:pPr>
    </w:p>
    <w:p w14:paraId="44342F7E" w14:textId="77777777" w:rsidR="002D191A" w:rsidRDefault="002D191A" w:rsidP="002C1314">
      <w:pPr>
        <w:rPr>
          <w:b/>
          <w:bCs/>
          <w:lang w:val="en-GB"/>
        </w:rPr>
      </w:pPr>
    </w:p>
    <w:p w14:paraId="07688CD2" w14:textId="77777777" w:rsidR="002D191A" w:rsidRDefault="002D191A" w:rsidP="002C1314">
      <w:pPr>
        <w:rPr>
          <w:b/>
          <w:bCs/>
          <w:lang w:val="en-GB"/>
        </w:rPr>
      </w:pPr>
    </w:p>
    <w:p w14:paraId="00544359" w14:textId="77777777" w:rsidR="002D191A" w:rsidRDefault="002D191A" w:rsidP="002C1314">
      <w:pPr>
        <w:rPr>
          <w:b/>
          <w:bCs/>
          <w:lang w:val="en-GB"/>
        </w:rPr>
      </w:pPr>
    </w:p>
    <w:p w14:paraId="5E3BEAB3" w14:textId="77777777" w:rsidR="002D191A" w:rsidRDefault="002D191A" w:rsidP="002C1314">
      <w:pPr>
        <w:rPr>
          <w:b/>
          <w:bCs/>
          <w:lang w:val="en-GB"/>
        </w:rPr>
      </w:pPr>
    </w:p>
    <w:p w14:paraId="64EFB8BB" w14:textId="77777777" w:rsidR="002D191A" w:rsidRDefault="002D191A" w:rsidP="002C1314">
      <w:pPr>
        <w:rPr>
          <w:b/>
          <w:bCs/>
          <w:lang w:val="en-GB"/>
        </w:rPr>
      </w:pPr>
    </w:p>
    <w:p w14:paraId="52ECC5C6" w14:textId="77777777" w:rsidR="002D191A" w:rsidRDefault="002D191A" w:rsidP="002C1314">
      <w:pPr>
        <w:rPr>
          <w:b/>
          <w:bCs/>
          <w:lang w:val="en-GB"/>
        </w:rPr>
      </w:pPr>
    </w:p>
    <w:p w14:paraId="7149F9E8" w14:textId="77777777" w:rsidR="002D191A" w:rsidRDefault="002D191A" w:rsidP="002C1314">
      <w:pPr>
        <w:rPr>
          <w:b/>
          <w:bCs/>
          <w:lang w:val="en-GB"/>
        </w:rPr>
      </w:pPr>
    </w:p>
    <w:p w14:paraId="1C7C5EB4" w14:textId="77777777" w:rsidR="002D191A" w:rsidRDefault="002D191A" w:rsidP="002C1314">
      <w:pPr>
        <w:rPr>
          <w:b/>
          <w:bCs/>
          <w:lang w:val="en-GB"/>
        </w:rPr>
      </w:pPr>
    </w:p>
    <w:p w14:paraId="58F35BA7" w14:textId="77777777" w:rsidR="002D191A" w:rsidRDefault="002D191A" w:rsidP="002C1314">
      <w:pPr>
        <w:rPr>
          <w:b/>
          <w:bCs/>
          <w:lang w:val="en-GB"/>
        </w:rPr>
      </w:pPr>
    </w:p>
    <w:p w14:paraId="29E6A4BC" w14:textId="77777777" w:rsidR="002D191A" w:rsidRDefault="002D191A" w:rsidP="002C1314">
      <w:pPr>
        <w:rPr>
          <w:b/>
          <w:bCs/>
          <w:lang w:val="en-GB"/>
        </w:rPr>
      </w:pPr>
    </w:p>
    <w:p w14:paraId="69E8E2B1" w14:textId="77777777" w:rsidR="002D191A" w:rsidRDefault="002D191A" w:rsidP="002C1314">
      <w:pPr>
        <w:rPr>
          <w:b/>
          <w:bCs/>
          <w:lang w:val="en-GB"/>
        </w:rPr>
      </w:pPr>
    </w:p>
    <w:p w14:paraId="7A17B554" w14:textId="77777777" w:rsidR="002D191A" w:rsidRDefault="002D191A" w:rsidP="002C1314">
      <w:pPr>
        <w:rPr>
          <w:b/>
          <w:bCs/>
          <w:lang w:val="en-GB"/>
        </w:rPr>
      </w:pPr>
    </w:p>
    <w:p w14:paraId="0CA9E811" w14:textId="77777777" w:rsidR="002D191A" w:rsidRDefault="002D191A" w:rsidP="002C1314">
      <w:pPr>
        <w:rPr>
          <w:b/>
          <w:bCs/>
          <w:lang w:val="en-GB"/>
        </w:rPr>
      </w:pPr>
    </w:p>
    <w:p w14:paraId="34F3A801" w14:textId="77777777" w:rsidR="002D191A" w:rsidRDefault="002D191A" w:rsidP="002C1314">
      <w:pPr>
        <w:rPr>
          <w:b/>
          <w:bCs/>
          <w:lang w:val="en-GB"/>
        </w:rPr>
      </w:pPr>
    </w:p>
    <w:p w14:paraId="295BE4DE" w14:textId="77777777" w:rsidR="002D191A" w:rsidRDefault="002D191A" w:rsidP="002C1314">
      <w:pPr>
        <w:rPr>
          <w:b/>
          <w:bCs/>
          <w:lang w:val="en-GB"/>
        </w:rPr>
      </w:pPr>
    </w:p>
    <w:p w14:paraId="4819D646" w14:textId="77777777" w:rsidR="002D191A" w:rsidRDefault="002D191A" w:rsidP="002C1314">
      <w:pPr>
        <w:rPr>
          <w:b/>
          <w:bCs/>
          <w:lang w:val="en-GB"/>
        </w:rPr>
      </w:pPr>
    </w:p>
    <w:p w14:paraId="4E1D24CA" w14:textId="77777777" w:rsidR="002D191A" w:rsidRDefault="002D191A" w:rsidP="002C1314">
      <w:pPr>
        <w:rPr>
          <w:b/>
          <w:bCs/>
          <w:lang w:val="en-GB"/>
        </w:rPr>
      </w:pPr>
    </w:p>
    <w:p w14:paraId="0578073D" w14:textId="77777777" w:rsidR="002D191A" w:rsidRDefault="002D191A" w:rsidP="002C1314">
      <w:pPr>
        <w:rPr>
          <w:b/>
          <w:bCs/>
          <w:lang w:val="en-GB"/>
        </w:rPr>
      </w:pPr>
    </w:p>
    <w:p w14:paraId="148D5FBC" w14:textId="77777777" w:rsidR="002D191A" w:rsidRPr="002D191A" w:rsidRDefault="002D191A" w:rsidP="002C1314">
      <w:pPr>
        <w:rPr>
          <w:b/>
          <w:bCs/>
          <w:lang w:val="en-GB"/>
        </w:rPr>
      </w:pPr>
    </w:p>
    <w:p w14:paraId="0E92E3C5" w14:textId="005D0ECA" w:rsidR="004B70B9" w:rsidRDefault="00EC63CB" w:rsidP="000410EB">
      <w:pPr>
        <w:pStyle w:val="Kop1"/>
      </w:pPr>
      <w:bookmarkStart w:id="0" w:name="_Toc212814310"/>
      <w:bookmarkStart w:id="1" w:name="_Toc214965003"/>
      <w:bookmarkStart w:id="2" w:name="_Toc241497575"/>
      <w:r w:rsidRPr="004B70B9">
        <w:lastRenderedPageBreak/>
        <w:t>Supplementary figures</w:t>
      </w:r>
      <w:bookmarkEnd w:id="0"/>
      <w:bookmarkEnd w:id="1"/>
      <w:bookmarkEnd w:id="2"/>
    </w:p>
    <w:p w14:paraId="5FA94D3C" w14:textId="1119A191" w:rsidR="00C30E14" w:rsidRPr="004B70B9" w:rsidRDefault="00C30E14" w:rsidP="004B70B9">
      <w:pPr>
        <w:jc w:val="center"/>
        <w:rPr>
          <w:noProof/>
        </w:rPr>
      </w:pPr>
      <w:r>
        <w:rPr>
          <w:noProof/>
        </w:rPr>
        <w:drawing>
          <wp:inline distT="0" distB="0" distL="0" distR="0" wp14:anchorId="58D05C6E" wp14:editId="52D4A604">
            <wp:extent cx="4572000" cy="4119245"/>
            <wp:effectExtent l="0" t="0" r="0" b="0"/>
            <wp:docPr id="88696735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0" cy="4119245"/>
                    </a:xfrm>
                    <a:prstGeom prst="rect">
                      <a:avLst/>
                    </a:prstGeom>
                    <a:noFill/>
                    <a:ln>
                      <a:noFill/>
                    </a:ln>
                  </pic:spPr>
                </pic:pic>
              </a:graphicData>
            </a:graphic>
          </wp:inline>
        </w:drawing>
      </w:r>
    </w:p>
    <w:p w14:paraId="41264265" w14:textId="2EEF3716" w:rsidR="00642C79" w:rsidRDefault="00D21611" w:rsidP="0045523A">
      <w:pPr>
        <w:pStyle w:val="Bijschrift"/>
        <w:jc w:val="both"/>
      </w:pPr>
      <w:bookmarkStart w:id="3" w:name="_Toc212814312"/>
      <w:bookmarkStart w:id="4" w:name="_Toc214965004"/>
      <w:bookmarkStart w:id="5" w:name="_Toc241497576"/>
      <w:r w:rsidRPr="00DE77C3">
        <w:rPr>
          <w:rStyle w:val="SuppFigTableChar"/>
        </w:rPr>
        <w:t>Figure S</w:t>
      </w:r>
      <w:r w:rsidR="00062777" w:rsidRPr="00DE77C3">
        <w:rPr>
          <w:rStyle w:val="SuppFigTableChar"/>
        </w:rPr>
        <w:t>1</w:t>
      </w:r>
      <w:bookmarkEnd w:id="3"/>
      <w:r w:rsidRPr="00DE77C3">
        <w:rPr>
          <w:rStyle w:val="SuppFigTableChar"/>
        </w:rPr>
        <w:t xml:space="preserve">. </w:t>
      </w:r>
      <w:bookmarkEnd w:id="4"/>
      <w:r w:rsidRPr="00DE77C3">
        <w:rPr>
          <w:rStyle w:val="SuppFigTableChar"/>
        </w:rPr>
        <w:t>Total  number of SNVs present in the reporter lists which were absent and detected in the baseline sample</w:t>
      </w:r>
      <w:r w:rsidR="00E80C5B" w:rsidRPr="00DE77C3">
        <w:rPr>
          <w:rStyle w:val="SuppFigTableChar"/>
        </w:rPr>
        <w:t>.</w:t>
      </w:r>
      <w:bookmarkEnd w:id="5"/>
      <w:r w:rsidR="00E80C5B">
        <w:t xml:space="preserve"> Counts are shown per-patient for detected SNVs (dark) and absent SNVs (light)</w:t>
      </w:r>
    </w:p>
    <w:p w14:paraId="29F428D7" w14:textId="765D60EB" w:rsidR="00D21611" w:rsidRDefault="00D21611" w:rsidP="00D21611">
      <w:pPr>
        <w:pStyle w:val="Bijschrift"/>
        <w:jc w:val="both"/>
      </w:pPr>
    </w:p>
    <w:p w14:paraId="0847EF9F" w14:textId="77777777" w:rsidR="00D21611" w:rsidRPr="00D21611" w:rsidRDefault="00D21611" w:rsidP="009B35BC"/>
    <w:p w14:paraId="1DB2DB0E" w14:textId="38E9ACC2" w:rsidR="00EC63CB" w:rsidRDefault="000C3062" w:rsidP="009B35BC">
      <w:pPr>
        <w:rPr>
          <w:b/>
          <w:bCs/>
          <w:noProof/>
          <w:sz w:val="32"/>
          <w:szCs w:val="32"/>
        </w:rPr>
      </w:pPr>
      <w:r>
        <w:rPr>
          <w:b/>
          <w:bCs/>
          <w:noProof/>
          <w:sz w:val="32"/>
          <w:szCs w:val="32"/>
        </w:rPr>
        <w:lastRenderedPageBreak/>
        <w:drawing>
          <wp:inline distT="0" distB="0" distL="0" distR="0" wp14:anchorId="7A0DFEE9" wp14:editId="558C58A0">
            <wp:extent cx="5753100" cy="4448175"/>
            <wp:effectExtent l="0" t="0" r="0" b="9525"/>
            <wp:docPr id="21438788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4448175"/>
                    </a:xfrm>
                    <a:prstGeom prst="rect">
                      <a:avLst/>
                    </a:prstGeom>
                    <a:noFill/>
                    <a:ln>
                      <a:noFill/>
                    </a:ln>
                  </pic:spPr>
                </pic:pic>
              </a:graphicData>
            </a:graphic>
          </wp:inline>
        </w:drawing>
      </w:r>
    </w:p>
    <w:p w14:paraId="29F16E7E" w14:textId="5B0CA4D8" w:rsidR="009B35BC" w:rsidRDefault="00EC63CB" w:rsidP="005C51E1">
      <w:pPr>
        <w:pStyle w:val="Bijschrift"/>
        <w:jc w:val="both"/>
        <w:rPr>
          <w:rStyle w:val="SuppFigTableChar"/>
          <w:sz w:val="10"/>
          <w:szCs w:val="10"/>
        </w:rPr>
      </w:pPr>
      <w:bookmarkStart w:id="6" w:name="_Toc212814313"/>
      <w:bookmarkStart w:id="7" w:name="_Toc241497577"/>
      <w:r w:rsidRPr="00FF1633">
        <w:rPr>
          <w:rStyle w:val="SuppFigTableChar"/>
        </w:rPr>
        <w:t xml:space="preserve">Figure </w:t>
      </w:r>
      <w:r w:rsidR="00FE07EE" w:rsidRPr="00FF1633">
        <w:rPr>
          <w:rStyle w:val="SuppFigTableChar"/>
        </w:rPr>
        <w:t>S</w:t>
      </w:r>
      <w:r w:rsidR="00062777" w:rsidRPr="00FF1633">
        <w:rPr>
          <w:rStyle w:val="SuppFigTableChar"/>
        </w:rPr>
        <w:t>2</w:t>
      </w:r>
      <w:r w:rsidRPr="00FF1633">
        <w:rPr>
          <w:rStyle w:val="SuppFigTableChar"/>
        </w:rPr>
        <w:t>.</w:t>
      </w:r>
      <w:bookmarkEnd w:id="6"/>
      <w:r w:rsidRPr="00FF1633">
        <w:rPr>
          <w:rStyle w:val="SuppFigTableChar"/>
        </w:rPr>
        <w:t xml:space="preserve"> </w:t>
      </w:r>
      <w:r w:rsidR="007748DC" w:rsidRPr="00FF1633">
        <w:rPr>
          <w:rStyle w:val="SuppFigTableChar"/>
        </w:rPr>
        <w:t>Overview of MNVista performance for</w:t>
      </w:r>
      <w:r w:rsidR="00AE3A92" w:rsidRPr="00FF1633">
        <w:rPr>
          <w:rStyle w:val="SuppFigTableChar"/>
        </w:rPr>
        <w:t xml:space="preserve"> the ‘baseline’ (0.1% dilution) </w:t>
      </w:r>
      <w:proofErr w:type="spellStart"/>
      <w:r w:rsidR="00AE3A92" w:rsidRPr="00FF1633">
        <w:rPr>
          <w:rStyle w:val="SuppFigTableChar"/>
        </w:rPr>
        <w:t>PhasED</w:t>
      </w:r>
      <w:proofErr w:type="spellEnd"/>
      <w:r w:rsidR="00AE3A92" w:rsidRPr="00FF1633">
        <w:rPr>
          <w:rStyle w:val="SuppFigTableChar"/>
        </w:rPr>
        <w:t>-Seq sample per patient</w:t>
      </w:r>
      <w:r w:rsidR="00055DDB" w:rsidRPr="00FF1633">
        <w:rPr>
          <w:rStyle w:val="SuppFigTableChar"/>
        </w:rPr>
        <w:t xml:space="preserve"> using the </w:t>
      </w:r>
      <w:proofErr w:type="spellStart"/>
      <w:r w:rsidR="00055DDB" w:rsidRPr="00FF1633">
        <w:rPr>
          <w:rStyle w:val="SuppFigTableChar"/>
        </w:rPr>
        <w:t>PhasED</w:t>
      </w:r>
      <w:proofErr w:type="spellEnd"/>
      <w:r w:rsidR="00055DDB" w:rsidRPr="00FF1633">
        <w:rPr>
          <w:rStyle w:val="SuppFigTableChar"/>
        </w:rPr>
        <w:t>-Seq reporter list as input</w:t>
      </w:r>
      <w:bookmarkEnd w:id="7"/>
      <w:r w:rsidR="00B80715" w:rsidRPr="00B80715">
        <w:t xml:space="preserve">. Panel </w:t>
      </w:r>
      <w:r w:rsidR="00B80715" w:rsidRPr="006B22C5">
        <w:rPr>
          <w:b/>
          <w:bCs/>
        </w:rPr>
        <w:t>A</w:t>
      </w:r>
      <w:r w:rsidR="00B80715" w:rsidRPr="00B80715">
        <w:t>:</w:t>
      </w:r>
      <w:r w:rsidR="00B80715">
        <w:t xml:space="preserve"> </w:t>
      </w:r>
      <w:r w:rsidR="00B80715" w:rsidRPr="00B80715">
        <w:t>MNV recall is shown per patient for MNVs of size 2 (A, left</w:t>
      </w:r>
      <w:r w:rsidR="00B80715">
        <w:t xml:space="preserve"> bar graph</w:t>
      </w:r>
      <w:r w:rsidR="00B80715" w:rsidRPr="00B80715">
        <w:t>) and size 3 (A, right</w:t>
      </w:r>
      <w:r w:rsidR="00B80715">
        <w:t xml:space="preserve"> bar graph</w:t>
      </w:r>
      <w:r w:rsidR="00B80715" w:rsidRPr="00B80715">
        <w:t xml:space="preserve">). MNVista identified 7,584 MNVs in total, of which 2,837 (32.9%) matched reporter MNVs and 4,747 were novel. Per-patient recall was 92.1% (176/191) for DLBCL084, 23.8% (1,737/7,293) for LYM002, and 81.5% (924/1,134) for LYM072, with the lower overall recall driven primarily by LYM002. Panel </w:t>
      </w:r>
      <w:r w:rsidR="00B80715" w:rsidRPr="006B22C5">
        <w:rPr>
          <w:b/>
          <w:bCs/>
        </w:rPr>
        <w:t>B</w:t>
      </w:r>
      <w:r w:rsidR="00B80715">
        <w:t xml:space="preserve">: </w:t>
      </w:r>
      <w:r w:rsidR="00B80715" w:rsidRPr="00B80715">
        <w:t xml:space="preserve">stacked bar graphs of the number of MNVs called per patient and MNV size, with 2,316 three-SNV, 2,092 two-SNV, and 1,766 four-SNV MNVs comprising the most frequent size classes. Panel </w:t>
      </w:r>
      <w:r w:rsidR="00B80715" w:rsidRPr="006B22C5">
        <w:rPr>
          <w:b/>
          <w:bCs/>
        </w:rPr>
        <w:t>C</w:t>
      </w:r>
      <w:r w:rsidR="00B80715">
        <w:t xml:space="preserve">: </w:t>
      </w:r>
      <w:r w:rsidR="00B80715" w:rsidRPr="00B80715">
        <w:t>violin plots of MNV VAF distributions per MNV size class, with the total number of entries at the top, color-coded per patient. VAF variation decreased with increasing MNV size, consistent with the greater evidential constraint imposed by requiring all constituent SNVs to occur on the same read.</w:t>
      </w:r>
    </w:p>
    <w:p w14:paraId="69862D77" w14:textId="77777777" w:rsidR="009B35BC" w:rsidRDefault="009B35BC" w:rsidP="00DE77C3">
      <w:pPr>
        <w:pStyle w:val="Bijschrift"/>
        <w:rPr>
          <w:rStyle w:val="SuppFigTableChar"/>
          <w:sz w:val="10"/>
          <w:szCs w:val="10"/>
        </w:rPr>
      </w:pPr>
    </w:p>
    <w:p w14:paraId="6F358159" w14:textId="77777777" w:rsidR="009B35BC" w:rsidRDefault="009B35BC" w:rsidP="009B35BC"/>
    <w:p w14:paraId="6AB7376C" w14:textId="35F38DEA" w:rsidR="009B35BC" w:rsidRPr="009B35BC" w:rsidRDefault="009B35BC" w:rsidP="009B35BC">
      <w:r w:rsidRPr="009B35BC">
        <w:rPr>
          <w:noProof/>
        </w:rPr>
        <w:lastRenderedPageBreak/>
        <w:drawing>
          <wp:inline distT="0" distB="0" distL="0" distR="0" wp14:anchorId="5B9823D8" wp14:editId="484CEACA">
            <wp:extent cx="5760720" cy="5760720"/>
            <wp:effectExtent l="0" t="0" r="0" b="0"/>
            <wp:docPr id="3347338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33879" name=""/>
                    <pic:cNvPicPr/>
                  </pic:nvPicPr>
                  <pic:blipFill>
                    <a:blip r:embed="rId13"/>
                    <a:stretch>
                      <a:fillRect/>
                    </a:stretch>
                  </pic:blipFill>
                  <pic:spPr>
                    <a:xfrm>
                      <a:off x="0" y="0"/>
                      <a:ext cx="5760720" cy="5760720"/>
                    </a:xfrm>
                    <a:prstGeom prst="rect">
                      <a:avLst/>
                    </a:prstGeom>
                  </pic:spPr>
                </pic:pic>
              </a:graphicData>
            </a:graphic>
          </wp:inline>
        </w:drawing>
      </w:r>
    </w:p>
    <w:p w14:paraId="75E4E0D9" w14:textId="35482D31" w:rsidR="00910EA5" w:rsidRDefault="00910EA5" w:rsidP="0045523A">
      <w:pPr>
        <w:pStyle w:val="Bijschrift"/>
        <w:jc w:val="both"/>
      </w:pPr>
      <w:bookmarkStart w:id="8" w:name="_Toc241497578"/>
      <w:r w:rsidRPr="00FF1633">
        <w:rPr>
          <w:rStyle w:val="SuppFigTableChar"/>
        </w:rPr>
        <w:t>Figure S</w:t>
      </w:r>
      <w:r w:rsidR="00062777" w:rsidRPr="00FF1633">
        <w:rPr>
          <w:rStyle w:val="SuppFigTableChar"/>
        </w:rPr>
        <w:t>3</w:t>
      </w:r>
      <w:r w:rsidRPr="00FF1633">
        <w:rPr>
          <w:rStyle w:val="SuppFigTableChar"/>
        </w:rPr>
        <w:t xml:space="preserve"> Overview of the largest (size 9) multi-nucleotide variant (MNV) called by MNVista in the dilution series analysis using both the de novo in-house SNV input and </w:t>
      </w:r>
      <w:proofErr w:type="spellStart"/>
      <w:r w:rsidRPr="00FF1633">
        <w:rPr>
          <w:rStyle w:val="SuppFigTableChar"/>
        </w:rPr>
        <w:t>PhasED</w:t>
      </w:r>
      <w:proofErr w:type="spellEnd"/>
      <w:r w:rsidRPr="00FF1633">
        <w:rPr>
          <w:rStyle w:val="SuppFigTableChar"/>
        </w:rPr>
        <w:t>-Seq reporter list SNV input</w:t>
      </w:r>
      <w:r w:rsidR="00BC748A" w:rsidRPr="00FF1633">
        <w:rPr>
          <w:rStyle w:val="SuppFigTableChar"/>
        </w:rPr>
        <w:t>, stemming from the DLBCL084 patient</w:t>
      </w:r>
      <w:bookmarkEnd w:id="8"/>
      <w:r>
        <w:t xml:space="preserve">. Panel </w:t>
      </w:r>
      <w:r w:rsidRPr="000A7831">
        <w:rPr>
          <w:b/>
          <w:bCs/>
        </w:rPr>
        <w:t>A</w:t>
      </w:r>
      <w:r w:rsidR="000A7831">
        <w:t xml:space="preserve">: </w:t>
      </w:r>
      <w:r>
        <w:t xml:space="preserve">the variant allele frequencies (VAF) of each individual SNV, clustering around 0.3 - 0.5%. Panel </w:t>
      </w:r>
      <w:r w:rsidRPr="000A7831">
        <w:rPr>
          <w:b/>
          <w:bCs/>
        </w:rPr>
        <w:t>B</w:t>
      </w:r>
      <w:r w:rsidR="00B80715">
        <w:t xml:space="preserve">: </w:t>
      </w:r>
      <w:r>
        <w:t xml:space="preserve">individual </w:t>
      </w:r>
      <w:proofErr w:type="spellStart"/>
      <w:r>
        <w:t>PhasED</w:t>
      </w:r>
      <w:proofErr w:type="spellEnd"/>
      <w:r>
        <w:t>-Seq (n=53) 2</w:t>
      </w:r>
      <w:r w:rsidR="00B80715">
        <w:t>-</w:t>
      </w:r>
      <w:r>
        <w:t xml:space="preserve"> and 3</w:t>
      </w:r>
      <w:r w:rsidR="00B80715">
        <w:t>-</w:t>
      </w:r>
      <w:r>
        <w:t xml:space="preserve">size MNVs (n=23, n=30 respectively) </w:t>
      </w:r>
      <w:r w:rsidR="00B80715">
        <w:t>comprising</w:t>
      </w:r>
      <w:r>
        <w:t xml:space="preserve"> the MNVista largest MNV. These MNVs are sorted top to bottom by start position in an ascending manner. Panel </w:t>
      </w:r>
      <w:r w:rsidRPr="000A7831">
        <w:rPr>
          <w:b/>
          <w:bCs/>
        </w:rPr>
        <w:t>C</w:t>
      </w:r>
      <w:r w:rsidR="000A7831">
        <w:t xml:space="preserve">: </w:t>
      </w:r>
      <w:r>
        <w:t xml:space="preserve">best-supported MNVista MNV calls up to a size 9 MNV that encompass the </w:t>
      </w:r>
      <w:proofErr w:type="spellStart"/>
      <w:r>
        <w:t>PhasED</w:t>
      </w:r>
      <w:proofErr w:type="spellEnd"/>
      <w:r>
        <w:t xml:space="preserve">-Seq MNVs, along with the supporting number of reads for each MNV. Best-supported here means the MNVs with the highest number of supporting reads. </w:t>
      </w:r>
    </w:p>
    <w:p w14:paraId="3ED163E6" w14:textId="77777777" w:rsidR="00957559" w:rsidRDefault="00957559" w:rsidP="00957559"/>
    <w:p w14:paraId="32D92FDE" w14:textId="1761773A" w:rsidR="009B35BC" w:rsidRPr="009B35BC" w:rsidRDefault="009B35BC" w:rsidP="009B35BC">
      <w:r w:rsidRPr="009B35BC">
        <w:rPr>
          <w:noProof/>
        </w:rPr>
        <w:lastRenderedPageBreak/>
        <w:drawing>
          <wp:inline distT="0" distB="0" distL="0" distR="0" wp14:anchorId="1127B368" wp14:editId="098C69C3">
            <wp:extent cx="5760720" cy="4608830"/>
            <wp:effectExtent l="0" t="0" r="0" b="1270"/>
            <wp:docPr id="67679182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91828" name=""/>
                    <pic:cNvPicPr/>
                  </pic:nvPicPr>
                  <pic:blipFill>
                    <a:blip r:embed="rId14"/>
                    <a:stretch>
                      <a:fillRect/>
                    </a:stretch>
                  </pic:blipFill>
                  <pic:spPr>
                    <a:xfrm>
                      <a:off x="0" y="0"/>
                      <a:ext cx="5760720" cy="4608830"/>
                    </a:xfrm>
                    <a:prstGeom prst="rect">
                      <a:avLst/>
                    </a:prstGeom>
                  </pic:spPr>
                </pic:pic>
              </a:graphicData>
            </a:graphic>
          </wp:inline>
        </w:drawing>
      </w:r>
    </w:p>
    <w:p w14:paraId="4BED052E" w14:textId="5E25523D" w:rsidR="00FF2F89" w:rsidRDefault="00EC63CB" w:rsidP="00FF2F89">
      <w:pPr>
        <w:pStyle w:val="Bijschrift"/>
        <w:jc w:val="both"/>
        <w:rPr>
          <w:rStyle w:val="Kop2Char"/>
        </w:rPr>
      </w:pPr>
      <w:bookmarkStart w:id="9" w:name="_Toc212814314"/>
      <w:bookmarkStart w:id="10" w:name="_Toc241497579"/>
      <w:r w:rsidRPr="009B35BC">
        <w:rPr>
          <w:rStyle w:val="SuppFigTableChar"/>
        </w:rPr>
        <w:t xml:space="preserve">Figure </w:t>
      </w:r>
      <w:r w:rsidR="00FE07EE" w:rsidRPr="009B35BC">
        <w:rPr>
          <w:rStyle w:val="SuppFigTableChar"/>
        </w:rPr>
        <w:t>S</w:t>
      </w:r>
      <w:r w:rsidR="00062777" w:rsidRPr="009B35BC">
        <w:rPr>
          <w:rStyle w:val="SuppFigTableChar"/>
        </w:rPr>
        <w:t>4</w:t>
      </w:r>
      <w:r w:rsidR="00FF1633" w:rsidRPr="009B35BC">
        <w:rPr>
          <w:rStyle w:val="SuppFigTableChar"/>
        </w:rPr>
        <w:t>.</w:t>
      </w:r>
      <w:r w:rsidR="00055DDB" w:rsidRPr="009B35BC">
        <w:rPr>
          <w:rStyle w:val="SuppFigTableChar"/>
        </w:rPr>
        <w:t xml:space="preserve"> Overview of MNVista performance for the ‘baseline’ (0.1% dilution) </w:t>
      </w:r>
      <w:proofErr w:type="spellStart"/>
      <w:r w:rsidR="00055DDB" w:rsidRPr="009B35BC">
        <w:rPr>
          <w:rStyle w:val="SuppFigTableChar"/>
        </w:rPr>
        <w:t>PhasED</w:t>
      </w:r>
      <w:proofErr w:type="spellEnd"/>
      <w:r w:rsidR="00055DDB" w:rsidRPr="009B35BC">
        <w:rPr>
          <w:rStyle w:val="SuppFigTableChar"/>
        </w:rPr>
        <w:t xml:space="preserve">-Seq sample per patient using the </w:t>
      </w:r>
      <w:r w:rsidR="00DE77C3" w:rsidRPr="009B35BC">
        <w:rPr>
          <w:rStyle w:val="SuppFigTableChar"/>
        </w:rPr>
        <w:t>in-house</w:t>
      </w:r>
      <w:r w:rsidR="00055DDB" w:rsidRPr="009B35BC">
        <w:rPr>
          <w:rStyle w:val="SuppFigTableChar"/>
        </w:rPr>
        <w:t xml:space="preserve"> SNVs as input.</w:t>
      </w:r>
      <w:bookmarkEnd w:id="10"/>
      <w:r w:rsidR="00055DDB" w:rsidRPr="00DE77C3">
        <w:t xml:space="preserve"> </w:t>
      </w:r>
      <w:r w:rsidR="00B80715">
        <w:t xml:space="preserve">Panel </w:t>
      </w:r>
      <w:r w:rsidR="00B80715" w:rsidRPr="000A7831">
        <w:rPr>
          <w:b/>
          <w:bCs/>
        </w:rPr>
        <w:t>A</w:t>
      </w:r>
      <w:r w:rsidR="00B80715">
        <w:t xml:space="preserve">: </w:t>
      </w:r>
      <w:r w:rsidR="00055DDB" w:rsidRPr="00DE77C3">
        <w:t>Multi-nucleotide variant (MNV) recall is stratified per patient for MNVs of size 2 (A, left</w:t>
      </w:r>
      <w:r w:rsidR="00B80715">
        <w:t xml:space="preserve"> bar graph</w:t>
      </w:r>
      <w:r w:rsidR="00055DDB" w:rsidRPr="00DE77C3">
        <w:t>) and size 3 (A, right</w:t>
      </w:r>
      <w:r w:rsidR="00B80715">
        <w:t xml:space="preserve"> bar graph</w:t>
      </w:r>
      <w:r w:rsidR="00055DDB" w:rsidRPr="00DE77C3">
        <w:t xml:space="preserve">). </w:t>
      </w:r>
      <w:r w:rsidR="00B80715" w:rsidRPr="00B80715">
        <w:t xml:space="preserve">MNVista called 14,467 MNVs in total, of which 2,359 (27.4%) matched reporter MNVs and 12,108 were novel. Per-patient recall was 88.5% (169/191) for DLBCL084, 18.8% (1,374/7,293) for LYM002, and 72.0% (816/1,134) for LYM072, again with lower recall for LYM002. Panel </w:t>
      </w:r>
      <w:r w:rsidR="00B80715" w:rsidRPr="000A7831">
        <w:rPr>
          <w:b/>
          <w:bCs/>
        </w:rPr>
        <w:t>B</w:t>
      </w:r>
      <w:r w:rsidR="00B80715">
        <w:t>:</w:t>
      </w:r>
      <w:r w:rsidR="00B80715" w:rsidRPr="00B80715">
        <w:t xml:space="preserve"> pooled stacked bar graphs and the corresponding total number of MNVs called per MNV size; the most frequent size classes were 2-SNV (n=4,333), 3-SNV (n=4,139), and 4-SNV (n=3,201) MNVs. Calls are shown pooled because novel MNVs could not be assigned to individual patients in the absence of patient-specific BAM files. Panel </w:t>
      </w:r>
      <w:r w:rsidR="00B80715" w:rsidRPr="000A7831">
        <w:rPr>
          <w:b/>
          <w:bCs/>
        </w:rPr>
        <w:t>C</w:t>
      </w:r>
      <w:r w:rsidR="00B80715">
        <w:t xml:space="preserve">: </w:t>
      </w:r>
      <w:r w:rsidR="00B80715" w:rsidRPr="00B80715">
        <w:t xml:space="preserve">violin plots of MNV VAF distributions per MNV size class, with the total number of </w:t>
      </w:r>
      <w:r w:rsidR="00B80715">
        <w:t>MNVs</w:t>
      </w:r>
      <w:r w:rsidR="00B80715" w:rsidRPr="00B80715">
        <w:t xml:space="preserve"> at the top. As in the reporter-SNV analysis, VAF variation decreased with increasing MNV size.</w:t>
      </w:r>
      <w:bookmarkEnd w:id="9"/>
    </w:p>
    <w:p w14:paraId="30699A8F" w14:textId="77777777" w:rsidR="00FF2F89" w:rsidRDefault="00FF2F89" w:rsidP="00FF2F89">
      <w:pPr>
        <w:pStyle w:val="Bijschrift"/>
        <w:jc w:val="both"/>
        <w:rPr>
          <w:rStyle w:val="Kop2Char"/>
        </w:rPr>
      </w:pPr>
    </w:p>
    <w:p w14:paraId="2E924E4D" w14:textId="77777777" w:rsidR="007360EF" w:rsidRDefault="007360EF" w:rsidP="007360EF"/>
    <w:p w14:paraId="6D283A42" w14:textId="77777777" w:rsidR="007360EF" w:rsidRDefault="007360EF" w:rsidP="007360EF"/>
    <w:p w14:paraId="545B7A68" w14:textId="77777777" w:rsidR="007360EF" w:rsidRDefault="007360EF" w:rsidP="007360EF"/>
    <w:p w14:paraId="3892582C" w14:textId="77777777" w:rsidR="007360EF" w:rsidRDefault="007360EF" w:rsidP="007360EF"/>
    <w:p w14:paraId="27C8EDB0" w14:textId="77777777" w:rsidR="007360EF" w:rsidRDefault="007360EF" w:rsidP="007360EF"/>
    <w:p w14:paraId="4B5D59DE" w14:textId="77777777" w:rsidR="007360EF" w:rsidRDefault="007360EF" w:rsidP="007360EF"/>
    <w:p w14:paraId="2873DFF4" w14:textId="77777777" w:rsidR="007360EF" w:rsidRDefault="007360EF" w:rsidP="007360EF"/>
    <w:p w14:paraId="494CF8CB" w14:textId="280639DB" w:rsidR="00E80C5B" w:rsidRPr="00DE77C3" w:rsidRDefault="00E80C5B" w:rsidP="007360EF">
      <w:r>
        <w:rPr>
          <w:noProof/>
        </w:rPr>
        <w:lastRenderedPageBreak/>
        <w:drawing>
          <wp:inline distT="0" distB="0" distL="0" distR="0" wp14:anchorId="274FA03F" wp14:editId="0681ACA1">
            <wp:extent cx="5751195" cy="2614930"/>
            <wp:effectExtent l="0" t="0" r="1905" b="0"/>
            <wp:docPr id="90280361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1195" cy="2614930"/>
                    </a:xfrm>
                    <a:prstGeom prst="rect">
                      <a:avLst/>
                    </a:prstGeom>
                    <a:noFill/>
                    <a:ln>
                      <a:noFill/>
                    </a:ln>
                  </pic:spPr>
                </pic:pic>
              </a:graphicData>
            </a:graphic>
          </wp:inline>
        </w:drawing>
      </w:r>
    </w:p>
    <w:p w14:paraId="1CDAA86D" w14:textId="0BE6C8A7" w:rsidR="00E80C5B" w:rsidRPr="00DE77C3" w:rsidRDefault="00E80C5B" w:rsidP="0045523A">
      <w:pPr>
        <w:pStyle w:val="Bijschrift"/>
        <w:jc w:val="both"/>
      </w:pPr>
      <w:bookmarkStart w:id="11" w:name="_Toc241497580"/>
      <w:r w:rsidRPr="00FF1633">
        <w:rPr>
          <w:rStyle w:val="SuppFigTableChar"/>
        </w:rPr>
        <w:t>Figure S</w:t>
      </w:r>
      <w:r w:rsidR="00062777" w:rsidRPr="00FF1633">
        <w:rPr>
          <w:rStyle w:val="SuppFigTableChar"/>
        </w:rPr>
        <w:t>5</w:t>
      </w:r>
      <w:r w:rsidRPr="00FF1633">
        <w:rPr>
          <w:rStyle w:val="SuppFigTableChar"/>
        </w:rPr>
        <w:t xml:space="preserve">. </w:t>
      </w:r>
      <w:r w:rsidR="00EB0599">
        <w:rPr>
          <w:rStyle w:val="SuppFigTableChar"/>
        </w:rPr>
        <w:t>Comparison</w:t>
      </w:r>
      <w:r w:rsidRPr="00FF1633">
        <w:rPr>
          <w:rStyle w:val="SuppFigTableChar"/>
        </w:rPr>
        <w:t xml:space="preserve"> of </w:t>
      </w:r>
      <w:r w:rsidR="00EB0599">
        <w:rPr>
          <w:rStyle w:val="SuppFigTableChar"/>
        </w:rPr>
        <w:t xml:space="preserve">MNV calls </w:t>
      </w:r>
      <w:r w:rsidRPr="00FF1633">
        <w:rPr>
          <w:rStyle w:val="SuppFigTableChar"/>
        </w:rPr>
        <w:t xml:space="preserve">and MNV span between MNVista and the </w:t>
      </w:r>
      <w:proofErr w:type="spellStart"/>
      <w:r w:rsidRPr="00FF1633">
        <w:rPr>
          <w:rStyle w:val="SuppFigTableChar"/>
        </w:rPr>
        <w:t>PhasED</w:t>
      </w:r>
      <w:proofErr w:type="spellEnd"/>
      <w:r w:rsidRPr="00FF1633">
        <w:rPr>
          <w:rStyle w:val="SuppFigTableChar"/>
        </w:rPr>
        <w:t>-Seq reporter MNVs.</w:t>
      </w:r>
      <w:bookmarkEnd w:id="11"/>
      <w:r>
        <w:t xml:space="preserve"> </w:t>
      </w:r>
      <w:r w:rsidR="0088126D">
        <w:t xml:space="preserve">Panel </w:t>
      </w:r>
      <w:r w:rsidR="0088126D" w:rsidRPr="0088126D">
        <w:rPr>
          <w:b/>
          <w:bCs/>
        </w:rPr>
        <w:t>A</w:t>
      </w:r>
      <w:r w:rsidR="0088126D">
        <w:t>:</w:t>
      </w:r>
      <w:r w:rsidRPr="00DE77C3">
        <w:t xml:space="preserve"> </w:t>
      </w:r>
      <w:proofErr w:type="spellStart"/>
      <w:r w:rsidRPr="00DE77C3">
        <w:t>UpSet</w:t>
      </w:r>
      <w:proofErr w:type="spellEnd"/>
      <w:r w:rsidRPr="00DE77C3">
        <w:t xml:space="preserve"> plot showing the overlap </w:t>
      </w:r>
      <w:r w:rsidR="00EB0599" w:rsidRPr="00EB0599">
        <w:t xml:space="preserve">between MNVs in the </w:t>
      </w:r>
      <w:proofErr w:type="spellStart"/>
      <w:r w:rsidR="00EB0599" w:rsidRPr="00EB0599">
        <w:t>PhasED</w:t>
      </w:r>
      <w:proofErr w:type="spellEnd"/>
      <w:r w:rsidR="00EB0599" w:rsidRPr="00EB0599">
        <w:t>-Seq reporter list and MNVista calls using reporter SNVs or high-sensitivity in-house SNVs as input. The two MNVista approaches shared 3,656 MNVs, of which 2,359 were also present in the reporter list and 1,297 were novel. Of the 761 MNVs uniquely identified using reporter SNVs as input, 478 were reporter MNVs and 283 were novel, whereas all 4,816 MNVs uniquely identified using in-house SNVs were novel.</w:t>
      </w:r>
      <w:r w:rsidRPr="00DE77C3">
        <w:t xml:space="preserve"> </w:t>
      </w:r>
      <w:r w:rsidR="0088126D">
        <w:t xml:space="preserve">Panel </w:t>
      </w:r>
      <w:r w:rsidRPr="0088126D">
        <w:rPr>
          <w:b/>
          <w:bCs/>
        </w:rPr>
        <w:t>B</w:t>
      </w:r>
      <w:r w:rsidR="0088126D" w:rsidRPr="0088126D">
        <w:t>:</w:t>
      </w:r>
      <w:r w:rsidRPr="00DE77C3">
        <w:t xml:space="preserve"> Boxplot showing MNV </w:t>
      </w:r>
      <w:r w:rsidR="00EB0599" w:rsidRPr="00EB0599">
        <w:t>span, defined as the distance between the first and last constituent SNV positions, for the reporter MNVs and MNVista calls generated using reporter SNVs or in-house SNVs. Reporter MNVs generally spanned larger regions than MNVista calls (median 133 bp vs. 110 bp for both input strategies). MNV span distributions differed significantly between the three sources (Kruskal–Wallis), with significant pairwise differences between the reporter MNVs and both MNVista outputs, but not between the two MNVista input strategies. “****” = p &lt; 0.0001; “ns” = not significant</w:t>
      </w:r>
      <w:r w:rsidRPr="00DE77C3">
        <w:t>.</w:t>
      </w:r>
    </w:p>
    <w:p w14:paraId="73D287F2" w14:textId="07D4C84C" w:rsidR="007360EF" w:rsidRDefault="007360EF" w:rsidP="007360EF"/>
    <w:p w14:paraId="126F01FA" w14:textId="082895E9" w:rsidR="009B35BC" w:rsidRDefault="009B35BC" w:rsidP="007360EF">
      <w:r w:rsidRPr="009B35BC">
        <w:rPr>
          <w:noProof/>
        </w:rPr>
        <w:lastRenderedPageBreak/>
        <w:drawing>
          <wp:inline distT="0" distB="0" distL="0" distR="0" wp14:anchorId="180BAFD6" wp14:editId="552B57CA">
            <wp:extent cx="5760720" cy="6010910"/>
            <wp:effectExtent l="0" t="0" r="0" b="8890"/>
            <wp:docPr id="5134444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44497" name=""/>
                    <pic:cNvPicPr/>
                  </pic:nvPicPr>
                  <pic:blipFill>
                    <a:blip r:embed="rId16"/>
                    <a:stretch>
                      <a:fillRect/>
                    </a:stretch>
                  </pic:blipFill>
                  <pic:spPr>
                    <a:xfrm>
                      <a:off x="0" y="0"/>
                      <a:ext cx="5760720" cy="6010910"/>
                    </a:xfrm>
                    <a:prstGeom prst="rect">
                      <a:avLst/>
                    </a:prstGeom>
                  </pic:spPr>
                </pic:pic>
              </a:graphicData>
            </a:graphic>
          </wp:inline>
        </w:drawing>
      </w:r>
    </w:p>
    <w:p w14:paraId="0531FFA2" w14:textId="5EAF7CC9" w:rsidR="007360EF" w:rsidRDefault="007360EF" w:rsidP="0045523A">
      <w:pPr>
        <w:pStyle w:val="Bijschrift"/>
        <w:jc w:val="both"/>
      </w:pPr>
      <w:bookmarkStart w:id="12" w:name="_Toc241497581"/>
      <w:r w:rsidRPr="00FF1633">
        <w:rPr>
          <w:rStyle w:val="SuppFigTableChar"/>
        </w:rPr>
        <w:t>Figure S</w:t>
      </w:r>
      <w:r w:rsidR="00062777" w:rsidRPr="00FF1633">
        <w:rPr>
          <w:rStyle w:val="SuppFigTableChar"/>
        </w:rPr>
        <w:t>6</w:t>
      </w:r>
      <w:r w:rsidR="00FF1633" w:rsidRPr="00FF1633">
        <w:rPr>
          <w:rStyle w:val="SuppFigTableChar"/>
        </w:rPr>
        <w:t>.</w:t>
      </w:r>
      <w:r w:rsidRPr="00FF1633">
        <w:rPr>
          <w:rStyle w:val="SuppFigTableChar"/>
        </w:rPr>
        <w:t xml:space="preserve"> Overview of MNVista </w:t>
      </w:r>
      <w:r w:rsidR="002341C2" w:rsidRPr="00FF1633">
        <w:rPr>
          <w:rStyle w:val="SuppFigTableChar"/>
        </w:rPr>
        <w:t>multi nucleotide variant (</w:t>
      </w:r>
      <w:r w:rsidRPr="00FF1633">
        <w:rPr>
          <w:rStyle w:val="SuppFigTableChar"/>
        </w:rPr>
        <w:t>MNV</w:t>
      </w:r>
      <w:r w:rsidR="002341C2" w:rsidRPr="00FF1633">
        <w:rPr>
          <w:rStyle w:val="SuppFigTableChar"/>
        </w:rPr>
        <w:t>)</w:t>
      </w:r>
      <w:r w:rsidRPr="00FF1633">
        <w:rPr>
          <w:rStyle w:val="SuppFigTableChar"/>
        </w:rPr>
        <w:t xml:space="preserve"> </w:t>
      </w:r>
      <w:r w:rsidR="002341C2" w:rsidRPr="00FF1633">
        <w:rPr>
          <w:rStyle w:val="SuppFigTableChar"/>
        </w:rPr>
        <w:t>supporting reads and read depth</w:t>
      </w:r>
      <w:r w:rsidRPr="00FF1633">
        <w:rPr>
          <w:rStyle w:val="SuppFigTableChar"/>
        </w:rPr>
        <w:t xml:space="preserve"> per dilution sample using the reporter SNVs as input</w:t>
      </w:r>
      <w:bookmarkEnd w:id="12"/>
      <w:r w:rsidRPr="00DE77C3">
        <w:t>.</w:t>
      </w:r>
      <w:r w:rsidR="002341C2" w:rsidRPr="00DE77C3">
        <w:t xml:space="preserve"> </w:t>
      </w:r>
      <w:r w:rsidR="0045523A">
        <w:t xml:space="preserve">Panels </w:t>
      </w:r>
      <w:r w:rsidR="002341C2" w:rsidRPr="0045523A">
        <w:rPr>
          <w:b/>
          <w:bCs/>
        </w:rPr>
        <w:t>A-C</w:t>
      </w:r>
      <w:r w:rsidR="002341C2" w:rsidRPr="00DE77C3">
        <w:t xml:space="preserve"> show a violin plot depicting the number of supporting reads per dilution level (x-axis) per patient (y-axis), with the total number of MNV calls at the top of each violin. </w:t>
      </w:r>
      <w:r w:rsidR="0045523A">
        <w:t xml:space="preserve">Panels </w:t>
      </w:r>
      <w:r w:rsidR="002341C2" w:rsidRPr="0045523A">
        <w:rPr>
          <w:b/>
          <w:bCs/>
        </w:rPr>
        <w:t>D-F</w:t>
      </w:r>
      <w:r w:rsidR="002341C2" w:rsidRPr="00DE77C3">
        <w:t xml:space="preserve"> show the total read depth (locus depth) for the same MNVs in the same manner. Supporting reads largely decreases as dilution level increases, while the total read depth increases as the dilution level increases.</w:t>
      </w:r>
    </w:p>
    <w:p w14:paraId="35D688A6" w14:textId="77777777" w:rsidR="009B35BC" w:rsidRDefault="009B35BC" w:rsidP="009B35BC"/>
    <w:p w14:paraId="30EB3ABC" w14:textId="54550AD9" w:rsidR="009B35BC" w:rsidRPr="009B35BC" w:rsidRDefault="009B35BC" w:rsidP="009B35BC">
      <w:r w:rsidRPr="009B35BC">
        <w:rPr>
          <w:noProof/>
        </w:rPr>
        <w:lastRenderedPageBreak/>
        <w:drawing>
          <wp:inline distT="0" distB="0" distL="0" distR="0" wp14:anchorId="5D8E0E3B" wp14:editId="1389122E">
            <wp:extent cx="5760720" cy="6017260"/>
            <wp:effectExtent l="0" t="0" r="0" b="2540"/>
            <wp:docPr id="10843618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61842" name=""/>
                    <pic:cNvPicPr/>
                  </pic:nvPicPr>
                  <pic:blipFill>
                    <a:blip r:embed="rId17"/>
                    <a:stretch>
                      <a:fillRect/>
                    </a:stretch>
                  </pic:blipFill>
                  <pic:spPr>
                    <a:xfrm>
                      <a:off x="0" y="0"/>
                      <a:ext cx="5760720" cy="6017260"/>
                    </a:xfrm>
                    <a:prstGeom prst="rect">
                      <a:avLst/>
                    </a:prstGeom>
                  </pic:spPr>
                </pic:pic>
              </a:graphicData>
            </a:graphic>
          </wp:inline>
        </w:drawing>
      </w:r>
    </w:p>
    <w:p w14:paraId="454379B1" w14:textId="595FA3C9" w:rsidR="00D61D2D" w:rsidRDefault="00FF2F89" w:rsidP="00D61D2D">
      <w:pPr>
        <w:pStyle w:val="Bijschrift"/>
        <w:jc w:val="both"/>
        <w:rPr>
          <w:rStyle w:val="Kop2Char"/>
        </w:rPr>
      </w:pPr>
      <w:bookmarkStart w:id="13" w:name="_Toc241497582"/>
      <w:r w:rsidRPr="00FF1633">
        <w:rPr>
          <w:rStyle w:val="SuppFigTableChar"/>
        </w:rPr>
        <w:t>Figure S</w:t>
      </w:r>
      <w:r w:rsidR="00062777" w:rsidRPr="00FF1633">
        <w:rPr>
          <w:rStyle w:val="SuppFigTableChar"/>
        </w:rPr>
        <w:t>7</w:t>
      </w:r>
      <w:r w:rsidR="00044AFE">
        <w:rPr>
          <w:rStyle w:val="SuppFigTableChar"/>
        </w:rPr>
        <w:t>.</w:t>
      </w:r>
      <w:r w:rsidRPr="00FF1633">
        <w:rPr>
          <w:rStyle w:val="SuppFigTableChar"/>
        </w:rPr>
        <w:t xml:space="preserve"> Overview of Mutect2 (SNV mode) performance for the </w:t>
      </w:r>
      <w:proofErr w:type="spellStart"/>
      <w:r w:rsidRPr="00FF1633">
        <w:rPr>
          <w:rStyle w:val="SuppFigTableChar"/>
        </w:rPr>
        <w:t>PhasED</w:t>
      </w:r>
      <w:proofErr w:type="spellEnd"/>
      <w:r w:rsidRPr="00FF1633">
        <w:rPr>
          <w:rStyle w:val="SuppFigTableChar"/>
        </w:rPr>
        <w:t>-Seq dilution series.</w:t>
      </w:r>
      <w:bookmarkEnd w:id="13"/>
      <w:r w:rsidRPr="00FF1633">
        <w:t xml:space="preserve"> Panel</w:t>
      </w:r>
      <w:r w:rsidR="0045523A">
        <w:t>s</w:t>
      </w:r>
      <w:r w:rsidRPr="00FF1633">
        <w:t xml:space="preserve"> </w:t>
      </w:r>
      <w:r w:rsidRPr="0045523A">
        <w:rPr>
          <w:b/>
          <w:bCs/>
        </w:rPr>
        <w:t>A-C</w:t>
      </w:r>
      <w:r w:rsidRPr="00FF1633">
        <w:t xml:space="preserve"> show violin plots of the reporter list SNV VAF and counts per patient</w:t>
      </w:r>
      <w:r w:rsidR="00D0758B" w:rsidRPr="00FF1633">
        <w:t xml:space="preserve"> and per dilution sample</w:t>
      </w:r>
      <w:r w:rsidRPr="00FF1633">
        <w:t>. SNVs present in the control sample are shown as dots.</w:t>
      </w:r>
      <w:r w:rsidR="00D0758B" w:rsidRPr="00FF1633">
        <w:t xml:space="preserve"> Panel</w:t>
      </w:r>
      <w:r w:rsidR="0045523A">
        <w:t>s</w:t>
      </w:r>
      <w:r w:rsidR="00D0758B" w:rsidRPr="00FF1633">
        <w:t xml:space="preserve"> </w:t>
      </w:r>
      <w:r w:rsidR="00D0758B" w:rsidRPr="0045523A">
        <w:rPr>
          <w:b/>
          <w:bCs/>
        </w:rPr>
        <w:t>D-F</w:t>
      </w:r>
      <w:r w:rsidR="00D0758B" w:rsidRPr="00FF1633">
        <w:t xml:space="preserve"> show Mutect2 SNV calls that match the reporter list SNVs per dilution sample. SNV counts are shown at the top of each panel, color-coded per patient</w:t>
      </w:r>
      <w:r w:rsidR="00C94E1C" w:rsidRPr="00FF1633">
        <w:t>.</w:t>
      </w:r>
      <w:r w:rsidR="00957559">
        <w:t xml:space="preserve"> </w:t>
      </w:r>
      <w:r w:rsidR="00DE77C3" w:rsidRPr="00FF1633">
        <w:t>White dots indicate entries present in the control sample.</w:t>
      </w:r>
      <w:r w:rsidR="00C94E1C" w:rsidRPr="00FF1633">
        <w:t xml:space="preserve"> Individual MNVs are shown as squares in samples with too few MNV counts to draw a violin.</w:t>
      </w:r>
    </w:p>
    <w:p w14:paraId="51CAA250" w14:textId="77777777" w:rsidR="00D61D2D" w:rsidRDefault="00D61D2D" w:rsidP="00D61D2D">
      <w:pPr>
        <w:pStyle w:val="Bijschrift"/>
        <w:jc w:val="both"/>
        <w:rPr>
          <w:rStyle w:val="Kop2Char"/>
        </w:rPr>
      </w:pPr>
    </w:p>
    <w:p w14:paraId="0ECD03F2" w14:textId="4E1D735F" w:rsidR="00D61D2D" w:rsidRDefault="00D61D2D" w:rsidP="00D61D2D">
      <w:pPr>
        <w:pStyle w:val="Bijschrift"/>
        <w:jc w:val="both"/>
        <w:rPr>
          <w:rStyle w:val="Kop2Char"/>
        </w:rPr>
      </w:pPr>
    </w:p>
    <w:p w14:paraId="3A52CEA8" w14:textId="77777777" w:rsidR="00062777" w:rsidRDefault="00062777" w:rsidP="00062777"/>
    <w:p w14:paraId="7F48D8DB" w14:textId="77777777" w:rsidR="00062777" w:rsidRDefault="00062777" w:rsidP="00062777"/>
    <w:p w14:paraId="13D9CFEC" w14:textId="77777777" w:rsidR="00062777" w:rsidRDefault="00062777" w:rsidP="00062777"/>
    <w:p w14:paraId="00D01374" w14:textId="77777777" w:rsidR="00062777" w:rsidRDefault="00062777" w:rsidP="00062777"/>
    <w:p w14:paraId="0393EAFA" w14:textId="77777777" w:rsidR="00062777" w:rsidRDefault="00062777" w:rsidP="00062777"/>
    <w:p w14:paraId="32C62F28" w14:textId="77777777" w:rsidR="00062777" w:rsidRPr="00D21611" w:rsidRDefault="00062777" w:rsidP="00062777"/>
    <w:p w14:paraId="780BD916" w14:textId="03058E90" w:rsidR="00062777" w:rsidRDefault="009B35BC" w:rsidP="009B35BC">
      <w:r w:rsidRPr="009B35BC">
        <w:rPr>
          <w:noProof/>
        </w:rPr>
        <w:drawing>
          <wp:inline distT="0" distB="0" distL="0" distR="0" wp14:anchorId="073AD82C" wp14:editId="0618AD70">
            <wp:extent cx="5760720" cy="2306320"/>
            <wp:effectExtent l="0" t="0" r="0" b="0"/>
            <wp:docPr id="11827151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15132" name=""/>
                    <pic:cNvPicPr/>
                  </pic:nvPicPr>
                  <pic:blipFill>
                    <a:blip r:embed="rId18"/>
                    <a:stretch>
                      <a:fillRect/>
                    </a:stretch>
                  </pic:blipFill>
                  <pic:spPr>
                    <a:xfrm>
                      <a:off x="0" y="0"/>
                      <a:ext cx="5760720" cy="2306320"/>
                    </a:xfrm>
                    <a:prstGeom prst="rect">
                      <a:avLst/>
                    </a:prstGeom>
                  </pic:spPr>
                </pic:pic>
              </a:graphicData>
            </a:graphic>
          </wp:inline>
        </w:drawing>
      </w:r>
    </w:p>
    <w:p w14:paraId="221E5763" w14:textId="5752F1FF" w:rsidR="00AC5658" w:rsidRDefault="00062777" w:rsidP="0045523A">
      <w:pPr>
        <w:pStyle w:val="Bijschrift"/>
        <w:jc w:val="both"/>
        <w:rPr>
          <w:rStyle w:val="SuppFigTableChar"/>
          <w:b w:val="0"/>
          <w:bCs w:val="0"/>
        </w:rPr>
      </w:pPr>
      <w:bookmarkStart w:id="14" w:name="_Toc241497583"/>
      <w:r w:rsidRPr="002D191A">
        <w:rPr>
          <w:rStyle w:val="SuppFigTableChar"/>
        </w:rPr>
        <w:t>Figure S</w:t>
      </w:r>
      <w:r w:rsidR="00642C79" w:rsidRPr="002D191A">
        <w:rPr>
          <w:rStyle w:val="SuppFigTableChar"/>
        </w:rPr>
        <w:t>8</w:t>
      </w:r>
      <w:r w:rsidRPr="002D191A">
        <w:rPr>
          <w:rStyle w:val="SuppFigTableChar"/>
        </w:rPr>
        <w:t>. Overview of the synthetic benchmark spike-in SNV statistics</w:t>
      </w:r>
      <w:r w:rsidRPr="00DE77C3">
        <w:rPr>
          <w:rStyle w:val="SuppFigTableChar"/>
          <w:b w:val="0"/>
          <w:bCs w:val="0"/>
        </w:rPr>
        <w:t>.</w:t>
      </w:r>
      <w:bookmarkEnd w:id="14"/>
      <w:r w:rsidRPr="00DE77C3">
        <w:rPr>
          <w:rStyle w:val="SuppFigTableChar"/>
          <w:b w:val="0"/>
          <w:bCs w:val="0"/>
        </w:rPr>
        <w:t xml:space="preserve"> </w:t>
      </w:r>
      <w:r w:rsidRPr="009B35BC">
        <w:t xml:space="preserve">Panel </w:t>
      </w:r>
      <w:r w:rsidRPr="0045523A">
        <w:rPr>
          <w:b/>
          <w:bCs/>
        </w:rPr>
        <w:t>A</w:t>
      </w:r>
      <w:r w:rsidR="0045523A">
        <w:t xml:space="preserve">: </w:t>
      </w:r>
      <w:r w:rsidRPr="009B35BC">
        <w:t xml:space="preserve">fraction of spiked-in single nucleotide variants (SNV) </w:t>
      </w:r>
      <w:r w:rsidR="00E34BD5">
        <w:t xml:space="preserve">and 2 SNV-haplotypes </w:t>
      </w:r>
      <w:r w:rsidRPr="009B35BC">
        <w:t xml:space="preserve">present in BAM files per noise group. All SNVs and corresponding MNV haplotypes were spiked in successfully. Panel </w:t>
      </w:r>
      <w:r w:rsidRPr="0045523A">
        <w:rPr>
          <w:b/>
          <w:bCs/>
        </w:rPr>
        <w:t>B</w:t>
      </w:r>
      <w:r w:rsidR="0045523A">
        <w:t xml:space="preserve">: </w:t>
      </w:r>
      <w:r w:rsidRPr="009B35BC">
        <w:t>a violin plot of the realized VAF vs the designed VAF of the spike-in SNVs, with the red dot representing the target designed VAF value. For the lowest spike-in group (100 ppm), the realized VAF is higher than the designed VAF, caused by insufficient read depth at this level to achieve the desired VAF, and this level clusters more closely around ~500</w:t>
      </w:r>
      <w:r w:rsidR="00DE77C3" w:rsidRPr="009B35BC">
        <w:t xml:space="preserve"> </w:t>
      </w:r>
      <w:r w:rsidRPr="009B35BC">
        <w:t>ppm.</w:t>
      </w:r>
      <w:r w:rsidRPr="00DE77C3">
        <w:rPr>
          <w:rStyle w:val="SuppFigTableChar"/>
          <w:b w:val="0"/>
          <w:bCs w:val="0"/>
        </w:rPr>
        <w:t xml:space="preserve">   </w:t>
      </w:r>
    </w:p>
    <w:p w14:paraId="116F1212" w14:textId="39744821" w:rsidR="009B35BC" w:rsidRPr="009B35BC" w:rsidRDefault="009B35BC" w:rsidP="009B35BC">
      <w:r w:rsidRPr="009B35BC">
        <w:rPr>
          <w:noProof/>
        </w:rPr>
        <w:drawing>
          <wp:inline distT="0" distB="0" distL="0" distR="0" wp14:anchorId="3CFFE9A3" wp14:editId="6524D4FE">
            <wp:extent cx="5760720" cy="3359150"/>
            <wp:effectExtent l="0" t="0" r="0" b="0"/>
            <wp:docPr id="16879287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28704" name=""/>
                    <pic:cNvPicPr/>
                  </pic:nvPicPr>
                  <pic:blipFill>
                    <a:blip r:embed="rId19"/>
                    <a:stretch>
                      <a:fillRect/>
                    </a:stretch>
                  </pic:blipFill>
                  <pic:spPr>
                    <a:xfrm>
                      <a:off x="0" y="0"/>
                      <a:ext cx="5760720" cy="3359150"/>
                    </a:xfrm>
                    <a:prstGeom prst="rect">
                      <a:avLst/>
                    </a:prstGeom>
                  </pic:spPr>
                </pic:pic>
              </a:graphicData>
            </a:graphic>
          </wp:inline>
        </w:drawing>
      </w:r>
    </w:p>
    <w:p w14:paraId="5E0A9997" w14:textId="59FD731E" w:rsidR="00F95AB3" w:rsidRDefault="00D61D2D" w:rsidP="00F95AB3">
      <w:pPr>
        <w:pStyle w:val="Bijschrift"/>
        <w:jc w:val="both"/>
        <w:rPr>
          <w:rStyle w:val="Kop2Char"/>
        </w:rPr>
      </w:pPr>
      <w:bookmarkStart w:id="15" w:name="_Toc241497584"/>
      <w:r w:rsidRPr="002D191A">
        <w:rPr>
          <w:rStyle w:val="SuppFigTableChar"/>
        </w:rPr>
        <w:t>Figure S</w:t>
      </w:r>
      <w:r w:rsidR="00642C79" w:rsidRPr="002D191A">
        <w:rPr>
          <w:rStyle w:val="SuppFigTableChar"/>
        </w:rPr>
        <w:t>9</w:t>
      </w:r>
      <w:r w:rsidR="00044AFE">
        <w:rPr>
          <w:rStyle w:val="SuppFigTableChar"/>
        </w:rPr>
        <w:t>.</w:t>
      </w:r>
      <w:r w:rsidRPr="002D191A">
        <w:rPr>
          <w:rStyle w:val="SuppFigTableChar"/>
        </w:rPr>
        <w:t xml:space="preserve"> Overview of false-positive analysis in the MNVista synthetic benchmark for each noise group.</w:t>
      </w:r>
      <w:bookmarkEnd w:id="15"/>
      <w:r w:rsidRPr="00DE77C3">
        <w:t xml:space="preserve"> Panel </w:t>
      </w:r>
      <w:r w:rsidRPr="00786F04">
        <w:rPr>
          <w:b/>
          <w:bCs/>
        </w:rPr>
        <w:t>A</w:t>
      </w:r>
      <w:r w:rsidR="00786F04">
        <w:t>:</w:t>
      </w:r>
      <w:r w:rsidRPr="00DE77C3">
        <w:t xml:space="preserve"> histograms </w:t>
      </w:r>
      <w:r w:rsidR="00E34BD5">
        <w:t xml:space="preserve">of </w:t>
      </w:r>
      <w:r w:rsidRPr="00DE77C3">
        <w:t>true positives (</w:t>
      </w:r>
      <w:r w:rsidR="00131B07" w:rsidRPr="00DE77C3">
        <w:t xml:space="preserve">TP, </w:t>
      </w:r>
      <w:r w:rsidRPr="00DE77C3">
        <w:t>blue) and false</w:t>
      </w:r>
      <w:r w:rsidRPr="00DE77C3">
        <w:t xml:space="preserve"> positives (</w:t>
      </w:r>
      <w:r w:rsidR="00131B07" w:rsidRPr="00DE77C3">
        <w:t xml:space="preserve">FP, </w:t>
      </w:r>
      <w:r w:rsidRPr="00DE77C3">
        <w:t>orange</w:t>
      </w:r>
      <w:r w:rsidR="00E34BD5">
        <w:t>)</w:t>
      </w:r>
      <w:r w:rsidR="00E34BD5" w:rsidRPr="00E34BD5">
        <w:t xml:space="preserve"> </w:t>
      </w:r>
      <w:r w:rsidR="00E34BD5" w:rsidRPr="00DE77C3">
        <w:t>per noise grou</w:t>
      </w:r>
      <w:r w:rsidR="00E34BD5">
        <w:t>p</w:t>
      </w:r>
      <w:r w:rsidRPr="00DE77C3">
        <w:t xml:space="preserve">. The number of </w:t>
      </w:r>
      <w:r w:rsidR="00E34BD5">
        <w:t xml:space="preserve">MNV </w:t>
      </w:r>
      <w:r w:rsidRPr="00DE77C3">
        <w:t xml:space="preserve">calls (y-axis) is shown </w:t>
      </w:r>
      <w:r w:rsidR="00E34BD5">
        <w:t>for</w:t>
      </w:r>
      <w:r w:rsidRPr="00DE77C3">
        <w:t xml:space="preserve"> supporting read</w:t>
      </w:r>
      <w:r w:rsidR="00E34BD5">
        <w:t xml:space="preserve"> bin</w:t>
      </w:r>
      <w:r w:rsidRPr="00DE77C3">
        <w:t>s.</w:t>
      </w:r>
      <w:r w:rsidR="00F95AB3" w:rsidRPr="00DE77C3">
        <w:t xml:space="preserve"> FPs are mostly supported by only 1 read. </w:t>
      </w:r>
      <w:r w:rsidRPr="00DE77C3">
        <w:t xml:space="preserve"> Panel </w:t>
      </w:r>
      <w:r w:rsidRPr="00786F04">
        <w:rPr>
          <w:b/>
          <w:bCs/>
        </w:rPr>
        <w:t>B</w:t>
      </w:r>
      <w:r w:rsidR="00786F04">
        <w:t xml:space="preserve">: </w:t>
      </w:r>
      <w:r w:rsidRPr="00DE77C3">
        <w:t>fraction of calls retained per threshold value for minimum supporting number of reads</w:t>
      </w:r>
      <w:r w:rsidR="00131B07" w:rsidRPr="00DE77C3">
        <w:t xml:space="preserve">. </w:t>
      </w:r>
      <w:r w:rsidR="00E34BD5">
        <w:t xml:space="preserve">The recall percentage of </w:t>
      </w:r>
      <w:r w:rsidR="00131B07" w:rsidRPr="00DE77C3">
        <w:t xml:space="preserve">TPs </w:t>
      </w:r>
      <w:r w:rsidR="00E34BD5">
        <w:t>is</w:t>
      </w:r>
      <w:r w:rsidR="00131B07" w:rsidRPr="00DE77C3">
        <w:t xml:space="preserve"> </w:t>
      </w:r>
      <w:r w:rsidR="00AC5658" w:rsidRPr="00DE77C3">
        <w:t xml:space="preserve">&gt;99.7% </w:t>
      </w:r>
      <w:r w:rsidR="00131B07" w:rsidRPr="00DE77C3">
        <w:t xml:space="preserve">even </w:t>
      </w:r>
      <w:r w:rsidR="00E34BD5">
        <w:t>when applying</w:t>
      </w:r>
      <w:r w:rsidR="00E34BD5" w:rsidRPr="00DE77C3">
        <w:t xml:space="preserve"> </w:t>
      </w:r>
      <w:r w:rsidR="00131B07" w:rsidRPr="00DE77C3">
        <w:t xml:space="preserve">a minimum </w:t>
      </w:r>
      <w:r w:rsidR="00E34BD5">
        <w:t xml:space="preserve">criterion </w:t>
      </w:r>
      <w:r w:rsidR="00131B07" w:rsidRPr="00DE77C3">
        <w:t xml:space="preserve">of 3 supporting reads, while FPs are reduced dramatically when increasing the threshold </w:t>
      </w:r>
      <w:r w:rsidR="005B0985">
        <w:t>of at least 2</w:t>
      </w:r>
      <w:r w:rsidR="00131B07" w:rsidRPr="00DE77C3">
        <w:t xml:space="preserve"> supporting read</w:t>
      </w:r>
      <w:r w:rsidR="005B0985">
        <w:t>s</w:t>
      </w:r>
      <w:r w:rsidR="00131B07" w:rsidRPr="00DE77C3">
        <w:t>.</w:t>
      </w:r>
      <w:r w:rsidR="00F95AB3" w:rsidRPr="007360EF">
        <w:rPr>
          <w:rStyle w:val="Kop2Char"/>
        </w:rPr>
        <w:t xml:space="preserve"> </w:t>
      </w:r>
    </w:p>
    <w:p w14:paraId="036A861D" w14:textId="77777777" w:rsidR="00F95AB3" w:rsidRDefault="00F95AB3" w:rsidP="009B35BC">
      <w:pPr>
        <w:rPr>
          <w:rStyle w:val="Kop2Char"/>
        </w:rPr>
      </w:pPr>
    </w:p>
    <w:p w14:paraId="506C1A8A" w14:textId="3737A84D" w:rsidR="009B35BC" w:rsidRPr="009B35BC" w:rsidRDefault="009B35BC" w:rsidP="009B35BC">
      <w:r w:rsidRPr="009B35BC">
        <w:rPr>
          <w:noProof/>
        </w:rPr>
        <w:drawing>
          <wp:inline distT="0" distB="0" distL="0" distR="0" wp14:anchorId="6D406969" wp14:editId="625CC80A">
            <wp:extent cx="5760720" cy="4717415"/>
            <wp:effectExtent l="0" t="0" r="0" b="6985"/>
            <wp:docPr id="16107808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780838" name=""/>
                    <pic:cNvPicPr/>
                  </pic:nvPicPr>
                  <pic:blipFill>
                    <a:blip r:embed="rId20"/>
                    <a:stretch>
                      <a:fillRect/>
                    </a:stretch>
                  </pic:blipFill>
                  <pic:spPr>
                    <a:xfrm>
                      <a:off x="0" y="0"/>
                      <a:ext cx="5760720" cy="4717415"/>
                    </a:xfrm>
                    <a:prstGeom prst="rect">
                      <a:avLst/>
                    </a:prstGeom>
                  </pic:spPr>
                </pic:pic>
              </a:graphicData>
            </a:graphic>
          </wp:inline>
        </w:drawing>
      </w:r>
    </w:p>
    <w:p w14:paraId="115A7FD3" w14:textId="22A80D43" w:rsidR="00CC4CB0" w:rsidRDefault="00F95AB3" w:rsidP="00CC4CB0">
      <w:pPr>
        <w:pStyle w:val="Bijschrift"/>
        <w:jc w:val="both"/>
        <w:rPr>
          <w:rStyle w:val="Kop2Char"/>
        </w:rPr>
      </w:pPr>
      <w:bookmarkStart w:id="16" w:name="_Toc241497585"/>
      <w:r w:rsidRPr="002D191A">
        <w:rPr>
          <w:rStyle w:val="SuppFigTableChar"/>
        </w:rPr>
        <w:t>Figure S</w:t>
      </w:r>
      <w:r w:rsidR="00A9228F" w:rsidRPr="002D191A">
        <w:rPr>
          <w:rStyle w:val="SuppFigTableChar"/>
        </w:rPr>
        <w:t>1</w:t>
      </w:r>
      <w:r w:rsidR="00642C79" w:rsidRPr="002D191A">
        <w:rPr>
          <w:rStyle w:val="SuppFigTableChar"/>
        </w:rPr>
        <w:t>0</w:t>
      </w:r>
      <w:r w:rsidR="00DE77C3" w:rsidRPr="002D191A">
        <w:rPr>
          <w:rStyle w:val="SuppFigTableChar"/>
        </w:rPr>
        <w:t>.</w:t>
      </w:r>
      <w:r w:rsidRPr="002D191A">
        <w:rPr>
          <w:rStyle w:val="SuppFigTableChar"/>
        </w:rPr>
        <w:t xml:space="preserve"> </w:t>
      </w:r>
      <w:r w:rsidR="007665B3" w:rsidRPr="002D191A">
        <w:rPr>
          <w:rStyle w:val="SuppFigTableChar"/>
        </w:rPr>
        <w:t>P</w:t>
      </w:r>
      <w:r w:rsidRPr="002D191A">
        <w:rPr>
          <w:rStyle w:val="SuppFigTableChar"/>
        </w:rPr>
        <w:t>rior sensitivity analysis in a baseline setting for both priors (-P and -E) for three values (0.01, 0.1, 0.5) resulting in a grid space of 9 points per each noise group.</w:t>
      </w:r>
      <w:bookmarkEnd w:id="16"/>
      <w:r w:rsidRPr="009C5724">
        <w:rPr>
          <w:b/>
          <w:bCs/>
        </w:rPr>
        <w:t xml:space="preserve"> </w:t>
      </w:r>
      <w:r w:rsidRPr="001C4B05">
        <w:t>The prior -P is shown on the x-axis, while each row of sub-figures indicate an ascending -E value (top to bottom). The colored lines indicate the precision, recall, and F1 score. The choice of priors has minimal effect on the benchmark results.</w:t>
      </w:r>
      <w:r w:rsidR="00CC4CB0" w:rsidRPr="00C625D0">
        <w:rPr>
          <w:rStyle w:val="Kop2Char"/>
        </w:rPr>
        <w:t xml:space="preserve"> </w:t>
      </w:r>
    </w:p>
    <w:p w14:paraId="50D1037C" w14:textId="79D0488C" w:rsidR="009B35BC" w:rsidRPr="009B35BC" w:rsidRDefault="009B35BC" w:rsidP="009B35BC">
      <w:r w:rsidRPr="009B35BC">
        <w:rPr>
          <w:noProof/>
        </w:rPr>
        <w:lastRenderedPageBreak/>
        <w:drawing>
          <wp:inline distT="0" distB="0" distL="0" distR="0" wp14:anchorId="467C0F95" wp14:editId="2BAD0E83">
            <wp:extent cx="5760720" cy="3707765"/>
            <wp:effectExtent l="0" t="0" r="0" b="6985"/>
            <wp:docPr id="708846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46458" name=""/>
                    <pic:cNvPicPr/>
                  </pic:nvPicPr>
                  <pic:blipFill>
                    <a:blip r:embed="rId21"/>
                    <a:stretch>
                      <a:fillRect/>
                    </a:stretch>
                  </pic:blipFill>
                  <pic:spPr>
                    <a:xfrm>
                      <a:off x="0" y="0"/>
                      <a:ext cx="5760720" cy="3707765"/>
                    </a:xfrm>
                    <a:prstGeom prst="rect">
                      <a:avLst/>
                    </a:prstGeom>
                  </pic:spPr>
                </pic:pic>
              </a:graphicData>
            </a:graphic>
          </wp:inline>
        </w:drawing>
      </w:r>
    </w:p>
    <w:p w14:paraId="34AC21D0" w14:textId="5ADD0795" w:rsidR="00CC4CB0" w:rsidRPr="00DE77C3" w:rsidRDefault="00CC4CB0" w:rsidP="00CC4CB0">
      <w:pPr>
        <w:pStyle w:val="Bijschrift"/>
        <w:jc w:val="both"/>
        <w:rPr>
          <w:b/>
          <w:bCs/>
        </w:rPr>
      </w:pPr>
      <w:bookmarkStart w:id="17" w:name="_Toc241497586"/>
      <w:r w:rsidRPr="002D191A">
        <w:rPr>
          <w:rStyle w:val="SuppFigTableChar"/>
        </w:rPr>
        <w:t>Figure S</w:t>
      </w:r>
      <w:r w:rsidR="00910EA5" w:rsidRPr="002D191A">
        <w:rPr>
          <w:rStyle w:val="SuppFigTableChar"/>
        </w:rPr>
        <w:t>1</w:t>
      </w:r>
      <w:r w:rsidR="00642C79" w:rsidRPr="002D191A">
        <w:rPr>
          <w:rStyle w:val="SuppFigTableChar"/>
        </w:rPr>
        <w:t>1</w:t>
      </w:r>
      <w:r w:rsidRPr="002D191A">
        <w:rPr>
          <w:rStyle w:val="SuppFigTableChar"/>
        </w:rPr>
        <w:t xml:space="preserve">. Stratification of recall </w:t>
      </w:r>
      <w:r w:rsidR="005B0985">
        <w:rPr>
          <w:rStyle w:val="SuppFigTableChar"/>
        </w:rPr>
        <w:t xml:space="preserve">fractions </w:t>
      </w:r>
      <w:r w:rsidRPr="002D191A">
        <w:rPr>
          <w:rStyle w:val="SuppFigTableChar"/>
        </w:rPr>
        <w:t>per sample</w:t>
      </w:r>
      <w:r w:rsidR="00276DC2" w:rsidRPr="002D191A">
        <w:rPr>
          <w:rStyle w:val="SuppFigTableChar"/>
        </w:rPr>
        <w:t xml:space="preserve"> and noise group</w:t>
      </w:r>
      <w:r w:rsidRPr="002D191A">
        <w:rPr>
          <w:rStyle w:val="SuppFigTableChar"/>
        </w:rPr>
        <w:t xml:space="preserve"> </w:t>
      </w:r>
      <w:r w:rsidR="005B0985">
        <w:rPr>
          <w:rStyle w:val="SuppFigTableChar"/>
        </w:rPr>
        <w:t>per</w:t>
      </w:r>
      <w:r w:rsidRPr="002D191A">
        <w:rPr>
          <w:rStyle w:val="SuppFigTableChar"/>
        </w:rPr>
        <w:t xml:space="preserve"> spike-in VAF level</w:t>
      </w:r>
      <w:r w:rsidR="005B0985">
        <w:rPr>
          <w:rStyle w:val="SuppFigTableChar"/>
        </w:rPr>
        <w:t xml:space="preserve"> subgroup</w:t>
      </w:r>
      <w:r w:rsidRPr="002D191A">
        <w:rPr>
          <w:rStyle w:val="SuppFigTableChar"/>
        </w:rPr>
        <w:t xml:space="preserve"> (A), inter-SNV span of MNVs (B), locus read depth (C) and number of supporting reads (D)</w:t>
      </w:r>
      <w:r w:rsidR="00276DC2" w:rsidRPr="002D191A">
        <w:rPr>
          <w:rStyle w:val="SuppFigTableChar"/>
        </w:rPr>
        <w:t>.</w:t>
      </w:r>
      <w:bookmarkEnd w:id="17"/>
      <w:r w:rsidR="00276DC2" w:rsidRPr="002D191A">
        <w:rPr>
          <w:rStyle w:val="SuppFigTableChar"/>
        </w:rPr>
        <w:t xml:space="preserve"> </w:t>
      </w:r>
      <w:r w:rsidR="00276DC2" w:rsidRPr="009B35BC">
        <w:t xml:space="preserve">For Panel </w:t>
      </w:r>
      <w:r w:rsidR="00276DC2" w:rsidRPr="007469C9">
        <w:rPr>
          <w:b/>
          <w:bCs/>
        </w:rPr>
        <w:t>B</w:t>
      </w:r>
      <w:r w:rsidR="00276DC2" w:rsidRPr="009B35BC">
        <w:t xml:space="preserve">, </w:t>
      </w:r>
      <w:r w:rsidR="00276DC2" w:rsidRPr="007469C9">
        <w:rPr>
          <w:b/>
          <w:bCs/>
        </w:rPr>
        <w:t>C</w:t>
      </w:r>
      <w:r w:rsidR="00276DC2" w:rsidRPr="009B35BC">
        <w:t xml:space="preserve">, and </w:t>
      </w:r>
      <w:r w:rsidR="00276DC2" w:rsidRPr="007469C9">
        <w:rPr>
          <w:b/>
          <w:bCs/>
        </w:rPr>
        <w:t>D</w:t>
      </w:r>
      <w:r w:rsidR="00276DC2" w:rsidRPr="009B35BC">
        <w:t>, bins were evenly divided, with the group span and n denoted on the x-axis. No trend and minimal effect on the resulting recall is observed from the stratification for each noise group.</w:t>
      </w:r>
    </w:p>
    <w:p w14:paraId="66239724" w14:textId="77777777" w:rsidR="005F080A" w:rsidRDefault="005F080A" w:rsidP="001C0BC8"/>
    <w:p w14:paraId="7BE10D30" w14:textId="1D985AB8" w:rsidR="005F080A" w:rsidRDefault="009F4311" w:rsidP="005F080A">
      <w:pPr>
        <w:pStyle w:val="Kop1"/>
      </w:pPr>
      <w:r>
        <w:br w:type="column"/>
      </w:r>
      <w:bookmarkStart w:id="18" w:name="_Toc212814315"/>
      <w:bookmarkStart w:id="19" w:name="_Toc214965009"/>
      <w:bookmarkStart w:id="20" w:name="_Toc241497587"/>
      <w:r w:rsidR="005F080A">
        <w:lastRenderedPageBreak/>
        <w:t>Supplementary tables</w:t>
      </w:r>
      <w:bookmarkEnd w:id="18"/>
      <w:bookmarkEnd w:id="19"/>
      <w:bookmarkEnd w:id="20"/>
    </w:p>
    <w:p w14:paraId="5718EFC2" w14:textId="1D6A25D1" w:rsidR="004E38B7" w:rsidRDefault="004E38B7" w:rsidP="004E38B7"/>
    <w:p w14:paraId="3C37CC25" w14:textId="410826FB" w:rsidR="004E38B7" w:rsidRPr="00FE07EE" w:rsidRDefault="004E38B7" w:rsidP="004E38B7">
      <w:pPr>
        <w:pStyle w:val="SuppFigTable"/>
      </w:pPr>
      <w:bookmarkStart w:id="21" w:name="_Toc241497588"/>
      <w:r w:rsidRPr="002C1314">
        <w:rPr>
          <w:rStyle w:val="SuppFigTableChar"/>
          <w:b/>
          <w:bCs/>
        </w:rPr>
        <w:t>Table S1</w:t>
      </w:r>
      <w:r w:rsidRPr="002C1314">
        <w:rPr>
          <w:b w:val="0"/>
          <w:bCs w:val="0"/>
        </w:rPr>
        <w:t>.</w:t>
      </w:r>
      <w:r>
        <w:t xml:space="preserve"> Overview of all samples used in the analyses and their respective dataset</w:t>
      </w:r>
      <w:bookmarkEnd w:id="21"/>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3280"/>
        <w:gridCol w:w="2080"/>
        <w:gridCol w:w="2646"/>
      </w:tblGrid>
      <w:tr w:rsidR="004E38B7" w:rsidRPr="00BD4DB1" w14:paraId="19B7E325" w14:textId="77777777" w:rsidTr="00C11129">
        <w:trPr>
          <w:trHeight w:val="300"/>
        </w:trPr>
        <w:tc>
          <w:tcPr>
            <w:tcW w:w="1061" w:type="dxa"/>
            <w:noWrap/>
            <w:vAlign w:val="bottom"/>
            <w:hideMark/>
          </w:tcPr>
          <w:p w14:paraId="465E7F23" w14:textId="77777777" w:rsidR="004E38B7" w:rsidRPr="001C4B05" w:rsidRDefault="004E38B7" w:rsidP="00C11129">
            <w:pPr>
              <w:spacing w:after="0" w:line="240" w:lineRule="auto"/>
              <w:rPr>
                <w:rFonts w:ascii="Calibri" w:eastAsia="Times New Roman" w:hAnsi="Calibri" w:cs="Calibri"/>
                <w:b/>
                <w:bCs/>
                <w:color w:val="000000"/>
                <w:kern w:val="0"/>
                <w:sz w:val="21"/>
                <w:szCs w:val="21"/>
                <w14:ligatures w14:val="none"/>
              </w:rPr>
            </w:pPr>
            <w:r w:rsidRPr="001C4B05">
              <w:rPr>
                <w:rFonts w:ascii="Calibri" w:eastAsia="Times New Roman" w:hAnsi="Calibri" w:cs="Calibri"/>
                <w:b/>
                <w:bCs/>
                <w:color w:val="000000"/>
                <w:kern w:val="0"/>
                <w:sz w:val="21"/>
                <w:szCs w:val="21"/>
                <w14:ligatures w14:val="none"/>
              </w:rPr>
              <w:t>Sample</w:t>
            </w:r>
          </w:p>
        </w:tc>
        <w:tc>
          <w:tcPr>
            <w:tcW w:w="3280" w:type="dxa"/>
            <w:noWrap/>
            <w:vAlign w:val="bottom"/>
            <w:hideMark/>
          </w:tcPr>
          <w:p w14:paraId="32403ABB" w14:textId="77777777" w:rsidR="004E38B7" w:rsidRPr="001C4B05" w:rsidRDefault="004E38B7" w:rsidP="00C11129">
            <w:pPr>
              <w:spacing w:after="0" w:line="240" w:lineRule="auto"/>
              <w:rPr>
                <w:rFonts w:ascii="Calibri" w:eastAsia="Times New Roman" w:hAnsi="Calibri" w:cs="Calibri"/>
                <w:b/>
                <w:bCs/>
                <w:color w:val="000000"/>
                <w:kern w:val="0"/>
                <w:sz w:val="21"/>
                <w:szCs w:val="21"/>
                <w14:ligatures w14:val="none"/>
              </w:rPr>
            </w:pPr>
            <w:r w:rsidRPr="001C4B05">
              <w:rPr>
                <w:rFonts w:ascii="Calibri" w:eastAsia="Times New Roman" w:hAnsi="Calibri" w:cs="Calibri"/>
                <w:b/>
                <w:bCs/>
                <w:color w:val="000000"/>
                <w:kern w:val="0"/>
                <w:sz w:val="21"/>
                <w:szCs w:val="21"/>
                <w14:ligatures w14:val="none"/>
              </w:rPr>
              <w:t>Dataset</w:t>
            </w:r>
          </w:p>
        </w:tc>
        <w:tc>
          <w:tcPr>
            <w:tcW w:w="2080" w:type="dxa"/>
            <w:noWrap/>
            <w:vAlign w:val="bottom"/>
            <w:hideMark/>
          </w:tcPr>
          <w:p w14:paraId="6519E9AE" w14:textId="77777777" w:rsidR="004E38B7" w:rsidRPr="001C4B05" w:rsidRDefault="004E38B7" w:rsidP="00C11129">
            <w:pPr>
              <w:spacing w:after="0" w:line="240" w:lineRule="auto"/>
              <w:rPr>
                <w:rFonts w:ascii="Calibri" w:eastAsia="Times New Roman" w:hAnsi="Calibri" w:cs="Calibri"/>
                <w:b/>
                <w:bCs/>
                <w:color w:val="000000"/>
                <w:kern w:val="0"/>
                <w:sz w:val="21"/>
                <w:szCs w:val="21"/>
                <w14:ligatures w14:val="none"/>
              </w:rPr>
            </w:pPr>
            <w:r w:rsidRPr="001C4B05">
              <w:rPr>
                <w:rFonts w:ascii="Calibri" w:eastAsia="Times New Roman" w:hAnsi="Calibri" w:cs="Calibri"/>
                <w:b/>
                <w:bCs/>
                <w:color w:val="000000"/>
                <w:kern w:val="0"/>
                <w:sz w:val="21"/>
                <w:szCs w:val="21"/>
                <w14:ligatures w14:val="none"/>
              </w:rPr>
              <w:t>Used for</w:t>
            </w:r>
          </w:p>
        </w:tc>
        <w:tc>
          <w:tcPr>
            <w:tcW w:w="2646" w:type="dxa"/>
            <w:noWrap/>
            <w:vAlign w:val="bottom"/>
            <w:hideMark/>
          </w:tcPr>
          <w:p w14:paraId="2E269892" w14:textId="77777777" w:rsidR="004E38B7" w:rsidRPr="001C4B05" w:rsidRDefault="004E38B7" w:rsidP="00C11129">
            <w:pPr>
              <w:spacing w:after="0" w:line="240" w:lineRule="auto"/>
              <w:rPr>
                <w:rFonts w:ascii="Calibri" w:eastAsia="Times New Roman" w:hAnsi="Calibri" w:cs="Calibri"/>
                <w:b/>
                <w:bCs/>
                <w:color w:val="000000"/>
                <w:kern w:val="0"/>
                <w:sz w:val="21"/>
                <w:szCs w:val="21"/>
                <w14:ligatures w14:val="none"/>
              </w:rPr>
            </w:pPr>
            <w:r w:rsidRPr="001C4B05">
              <w:rPr>
                <w:rFonts w:ascii="Calibri" w:eastAsia="Times New Roman" w:hAnsi="Calibri" w:cs="Calibri"/>
                <w:b/>
                <w:bCs/>
                <w:color w:val="000000"/>
                <w:kern w:val="0"/>
                <w:sz w:val="21"/>
                <w:szCs w:val="21"/>
                <w14:ligatures w14:val="none"/>
              </w:rPr>
              <w:t>Tumor fraction</w:t>
            </w:r>
          </w:p>
        </w:tc>
      </w:tr>
      <w:tr w:rsidR="004E38B7" w:rsidRPr="00BD4DB1" w14:paraId="1515E8B2" w14:textId="77777777" w:rsidTr="00C11129">
        <w:trPr>
          <w:trHeight w:val="300"/>
        </w:trPr>
        <w:tc>
          <w:tcPr>
            <w:tcW w:w="1061" w:type="dxa"/>
            <w:noWrap/>
            <w:vAlign w:val="bottom"/>
            <w:hideMark/>
          </w:tcPr>
          <w:p w14:paraId="3E91CE92"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S1</w:t>
            </w:r>
            <w:r>
              <w:rPr>
                <w:rFonts w:ascii="Calibri" w:eastAsia="Times New Roman" w:hAnsi="Calibri" w:cs="Calibri"/>
                <w:color w:val="000000"/>
                <w:kern w:val="0"/>
                <w:sz w:val="21"/>
                <w:szCs w:val="21"/>
                <w14:ligatures w14:val="none"/>
              </w:rPr>
              <w:t>*</w:t>
            </w:r>
          </w:p>
        </w:tc>
        <w:tc>
          <w:tcPr>
            <w:tcW w:w="3280" w:type="dxa"/>
            <w:noWrap/>
            <w:vAlign w:val="bottom"/>
            <w:hideMark/>
          </w:tcPr>
          <w:p w14:paraId="7AAE7F7E"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In-house DLBCL cfDNA</w:t>
            </w:r>
          </w:p>
        </w:tc>
        <w:tc>
          <w:tcPr>
            <w:tcW w:w="2080" w:type="dxa"/>
            <w:noWrap/>
            <w:vAlign w:val="bottom"/>
            <w:hideMark/>
          </w:tcPr>
          <w:p w14:paraId="135DF76B"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Synthetic benchmark</w:t>
            </w:r>
          </w:p>
        </w:tc>
        <w:tc>
          <w:tcPr>
            <w:tcW w:w="2646" w:type="dxa"/>
            <w:noWrap/>
            <w:vAlign w:val="bottom"/>
            <w:hideMark/>
          </w:tcPr>
          <w:p w14:paraId="16E9740E"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Spiked, 100 ppm</w:t>
            </w:r>
            <w:r w:rsidRPr="001B57D5">
              <w:t xml:space="preserve"> </w:t>
            </w:r>
            <w:r w:rsidRPr="001B57D5">
              <w:rPr>
                <w:rFonts w:ascii="Calibri" w:eastAsia="Times New Roman" w:hAnsi="Calibri" w:cs="Calibri"/>
                <w:color w:val="000000"/>
                <w:kern w:val="0"/>
                <w:sz w:val="21"/>
                <w:szCs w:val="21"/>
                <w14:ligatures w14:val="none"/>
              </w:rPr>
              <w:t>–</w:t>
            </w:r>
            <w:r w:rsidRPr="00BD4DB1">
              <w:rPr>
                <w:rFonts w:ascii="Calibri" w:eastAsia="Times New Roman" w:hAnsi="Calibri" w:cs="Calibri"/>
                <w:color w:val="000000"/>
                <w:kern w:val="0"/>
                <w:sz w:val="21"/>
                <w:szCs w:val="21"/>
                <w14:ligatures w14:val="none"/>
              </w:rPr>
              <w:t>10%</w:t>
            </w:r>
          </w:p>
        </w:tc>
      </w:tr>
      <w:tr w:rsidR="004E38B7" w:rsidRPr="00BD4DB1" w14:paraId="5F43F924" w14:textId="77777777" w:rsidTr="00C11129">
        <w:trPr>
          <w:trHeight w:val="300"/>
        </w:trPr>
        <w:tc>
          <w:tcPr>
            <w:tcW w:w="1061" w:type="dxa"/>
            <w:noWrap/>
            <w:vAlign w:val="bottom"/>
            <w:hideMark/>
          </w:tcPr>
          <w:p w14:paraId="048CC391"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S2</w:t>
            </w:r>
            <w:r>
              <w:rPr>
                <w:rFonts w:ascii="Calibri" w:eastAsia="Times New Roman" w:hAnsi="Calibri" w:cs="Calibri"/>
                <w:color w:val="000000"/>
                <w:kern w:val="0"/>
                <w:sz w:val="21"/>
                <w:szCs w:val="21"/>
                <w14:ligatures w14:val="none"/>
              </w:rPr>
              <w:t>*</w:t>
            </w:r>
          </w:p>
        </w:tc>
        <w:tc>
          <w:tcPr>
            <w:tcW w:w="3280" w:type="dxa"/>
            <w:noWrap/>
            <w:vAlign w:val="bottom"/>
            <w:hideMark/>
          </w:tcPr>
          <w:p w14:paraId="27374F6B"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In-house DLBCL cfDNA</w:t>
            </w:r>
          </w:p>
        </w:tc>
        <w:tc>
          <w:tcPr>
            <w:tcW w:w="2080" w:type="dxa"/>
            <w:noWrap/>
            <w:vAlign w:val="bottom"/>
            <w:hideMark/>
          </w:tcPr>
          <w:p w14:paraId="0FEE8920"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Synthetic benchmark</w:t>
            </w:r>
          </w:p>
        </w:tc>
        <w:tc>
          <w:tcPr>
            <w:tcW w:w="2646" w:type="dxa"/>
            <w:noWrap/>
            <w:vAlign w:val="bottom"/>
            <w:hideMark/>
          </w:tcPr>
          <w:p w14:paraId="4D0F4E84"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Spiked, 100 ppm</w:t>
            </w:r>
            <w:r w:rsidRPr="001B57D5">
              <w:t xml:space="preserve"> </w:t>
            </w:r>
            <w:r w:rsidRPr="001B57D5">
              <w:rPr>
                <w:rFonts w:ascii="Calibri" w:eastAsia="Times New Roman" w:hAnsi="Calibri" w:cs="Calibri"/>
                <w:color w:val="000000"/>
                <w:kern w:val="0"/>
                <w:sz w:val="21"/>
                <w:szCs w:val="21"/>
                <w14:ligatures w14:val="none"/>
              </w:rPr>
              <w:t>–</w:t>
            </w:r>
            <w:r w:rsidRPr="00BD4DB1">
              <w:rPr>
                <w:rFonts w:ascii="Calibri" w:eastAsia="Times New Roman" w:hAnsi="Calibri" w:cs="Calibri"/>
                <w:color w:val="000000"/>
                <w:kern w:val="0"/>
                <w:sz w:val="21"/>
                <w:szCs w:val="21"/>
                <w14:ligatures w14:val="none"/>
              </w:rPr>
              <w:t>10%</w:t>
            </w:r>
          </w:p>
        </w:tc>
      </w:tr>
      <w:tr w:rsidR="004E38B7" w:rsidRPr="00BD4DB1" w14:paraId="076C2442" w14:textId="77777777" w:rsidTr="00C11129">
        <w:trPr>
          <w:trHeight w:val="300"/>
        </w:trPr>
        <w:tc>
          <w:tcPr>
            <w:tcW w:w="1061" w:type="dxa"/>
            <w:noWrap/>
            <w:vAlign w:val="bottom"/>
            <w:hideMark/>
          </w:tcPr>
          <w:p w14:paraId="4DB9B617"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S3</w:t>
            </w:r>
            <w:r>
              <w:rPr>
                <w:rFonts w:ascii="Calibri" w:eastAsia="Times New Roman" w:hAnsi="Calibri" w:cs="Calibri"/>
                <w:color w:val="000000"/>
                <w:kern w:val="0"/>
                <w:sz w:val="21"/>
                <w:szCs w:val="21"/>
                <w14:ligatures w14:val="none"/>
              </w:rPr>
              <w:t>*</w:t>
            </w:r>
          </w:p>
        </w:tc>
        <w:tc>
          <w:tcPr>
            <w:tcW w:w="3280" w:type="dxa"/>
            <w:noWrap/>
            <w:vAlign w:val="bottom"/>
            <w:hideMark/>
          </w:tcPr>
          <w:p w14:paraId="688B6C4A"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In-house DLBCL cfDNA</w:t>
            </w:r>
          </w:p>
        </w:tc>
        <w:tc>
          <w:tcPr>
            <w:tcW w:w="2080" w:type="dxa"/>
            <w:noWrap/>
            <w:vAlign w:val="bottom"/>
            <w:hideMark/>
          </w:tcPr>
          <w:p w14:paraId="47C64E37"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Synthetic benchmark</w:t>
            </w:r>
          </w:p>
        </w:tc>
        <w:tc>
          <w:tcPr>
            <w:tcW w:w="2646" w:type="dxa"/>
            <w:noWrap/>
            <w:vAlign w:val="bottom"/>
            <w:hideMark/>
          </w:tcPr>
          <w:p w14:paraId="1DB36D13"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Spiked, 100 ppm</w:t>
            </w:r>
            <w:r w:rsidRPr="001B57D5">
              <w:t xml:space="preserve"> </w:t>
            </w:r>
            <w:r w:rsidRPr="001B57D5">
              <w:rPr>
                <w:rFonts w:ascii="Calibri" w:eastAsia="Times New Roman" w:hAnsi="Calibri" w:cs="Calibri"/>
                <w:color w:val="000000"/>
                <w:kern w:val="0"/>
                <w:sz w:val="21"/>
                <w:szCs w:val="21"/>
                <w14:ligatures w14:val="none"/>
              </w:rPr>
              <w:t>–</w:t>
            </w:r>
            <w:r w:rsidRPr="00BD4DB1">
              <w:rPr>
                <w:rFonts w:ascii="Calibri" w:eastAsia="Times New Roman" w:hAnsi="Calibri" w:cs="Calibri"/>
                <w:color w:val="000000"/>
                <w:kern w:val="0"/>
                <w:sz w:val="21"/>
                <w:szCs w:val="21"/>
                <w14:ligatures w14:val="none"/>
              </w:rPr>
              <w:t>10%</w:t>
            </w:r>
          </w:p>
        </w:tc>
      </w:tr>
      <w:tr w:rsidR="004E38B7" w:rsidRPr="00BD4DB1" w14:paraId="72DDE035" w14:textId="77777777" w:rsidTr="00C11129">
        <w:trPr>
          <w:trHeight w:val="300"/>
        </w:trPr>
        <w:tc>
          <w:tcPr>
            <w:tcW w:w="1061" w:type="dxa"/>
            <w:noWrap/>
            <w:vAlign w:val="bottom"/>
            <w:hideMark/>
          </w:tcPr>
          <w:p w14:paraId="5AB7ADD9"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S4</w:t>
            </w:r>
            <w:r>
              <w:rPr>
                <w:rFonts w:ascii="Calibri" w:eastAsia="Times New Roman" w:hAnsi="Calibri" w:cs="Calibri"/>
                <w:color w:val="000000"/>
                <w:kern w:val="0"/>
                <w:sz w:val="21"/>
                <w:szCs w:val="21"/>
                <w14:ligatures w14:val="none"/>
              </w:rPr>
              <w:t>*</w:t>
            </w:r>
          </w:p>
        </w:tc>
        <w:tc>
          <w:tcPr>
            <w:tcW w:w="3280" w:type="dxa"/>
            <w:noWrap/>
            <w:vAlign w:val="bottom"/>
            <w:hideMark/>
          </w:tcPr>
          <w:p w14:paraId="53954EAC"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In-house DLBCL cfDNA</w:t>
            </w:r>
          </w:p>
        </w:tc>
        <w:tc>
          <w:tcPr>
            <w:tcW w:w="2080" w:type="dxa"/>
            <w:noWrap/>
            <w:vAlign w:val="bottom"/>
            <w:hideMark/>
          </w:tcPr>
          <w:p w14:paraId="21F80B75"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Synthetic benchmark</w:t>
            </w:r>
          </w:p>
        </w:tc>
        <w:tc>
          <w:tcPr>
            <w:tcW w:w="2646" w:type="dxa"/>
            <w:noWrap/>
            <w:vAlign w:val="bottom"/>
            <w:hideMark/>
          </w:tcPr>
          <w:p w14:paraId="43DC3B5B"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Spiked, 100 ppm</w:t>
            </w:r>
            <w:r w:rsidRPr="001B57D5">
              <w:t xml:space="preserve"> </w:t>
            </w:r>
            <w:r w:rsidRPr="001B57D5">
              <w:rPr>
                <w:rFonts w:ascii="Calibri" w:eastAsia="Times New Roman" w:hAnsi="Calibri" w:cs="Calibri"/>
                <w:color w:val="000000"/>
                <w:kern w:val="0"/>
                <w:sz w:val="21"/>
                <w:szCs w:val="21"/>
                <w14:ligatures w14:val="none"/>
              </w:rPr>
              <w:t>–</w:t>
            </w:r>
            <w:r w:rsidRPr="00BD4DB1">
              <w:rPr>
                <w:rFonts w:ascii="Calibri" w:eastAsia="Times New Roman" w:hAnsi="Calibri" w:cs="Calibri"/>
                <w:color w:val="000000"/>
                <w:kern w:val="0"/>
                <w:sz w:val="21"/>
                <w:szCs w:val="21"/>
                <w14:ligatures w14:val="none"/>
              </w:rPr>
              <w:t>10%</w:t>
            </w:r>
          </w:p>
        </w:tc>
      </w:tr>
      <w:tr w:rsidR="004E38B7" w:rsidRPr="00BD4DB1" w14:paraId="52A81BEF" w14:textId="77777777" w:rsidTr="00C11129">
        <w:trPr>
          <w:trHeight w:val="300"/>
        </w:trPr>
        <w:tc>
          <w:tcPr>
            <w:tcW w:w="1061" w:type="dxa"/>
            <w:noWrap/>
            <w:vAlign w:val="bottom"/>
            <w:hideMark/>
          </w:tcPr>
          <w:p w14:paraId="44EF3C67"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S5</w:t>
            </w:r>
            <w:r>
              <w:rPr>
                <w:rFonts w:ascii="Calibri" w:eastAsia="Times New Roman" w:hAnsi="Calibri" w:cs="Calibri"/>
                <w:color w:val="000000"/>
                <w:kern w:val="0"/>
                <w:sz w:val="21"/>
                <w:szCs w:val="21"/>
                <w14:ligatures w14:val="none"/>
              </w:rPr>
              <w:t>*</w:t>
            </w:r>
          </w:p>
        </w:tc>
        <w:tc>
          <w:tcPr>
            <w:tcW w:w="3280" w:type="dxa"/>
            <w:noWrap/>
            <w:vAlign w:val="bottom"/>
            <w:hideMark/>
          </w:tcPr>
          <w:p w14:paraId="28ED0BAB"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In-house DLBCL cfDNA</w:t>
            </w:r>
          </w:p>
        </w:tc>
        <w:tc>
          <w:tcPr>
            <w:tcW w:w="2080" w:type="dxa"/>
            <w:noWrap/>
            <w:vAlign w:val="bottom"/>
            <w:hideMark/>
          </w:tcPr>
          <w:p w14:paraId="28E56734"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Synthetic benchmark</w:t>
            </w:r>
          </w:p>
        </w:tc>
        <w:tc>
          <w:tcPr>
            <w:tcW w:w="2646" w:type="dxa"/>
            <w:noWrap/>
            <w:vAlign w:val="bottom"/>
            <w:hideMark/>
          </w:tcPr>
          <w:p w14:paraId="03B505B1"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Spiked, 100 ppm</w:t>
            </w:r>
            <w:r w:rsidRPr="001B57D5">
              <w:t xml:space="preserve"> </w:t>
            </w:r>
            <w:r w:rsidRPr="001B57D5">
              <w:rPr>
                <w:rFonts w:ascii="Calibri" w:eastAsia="Times New Roman" w:hAnsi="Calibri" w:cs="Calibri"/>
                <w:color w:val="000000"/>
                <w:kern w:val="0"/>
                <w:sz w:val="21"/>
                <w:szCs w:val="21"/>
                <w14:ligatures w14:val="none"/>
              </w:rPr>
              <w:t>–</w:t>
            </w:r>
            <w:r w:rsidRPr="00BD4DB1">
              <w:rPr>
                <w:rFonts w:ascii="Calibri" w:eastAsia="Times New Roman" w:hAnsi="Calibri" w:cs="Calibri"/>
                <w:color w:val="000000"/>
                <w:kern w:val="0"/>
                <w:sz w:val="21"/>
                <w:szCs w:val="21"/>
                <w14:ligatures w14:val="none"/>
              </w:rPr>
              <w:t>10%</w:t>
            </w:r>
          </w:p>
        </w:tc>
      </w:tr>
      <w:tr w:rsidR="004E38B7" w:rsidRPr="00BD4DB1" w14:paraId="6893ECCF" w14:textId="77777777" w:rsidTr="00C11129">
        <w:trPr>
          <w:trHeight w:val="300"/>
        </w:trPr>
        <w:tc>
          <w:tcPr>
            <w:tcW w:w="1061" w:type="dxa"/>
            <w:noWrap/>
            <w:vAlign w:val="bottom"/>
            <w:hideMark/>
          </w:tcPr>
          <w:p w14:paraId="1644885A"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Control</w:t>
            </w:r>
            <w:r>
              <w:rPr>
                <w:rFonts w:ascii="Calibri" w:eastAsia="Times New Roman" w:hAnsi="Calibri" w:cs="Calibri"/>
                <w:color w:val="000000"/>
                <w:kern w:val="0"/>
                <w:sz w:val="21"/>
                <w:szCs w:val="21"/>
                <w14:ligatures w14:val="none"/>
              </w:rPr>
              <w:t>**</w:t>
            </w:r>
          </w:p>
        </w:tc>
        <w:tc>
          <w:tcPr>
            <w:tcW w:w="3280" w:type="dxa"/>
            <w:noWrap/>
            <w:vAlign w:val="bottom"/>
            <w:hideMark/>
          </w:tcPr>
          <w:p w14:paraId="5E2FA715"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 xml:space="preserve">Public </w:t>
            </w:r>
            <w:proofErr w:type="spellStart"/>
            <w:r w:rsidRPr="00BD4DB1">
              <w:rPr>
                <w:rFonts w:ascii="Calibri" w:eastAsia="Times New Roman" w:hAnsi="Calibri" w:cs="Calibri"/>
                <w:color w:val="000000"/>
                <w:kern w:val="0"/>
                <w:sz w:val="21"/>
                <w:szCs w:val="21"/>
                <w14:ligatures w14:val="none"/>
              </w:rPr>
              <w:t>PhasED</w:t>
            </w:r>
            <w:proofErr w:type="spellEnd"/>
            <w:r w:rsidRPr="00BD4DB1">
              <w:rPr>
                <w:rFonts w:ascii="Calibri" w:eastAsia="Times New Roman" w:hAnsi="Calibri" w:cs="Calibri"/>
                <w:color w:val="000000"/>
                <w:kern w:val="0"/>
                <w:sz w:val="21"/>
                <w:szCs w:val="21"/>
                <w14:ligatures w14:val="none"/>
              </w:rPr>
              <w:t>-Seq dilution series</w:t>
            </w:r>
          </w:p>
        </w:tc>
        <w:tc>
          <w:tcPr>
            <w:tcW w:w="2080" w:type="dxa"/>
            <w:noWrap/>
            <w:vAlign w:val="bottom"/>
            <w:hideMark/>
          </w:tcPr>
          <w:p w14:paraId="6529A7EB"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Negative control</w:t>
            </w:r>
          </w:p>
        </w:tc>
        <w:tc>
          <w:tcPr>
            <w:tcW w:w="2646" w:type="dxa"/>
            <w:noWrap/>
            <w:vAlign w:val="bottom"/>
            <w:hideMark/>
          </w:tcPr>
          <w:p w14:paraId="0A1BD3AB"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0 (healthy donor)</w:t>
            </w:r>
          </w:p>
        </w:tc>
      </w:tr>
      <w:tr w:rsidR="004E38B7" w:rsidRPr="00BD4DB1" w14:paraId="7DE139DC" w14:textId="77777777" w:rsidTr="00C11129">
        <w:trPr>
          <w:trHeight w:val="300"/>
        </w:trPr>
        <w:tc>
          <w:tcPr>
            <w:tcW w:w="1061" w:type="dxa"/>
            <w:noWrap/>
            <w:vAlign w:val="bottom"/>
            <w:hideMark/>
          </w:tcPr>
          <w:p w14:paraId="0DF0A90E"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PSP001</w:t>
            </w:r>
            <w:r>
              <w:rPr>
                <w:rFonts w:ascii="Calibri" w:eastAsia="Times New Roman" w:hAnsi="Calibri" w:cs="Calibri"/>
                <w:color w:val="000000"/>
                <w:kern w:val="0"/>
                <w:sz w:val="21"/>
                <w:szCs w:val="21"/>
                <w14:ligatures w14:val="none"/>
              </w:rPr>
              <w:t>**</w:t>
            </w:r>
          </w:p>
        </w:tc>
        <w:tc>
          <w:tcPr>
            <w:tcW w:w="3280" w:type="dxa"/>
            <w:noWrap/>
            <w:vAlign w:val="bottom"/>
            <w:hideMark/>
          </w:tcPr>
          <w:p w14:paraId="6492281E"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 xml:space="preserve">Public </w:t>
            </w:r>
            <w:proofErr w:type="spellStart"/>
            <w:r w:rsidRPr="00BD4DB1">
              <w:rPr>
                <w:rFonts w:ascii="Calibri" w:eastAsia="Times New Roman" w:hAnsi="Calibri" w:cs="Calibri"/>
                <w:color w:val="000000"/>
                <w:kern w:val="0"/>
                <w:sz w:val="21"/>
                <w:szCs w:val="21"/>
                <w14:ligatures w14:val="none"/>
              </w:rPr>
              <w:t>PhasED</w:t>
            </w:r>
            <w:proofErr w:type="spellEnd"/>
            <w:r w:rsidRPr="00BD4DB1">
              <w:rPr>
                <w:rFonts w:ascii="Calibri" w:eastAsia="Times New Roman" w:hAnsi="Calibri" w:cs="Calibri"/>
                <w:color w:val="000000"/>
                <w:kern w:val="0"/>
                <w:sz w:val="21"/>
                <w:szCs w:val="21"/>
                <w14:ligatures w14:val="none"/>
              </w:rPr>
              <w:t>-Seq dilution series</w:t>
            </w:r>
          </w:p>
        </w:tc>
        <w:tc>
          <w:tcPr>
            <w:tcW w:w="2080" w:type="dxa"/>
            <w:noWrap/>
            <w:vAlign w:val="bottom"/>
            <w:hideMark/>
          </w:tcPr>
          <w:p w14:paraId="561A0347"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Baseline proxy</w:t>
            </w:r>
          </w:p>
        </w:tc>
        <w:tc>
          <w:tcPr>
            <w:tcW w:w="2646" w:type="dxa"/>
            <w:noWrap/>
            <w:vAlign w:val="bottom"/>
            <w:hideMark/>
          </w:tcPr>
          <w:p w14:paraId="3EFCA8B7"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0.10%</w:t>
            </w:r>
          </w:p>
        </w:tc>
      </w:tr>
      <w:tr w:rsidR="004E38B7" w:rsidRPr="00BD4DB1" w14:paraId="3870A5AA" w14:textId="77777777" w:rsidTr="00C11129">
        <w:trPr>
          <w:trHeight w:val="300"/>
        </w:trPr>
        <w:tc>
          <w:tcPr>
            <w:tcW w:w="1061" w:type="dxa"/>
            <w:noWrap/>
            <w:vAlign w:val="bottom"/>
            <w:hideMark/>
          </w:tcPr>
          <w:p w14:paraId="4475B4C4"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PSP002</w:t>
            </w:r>
            <w:r>
              <w:rPr>
                <w:rFonts w:ascii="Calibri" w:eastAsia="Times New Roman" w:hAnsi="Calibri" w:cs="Calibri"/>
                <w:color w:val="000000"/>
                <w:kern w:val="0"/>
                <w:sz w:val="21"/>
                <w:szCs w:val="21"/>
                <w14:ligatures w14:val="none"/>
              </w:rPr>
              <w:t>**</w:t>
            </w:r>
          </w:p>
        </w:tc>
        <w:tc>
          <w:tcPr>
            <w:tcW w:w="3280" w:type="dxa"/>
            <w:noWrap/>
            <w:vAlign w:val="bottom"/>
            <w:hideMark/>
          </w:tcPr>
          <w:p w14:paraId="72A4A92E"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 xml:space="preserve">Public </w:t>
            </w:r>
            <w:proofErr w:type="spellStart"/>
            <w:r w:rsidRPr="00BD4DB1">
              <w:rPr>
                <w:rFonts w:ascii="Calibri" w:eastAsia="Times New Roman" w:hAnsi="Calibri" w:cs="Calibri"/>
                <w:color w:val="000000"/>
                <w:kern w:val="0"/>
                <w:sz w:val="21"/>
                <w:szCs w:val="21"/>
                <w14:ligatures w14:val="none"/>
              </w:rPr>
              <w:t>PhasED</w:t>
            </w:r>
            <w:proofErr w:type="spellEnd"/>
            <w:r w:rsidRPr="00BD4DB1">
              <w:rPr>
                <w:rFonts w:ascii="Calibri" w:eastAsia="Times New Roman" w:hAnsi="Calibri" w:cs="Calibri"/>
                <w:color w:val="000000"/>
                <w:kern w:val="0"/>
                <w:sz w:val="21"/>
                <w:szCs w:val="21"/>
                <w14:ligatures w14:val="none"/>
              </w:rPr>
              <w:t>-Seq dilution series</w:t>
            </w:r>
          </w:p>
        </w:tc>
        <w:tc>
          <w:tcPr>
            <w:tcW w:w="2080" w:type="dxa"/>
            <w:noWrap/>
            <w:vAlign w:val="bottom"/>
            <w:hideMark/>
          </w:tcPr>
          <w:p w14:paraId="31FB2BB8"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Follow-up</w:t>
            </w:r>
          </w:p>
        </w:tc>
        <w:tc>
          <w:tcPr>
            <w:tcW w:w="2646" w:type="dxa"/>
            <w:noWrap/>
            <w:vAlign w:val="bottom"/>
            <w:hideMark/>
          </w:tcPr>
          <w:p w14:paraId="0BC8FBCD"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100 ppm (0.01%)</w:t>
            </w:r>
          </w:p>
        </w:tc>
      </w:tr>
      <w:tr w:rsidR="004E38B7" w:rsidRPr="00BD4DB1" w14:paraId="44AF3B97" w14:textId="77777777" w:rsidTr="00C11129">
        <w:trPr>
          <w:trHeight w:val="300"/>
        </w:trPr>
        <w:tc>
          <w:tcPr>
            <w:tcW w:w="1061" w:type="dxa"/>
            <w:noWrap/>
            <w:vAlign w:val="bottom"/>
            <w:hideMark/>
          </w:tcPr>
          <w:p w14:paraId="54903B74"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PSP003</w:t>
            </w:r>
            <w:r>
              <w:rPr>
                <w:rFonts w:ascii="Calibri" w:eastAsia="Times New Roman" w:hAnsi="Calibri" w:cs="Calibri"/>
                <w:color w:val="000000"/>
                <w:kern w:val="0"/>
                <w:sz w:val="21"/>
                <w:szCs w:val="21"/>
                <w14:ligatures w14:val="none"/>
              </w:rPr>
              <w:t>**</w:t>
            </w:r>
          </w:p>
        </w:tc>
        <w:tc>
          <w:tcPr>
            <w:tcW w:w="3280" w:type="dxa"/>
            <w:noWrap/>
            <w:vAlign w:val="bottom"/>
            <w:hideMark/>
          </w:tcPr>
          <w:p w14:paraId="3C45C308"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 xml:space="preserve">Public </w:t>
            </w:r>
            <w:proofErr w:type="spellStart"/>
            <w:r w:rsidRPr="00BD4DB1">
              <w:rPr>
                <w:rFonts w:ascii="Calibri" w:eastAsia="Times New Roman" w:hAnsi="Calibri" w:cs="Calibri"/>
                <w:color w:val="000000"/>
                <w:kern w:val="0"/>
                <w:sz w:val="21"/>
                <w:szCs w:val="21"/>
                <w14:ligatures w14:val="none"/>
              </w:rPr>
              <w:t>PhasED</w:t>
            </w:r>
            <w:proofErr w:type="spellEnd"/>
            <w:r w:rsidRPr="00BD4DB1">
              <w:rPr>
                <w:rFonts w:ascii="Calibri" w:eastAsia="Times New Roman" w:hAnsi="Calibri" w:cs="Calibri"/>
                <w:color w:val="000000"/>
                <w:kern w:val="0"/>
                <w:sz w:val="21"/>
                <w:szCs w:val="21"/>
                <w14:ligatures w14:val="none"/>
              </w:rPr>
              <w:t>-Seq dilution series</w:t>
            </w:r>
          </w:p>
        </w:tc>
        <w:tc>
          <w:tcPr>
            <w:tcW w:w="2080" w:type="dxa"/>
            <w:noWrap/>
            <w:vAlign w:val="bottom"/>
            <w:hideMark/>
          </w:tcPr>
          <w:p w14:paraId="5B57E757"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Follow-up</w:t>
            </w:r>
          </w:p>
        </w:tc>
        <w:tc>
          <w:tcPr>
            <w:tcW w:w="2646" w:type="dxa"/>
            <w:noWrap/>
            <w:vAlign w:val="bottom"/>
            <w:hideMark/>
          </w:tcPr>
          <w:p w14:paraId="5652E1DA"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10 ppm (0.001%)</w:t>
            </w:r>
          </w:p>
        </w:tc>
      </w:tr>
      <w:tr w:rsidR="004E38B7" w:rsidRPr="00BD4DB1" w14:paraId="00DE3963" w14:textId="77777777" w:rsidTr="00C11129">
        <w:trPr>
          <w:trHeight w:val="300"/>
        </w:trPr>
        <w:tc>
          <w:tcPr>
            <w:tcW w:w="1061" w:type="dxa"/>
            <w:noWrap/>
            <w:vAlign w:val="bottom"/>
            <w:hideMark/>
          </w:tcPr>
          <w:p w14:paraId="118DF011"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PSP004</w:t>
            </w:r>
            <w:r>
              <w:rPr>
                <w:rFonts w:ascii="Calibri" w:eastAsia="Times New Roman" w:hAnsi="Calibri" w:cs="Calibri"/>
                <w:color w:val="000000"/>
                <w:kern w:val="0"/>
                <w:sz w:val="21"/>
                <w:szCs w:val="21"/>
                <w14:ligatures w14:val="none"/>
              </w:rPr>
              <w:t>**</w:t>
            </w:r>
          </w:p>
        </w:tc>
        <w:tc>
          <w:tcPr>
            <w:tcW w:w="3280" w:type="dxa"/>
            <w:noWrap/>
            <w:vAlign w:val="bottom"/>
            <w:hideMark/>
          </w:tcPr>
          <w:p w14:paraId="0D3F7859"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 xml:space="preserve">Public </w:t>
            </w:r>
            <w:proofErr w:type="spellStart"/>
            <w:r w:rsidRPr="00BD4DB1">
              <w:rPr>
                <w:rFonts w:ascii="Calibri" w:eastAsia="Times New Roman" w:hAnsi="Calibri" w:cs="Calibri"/>
                <w:color w:val="000000"/>
                <w:kern w:val="0"/>
                <w:sz w:val="21"/>
                <w:szCs w:val="21"/>
                <w14:ligatures w14:val="none"/>
              </w:rPr>
              <w:t>PhasED</w:t>
            </w:r>
            <w:proofErr w:type="spellEnd"/>
            <w:r w:rsidRPr="00BD4DB1">
              <w:rPr>
                <w:rFonts w:ascii="Calibri" w:eastAsia="Times New Roman" w:hAnsi="Calibri" w:cs="Calibri"/>
                <w:color w:val="000000"/>
                <w:kern w:val="0"/>
                <w:sz w:val="21"/>
                <w:szCs w:val="21"/>
                <w14:ligatures w14:val="none"/>
              </w:rPr>
              <w:t>-Seq dilution series</w:t>
            </w:r>
          </w:p>
        </w:tc>
        <w:tc>
          <w:tcPr>
            <w:tcW w:w="2080" w:type="dxa"/>
            <w:noWrap/>
            <w:vAlign w:val="bottom"/>
            <w:hideMark/>
          </w:tcPr>
          <w:p w14:paraId="56F89C56"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Follow-up</w:t>
            </w:r>
          </w:p>
        </w:tc>
        <w:tc>
          <w:tcPr>
            <w:tcW w:w="2646" w:type="dxa"/>
            <w:noWrap/>
            <w:vAlign w:val="bottom"/>
            <w:hideMark/>
          </w:tcPr>
          <w:p w14:paraId="1A927D51"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2 ppm (0.0002%)</w:t>
            </w:r>
          </w:p>
        </w:tc>
      </w:tr>
      <w:tr w:rsidR="004E38B7" w:rsidRPr="00BD4DB1" w14:paraId="45614E45" w14:textId="77777777" w:rsidTr="00C11129">
        <w:trPr>
          <w:trHeight w:val="300"/>
        </w:trPr>
        <w:tc>
          <w:tcPr>
            <w:tcW w:w="1061" w:type="dxa"/>
            <w:noWrap/>
            <w:vAlign w:val="bottom"/>
            <w:hideMark/>
          </w:tcPr>
          <w:p w14:paraId="684C3DD7"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PSP005</w:t>
            </w:r>
            <w:r>
              <w:rPr>
                <w:rFonts w:ascii="Calibri" w:eastAsia="Times New Roman" w:hAnsi="Calibri" w:cs="Calibri"/>
                <w:color w:val="000000"/>
                <w:kern w:val="0"/>
                <w:sz w:val="21"/>
                <w:szCs w:val="21"/>
                <w14:ligatures w14:val="none"/>
              </w:rPr>
              <w:t>**</w:t>
            </w:r>
          </w:p>
        </w:tc>
        <w:tc>
          <w:tcPr>
            <w:tcW w:w="3280" w:type="dxa"/>
            <w:noWrap/>
            <w:vAlign w:val="bottom"/>
            <w:hideMark/>
          </w:tcPr>
          <w:p w14:paraId="4FED47C2"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 xml:space="preserve">Public </w:t>
            </w:r>
            <w:proofErr w:type="spellStart"/>
            <w:r w:rsidRPr="00BD4DB1">
              <w:rPr>
                <w:rFonts w:ascii="Calibri" w:eastAsia="Times New Roman" w:hAnsi="Calibri" w:cs="Calibri"/>
                <w:color w:val="000000"/>
                <w:kern w:val="0"/>
                <w:sz w:val="21"/>
                <w:szCs w:val="21"/>
                <w14:ligatures w14:val="none"/>
              </w:rPr>
              <w:t>PhasED</w:t>
            </w:r>
            <w:proofErr w:type="spellEnd"/>
            <w:r w:rsidRPr="00BD4DB1">
              <w:rPr>
                <w:rFonts w:ascii="Calibri" w:eastAsia="Times New Roman" w:hAnsi="Calibri" w:cs="Calibri"/>
                <w:color w:val="000000"/>
                <w:kern w:val="0"/>
                <w:sz w:val="21"/>
                <w:szCs w:val="21"/>
                <w14:ligatures w14:val="none"/>
              </w:rPr>
              <w:t>-Seq dilution series</w:t>
            </w:r>
          </w:p>
        </w:tc>
        <w:tc>
          <w:tcPr>
            <w:tcW w:w="2080" w:type="dxa"/>
            <w:noWrap/>
            <w:vAlign w:val="bottom"/>
            <w:hideMark/>
          </w:tcPr>
          <w:p w14:paraId="5CE6BCEF"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Follow-up</w:t>
            </w:r>
          </w:p>
        </w:tc>
        <w:tc>
          <w:tcPr>
            <w:tcW w:w="2646" w:type="dxa"/>
            <w:noWrap/>
            <w:vAlign w:val="bottom"/>
            <w:hideMark/>
          </w:tcPr>
          <w:p w14:paraId="1AEB0667"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1 ppm (0.0001%)</w:t>
            </w:r>
          </w:p>
        </w:tc>
      </w:tr>
      <w:tr w:rsidR="004E38B7" w:rsidRPr="00BD4DB1" w14:paraId="4A86DF48" w14:textId="77777777" w:rsidTr="00C11129">
        <w:trPr>
          <w:trHeight w:val="300"/>
        </w:trPr>
        <w:tc>
          <w:tcPr>
            <w:tcW w:w="1061" w:type="dxa"/>
            <w:noWrap/>
            <w:vAlign w:val="bottom"/>
            <w:hideMark/>
          </w:tcPr>
          <w:p w14:paraId="41049764"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PSP006</w:t>
            </w:r>
            <w:r>
              <w:rPr>
                <w:rFonts w:ascii="Calibri" w:eastAsia="Times New Roman" w:hAnsi="Calibri" w:cs="Calibri"/>
                <w:color w:val="000000"/>
                <w:kern w:val="0"/>
                <w:sz w:val="21"/>
                <w:szCs w:val="21"/>
                <w14:ligatures w14:val="none"/>
              </w:rPr>
              <w:t>**</w:t>
            </w:r>
          </w:p>
        </w:tc>
        <w:tc>
          <w:tcPr>
            <w:tcW w:w="3280" w:type="dxa"/>
            <w:noWrap/>
            <w:vAlign w:val="bottom"/>
            <w:hideMark/>
          </w:tcPr>
          <w:p w14:paraId="6830A780"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 xml:space="preserve">Public </w:t>
            </w:r>
            <w:proofErr w:type="spellStart"/>
            <w:r w:rsidRPr="00BD4DB1">
              <w:rPr>
                <w:rFonts w:ascii="Calibri" w:eastAsia="Times New Roman" w:hAnsi="Calibri" w:cs="Calibri"/>
                <w:color w:val="000000"/>
                <w:kern w:val="0"/>
                <w:sz w:val="21"/>
                <w:szCs w:val="21"/>
                <w14:ligatures w14:val="none"/>
              </w:rPr>
              <w:t>PhasED</w:t>
            </w:r>
            <w:proofErr w:type="spellEnd"/>
            <w:r w:rsidRPr="00BD4DB1">
              <w:rPr>
                <w:rFonts w:ascii="Calibri" w:eastAsia="Times New Roman" w:hAnsi="Calibri" w:cs="Calibri"/>
                <w:color w:val="000000"/>
                <w:kern w:val="0"/>
                <w:sz w:val="21"/>
                <w:szCs w:val="21"/>
                <w14:ligatures w14:val="none"/>
              </w:rPr>
              <w:t>-Seq dilution series</w:t>
            </w:r>
          </w:p>
        </w:tc>
        <w:tc>
          <w:tcPr>
            <w:tcW w:w="2080" w:type="dxa"/>
            <w:noWrap/>
            <w:vAlign w:val="bottom"/>
            <w:hideMark/>
          </w:tcPr>
          <w:p w14:paraId="2D96C0FA"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Follow-up</w:t>
            </w:r>
          </w:p>
        </w:tc>
        <w:tc>
          <w:tcPr>
            <w:tcW w:w="2646" w:type="dxa"/>
            <w:noWrap/>
            <w:vAlign w:val="bottom"/>
            <w:hideMark/>
          </w:tcPr>
          <w:p w14:paraId="0B760ABE" w14:textId="77777777" w:rsidR="004E38B7" w:rsidRPr="00BD4DB1" w:rsidRDefault="004E38B7" w:rsidP="00C11129">
            <w:pPr>
              <w:spacing w:after="0" w:line="240" w:lineRule="auto"/>
              <w:rPr>
                <w:rFonts w:ascii="Calibri" w:eastAsia="Times New Roman" w:hAnsi="Calibri" w:cs="Calibri"/>
                <w:color w:val="000000"/>
                <w:kern w:val="0"/>
                <w:sz w:val="21"/>
                <w:szCs w:val="21"/>
                <w14:ligatures w14:val="none"/>
              </w:rPr>
            </w:pPr>
            <w:r w:rsidRPr="00BD4DB1">
              <w:rPr>
                <w:rFonts w:ascii="Calibri" w:eastAsia="Times New Roman" w:hAnsi="Calibri" w:cs="Calibri"/>
                <w:color w:val="000000"/>
                <w:kern w:val="0"/>
                <w:sz w:val="21"/>
                <w:szCs w:val="21"/>
                <w14:ligatures w14:val="none"/>
              </w:rPr>
              <w:t>0.5 ppm (0.00005%)</w:t>
            </w:r>
          </w:p>
        </w:tc>
      </w:tr>
    </w:tbl>
    <w:p w14:paraId="3330B934" w14:textId="345AEC39" w:rsidR="004E38B7" w:rsidRPr="00BD4DB1" w:rsidRDefault="004E38B7" w:rsidP="004E38B7">
      <w:pPr>
        <w:spacing w:after="0"/>
        <w:rPr>
          <w:sz w:val="18"/>
          <w:szCs w:val="18"/>
        </w:rPr>
      </w:pPr>
      <w:r w:rsidRPr="00EE7861">
        <w:rPr>
          <w:sz w:val="18"/>
          <w:szCs w:val="18"/>
        </w:rPr>
        <w:t xml:space="preserve">* </w:t>
      </w:r>
      <w:r w:rsidR="005B0985">
        <w:rPr>
          <w:sz w:val="18"/>
          <w:szCs w:val="18"/>
        </w:rPr>
        <w:t>For each patient</w:t>
      </w:r>
      <w:r w:rsidRPr="00EE7861">
        <w:rPr>
          <w:sz w:val="18"/>
          <w:szCs w:val="18"/>
        </w:rPr>
        <w:t xml:space="preserve"> three BAM</w:t>
      </w:r>
      <w:r w:rsidR="005B0985">
        <w:rPr>
          <w:sz w:val="18"/>
          <w:szCs w:val="18"/>
        </w:rPr>
        <w:t xml:space="preserve"> file were generated</w:t>
      </w:r>
      <w:r w:rsidRPr="00EE7861">
        <w:rPr>
          <w:sz w:val="18"/>
          <w:szCs w:val="18"/>
        </w:rPr>
        <w:t>, one per noise arm (no added noise, 1% noise, 10% noise)</w:t>
      </w:r>
      <w:r w:rsidRPr="00BD4DB1">
        <w:rPr>
          <w:sz w:val="18"/>
          <w:szCs w:val="18"/>
        </w:rPr>
        <w:t>. T</w:t>
      </w:r>
      <w:r w:rsidRPr="00EE7861">
        <w:rPr>
          <w:sz w:val="18"/>
          <w:szCs w:val="18"/>
        </w:rPr>
        <w:t>he somatic-background arm re</w:t>
      </w:r>
      <w:r w:rsidR="005B0985">
        <w:rPr>
          <w:sz w:val="18"/>
          <w:szCs w:val="18"/>
        </w:rPr>
        <w:t>-</w:t>
      </w:r>
      <w:r w:rsidRPr="00EE7861">
        <w:rPr>
          <w:sz w:val="18"/>
          <w:szCs w:val="18"/>
        </w:rPr>
        <w:t>uses</w:t>
      </w:r>
      <w:r w:rsidRPr="00BD4DB1">
        <w:rPr>
          <w:sz w:val="18"/>
          <w:szCs w:val="18"/>
        </w:rPr>
        <w:t xml:space="preserve"> the no-noise BAM and differs only in its candidate </w:t>
      </w:r>
      <w:r w:rsidR="005B0985">
        <w:rPr>
          <w:sz w:val="18"/>
          <w:szCs w:val="18"/>
        </w:rPr>
        <w:t xml:space="preserve">SNV </w:t>
      </w:r>
      <w:r w:rsidRPr="00BD4DB1">
        <w:rPr>
          <w:sz w:val="18"/>
          <w:szCs w:val="18"/>
        </w:rPr>
        <w:t>VCF</w:t>
      </w:r>
      <w:r w:rsidR="005B0985">
        <w:rPr>
          <w:sz w:val="18"/>
          <w:szCs w:val="18"/>
        </w:rPr>
        <w:t xml:space="preserve"> file</w:t>
      </w:r>
      <w:r w:rsidRPr="00BD4DB1">
        <w:rPr>
          <w:sz w:val="18"/>
          <w:szCs w:val="18"/>
        </w:rPr>
        <w:t>.</w:t>
      </w:r>
    </w:p>
    <w:p w14:paraId="6F3DD6E1" w14:textId="08DC5E5B" w:rsidR="004E38B7" w:rsidRPr="00EE7861" w:rsidRDefault="004E38B7" w:rsidP="004E38B7">
      <w:pPr>
        <w:spacing w:after="0"/>
        <w:rPr>
          <w:sz w:val="18"/>
          <w:szCs w:val="18"/>
        </w:rPr>
      </w:pPr>
      <w:r>
        <w:rPr>
          <w:sz w:val="18"/>
          <w:szCs w:val="18"/>
        </w:rPr>
        <w:t xml:space="preserve">** </w:t>
      </w:r>
      <w:r w:rsidRPr="00EE7861">
        <w:rPr>
          <w:sz w:val="18"/>
          <w:szCs w:val="18"/>
        </w:rPr>
        <w:t xml:space="preserve"> </w:t>
      </w:r>
      <w:r>
        <w:rPr>
          <w:sz w:val="18"/>
          <w:szCs w:val="18"/>
        </w:rPr>
        <w:t xml:space="preserve"> One dilution series spiked into a healthy-donor cfDNA background, carrying material from three lymphoma patients (DLBCL084, LYM002, LYM072) simultaneously. </w:t>
      </w:r>
      <w:r w:rsidR="005B0985">
        <w:rPr>
          <w:sz w:val="18"/>
          <w:szCs w:val="18"/>
        </w:rPr>
        <w:t xml:space="preserve">The resulting </w:t>
      </w:r>
      <w:r>
        <w:rPr>
          <w:sz w:val="18"/>
          <w:szCs w:val="18"/>
        </w:rPr>
        <w:t xml:space="preserve">BAM </w:t>
      </w:r>
      <w:r w:rsidR="005B0985">
        <w:rPr>
          <w:sz w:val="18"/>
          <w:szCs w:val="18"/>
        </w:rPr>
        <w:t xml:space="preserve">files </w:t>
      </w:r>
      <w:r>
        <w:rPr>
          <w:sz w:val="18"/>
          <w:szCs w:val="18"/>
        </w:rPr>
        <w:t xml:space="preserve">contain </w:t>
      </w:r>
      <w:r w:rsidR="005B0985">
        <w:rPr>
          <w:sz w:val="18"/>
          <w:szCs w:val="18"/>
        </w:rPr>
        <w:t xml:space="preserve">variants of each of the </w:t>
      </w:r>
      <w:r>
        <w:rPr>
          <w:sz w:val="18"/>
          <w:szCs w:val="18"/>
        </w:rPr>
        <w:t xml:space="preserve">three patients. The per-patient split in the results </w:t>
      </w:r>
      <w:r w:rsidR="005B0985">
        <w:rPr>
          <w:sz w:val="18"/>
          <w:szCs w:val="18"/>
        </w:rPr>
        <w:t>is based on</w:t>
      </w:r>
      <w:r>
        <w:rPr>
          <w:sz w:val="18"/>
          <w:szCs w:val="18"/>
        </w:rPr>
        <w:t xml:space="preserve"> the published reporter lists. </w:t>
      </w:r>
      <w:r w:rsidR="005B0985">
        <w:rPr>
          <w:sz w:val="18"/>
          <w:szCs w:val="18"/>
        </w:rPr>
        <w:t xml:space="preserve">The </w:t>
      </w:r>
      <w:r>
        <w:rPr>
          <w:sz w:val="18"/>
          <w:szCs w:val="18"/>
        </w:rPr>
        <w:t xml:space="preserve">PSP001 </w:t>
      </w:r>
      <w:r w:rsidR="005B0985">
        <w:rPr>
          <w:sz w:val="18"/>
          <w:szCs w:val="18"/>
        </w:rPr>
        <w:t xml:space="preserve">BAM file </w:t>
      </w:r>
      <w:r>
        <w:rPr>
          <w:sz w:val="18"/>
          <w:szCs w:val="18"/>
        </w:rPr>
        <w:t>serves as a proxy</w:t>
      </w:r>
      <w:r w:rsidR="005B0985">
        <w:rPr>
          <w:sz w:val="18"/>
          <w:szCs w:val="18"/>
        </w:rPr>
        <w:t xml:space="preserve"> for a</w:t>
      </w:r>
      <w:r>
        <w:rPr>
          <w:sz w:val="18"/>
          <w:szCs w:val="18"/>
        </w:rPr>
        <w:t xml:space="preserve"> ‘baseline’ </w:t>
      </w:r>
      <w:r w:rsidR="005B0985">
        <w:rPr>
          <w:sz w:val="18"/>
          <w:szCs w:val="18"/>
        </w:rPr>
        <w:t>sample due to unavailability</w:t>
      </w:r>
      <w:r>
        <w:rPr>
          <w:sz w:val="18"/>
          <w:szCs w:val="18"/>
        </w:rPr>
        <w:t xml:space="preserve"> of </w:t>
      </w:r>
      <w:r w:rsidR="005B0985">
        <w:rPr>
          <w:sz w:val="18"/>
          <w:szCs w:val="18"/>
        </w:rPr>
        <w:t>the BAM files of the patients specific</w:t>
      </w:r>
      <w:r>
        <w:rPr>
          <w:sz w:val="18"/>
          <w:szCs w:val="18"/>
        </w:rPr>
        <w:t xml:space="preserve"> baseline </w:t>
      </w:r>
      <w:r w:rsidR="005B0985">
        <w:rPr>
          <w:sz w:val="18"/>
          <w:szCs w:val="18"/>
        </w:rPr>
        <w:t>BAM files</w:t>
      </w:r>
      <w:r>
        <w:rPr>
          <w:sz w:val="18"/>
          <w:szCs w:val="18"/>
        </w:rPr>
        <w:t>.</w:t>
      </w:r>
    </w:p>
    <w:p w14:paraId="577CBA33" w14:textId="77777777" w:rsidR="004E38B7" w:rsidRPr="00DE77C3" w:rsidRDefault="004E38B7" w:rsidP="00DE77C3"/>
    <w:p w14:paraId="6DDEF9C4" w14:textId="46374CA8" w:rsidR="00522AC3" w:rsidRPr="00FE07EE" w:rsidRDefault="00522AC3" w:rsidP="002C1314">
      <w:pPr>
        <w:pStyle w:val="SuppFigTable"/>
      </w:pPr>
      <w:bookmarkStart w:id="22" w:name="_Toc212814316"/>
      <w:bookmarkStart w:id="23" w:name="_Toc241497589"/>
      <w:r w:rsidRPr="002C1314">
        <w:rPr>
          <w:rStyle w:val="SuppFigTableChar"/>
          <w:b/>
          <w:bCs/>
        </w:rPr>
        <w:t xml:space="preserve">Table </w:t>
      </w:r>
      <w:r w:rsidR="00FE07EE" w:rsidRPr="002C1314">
        <w:rPr>
          <w:rStyle w:val="SuppFigTableChar"/>
          <w:b/>
          <w:bCs/>
        </w:rPr>
        <w:t>S</w:t>
      </w:r>
      <w:r w:rsidR="00C30E14">
        <w:rPr>
          <w:rStyle w:val="SuppFigTableChar"/>
          <w:b/>
          <w:bCs/>
        </w:rPr>
        <w:t>2</w:t>
      </w:r>
      <w:bookmarkEnd w:id="22"/>
      <w:r w:rsidRPr="002C1314">
        <w:rPr>
          <w:b w:val="0"/>
          <w:bCs w:val="0"/>
        </w:rPr>
        <w:t>.</w:t>
      </w:r>
      <w:r>
        <w:t xml:space="preserve"> </w:t>
      </w:r>
      <w:r w:rsidR="00FE07EE">
        <w:t xml:space="preserve">Overview of the super enhancer </w:t>
      </w:r>
      <w:r w:rsidR="005B0985">
        <w:t>region-</w:t>
      </w:r>
      <w:r w:rsidR="00FE07EE">
        <w:t>focused panel used for benchmarking</w:t>
      </w:r>
      <w:bookmarkEnd w:id="23"/>
    </w:p>
    <w:tbl>
      <w:tblPr>
        <w:tblW w:w="5000" w:type="pct"/>
        <w:jc w:val="center"/>
        <w:tblLook w:val="04A0" w:firstRow="1" w:lastRow="0" w:firstColumn="1" w:lastColumn="0" w:noHBand="0" w:noVBand="1"/>
      </w:tblPr>
      <w:tblGrid>
        <w:gridCol w:w="2464"/>
        <w:gridCol w:w="2121"/>
        <w:gridCol w:w="2121"/>
        <w:gridCol w:w="2356"/>
      </w:tblGrid>
      <w:tr w:rsidR="00EC63CB" w:rsidRPr="00EC63CB" w14:paraId="7837449D" w14:textId="77777777" w:rsidTr="00B85ED1">
        <w:trPr>
          <w:trHeight w:val="300"/>
          <w:jc w:val="center"/>
        </w:trPr>
        <w:tc>
          <w:tcPr>
            <w:tcW w:w="1360" w:type="pct"/>
            <w:tcBorders>
              <w:top w:val="single" w:sz="4" w:space="0" w:color="auto"/>
              <w:left w:val="single" w:sz="4" w:space="0" w:color="auto"/>
              <w:bottom w:val="single" w:sz="4" w:space="0" w:color="auto"/>
              <w:right w:val="single" w:sz="4" w:space="0" w:color="auto"/>
            </w:tcBorders>
            <w:noWrap/>
            <w:vAlign w:val="bottom"/>
            <w:hideMark/>
          </w:tcPr>
          <w:p w14:paraId="5B81EEA3" w14:textId="77777777" w:rsidR="00EC63CB" w:rsidRPr="001C4B05" w:rsidRDefault="00EC63CB" w:rsidP="00B85ED1">
            <w:pPr>
              <w:spacing w:after="0" w:line="240" w:lineRule="auto"/>
              <w:jc w:val="center"/>
              <w:rPr>
                <w:rFonts w:ascii="Aptos Narrow" w:eastAsia="Times New Roman" w:hAnsi="Aptos Narrow" w:cs="Times New Roman"/>
                <w:b/>
                <w:bCs/>
                <w:color w:val="000000"/>
                <w:kern w:val="0"/>
                <w:sz w:val="22"/>
                <w:szCs w:val="22"/>
                <w14:ligatures w14:val="none"/>
              </w:rPr>
            </w:pPr>
            <w:r w:rsidRPr="001C4B05">
              <w:rPr>
                <w:rFonts w:ascii="Aptos Narrow" w:eastAsia="Times New Roman" w:hAnsi="Aptos Narrow" w:cs="Times New Roman"/>
                <w:b/>
                <w:bCs/>
                <w:color w:val="000000"/>
                <w:kern w:val="0"/>
                <w:sz w:val="22"/>
                <w:szCs w:val="22"/>
                <w14:ligatures w14:val="none"/>
              </w:rPr>
              <w:t>Chromosome</w:t>
            </w:r>
          </w:p>
        </w:tc>
        <w:tc>
          <w:tcPr>
            <w:tcW w:w="1170" w:type="pct"/>
            <w:tcBorders>
              <w:top w:val="single" w:sz="4" w:space="0" w:color="auto"/>
              <w:left w:val="nil"/>
              <w:bottom w:val="single" w:sz="4" w:space="0" w:color="auto"/>
              <w:right w:val="single" w:sz="4" w:space="0" w:color="auto"/>
            </w:tcBorders>
            <w:noWrap/>
            <w:vAlign w:val="bottom"/>
            <w:hideMark/>
          </w:tcPr>
          <w:p w14:paraId="22ACCBBE" w14:textId="77777777" w:rsidR="00EC63CB" w:rsidRPr="001C4B05" w:rsidRDefault="00EC63CB" w:rsidP="00B85ED1">
            <w:pPr>
              <w:spacing w:after="0" w:line="240" w:lineRule="auto"/>
              <w:jc w:val="center"/>
              <w:rPr>
                <w:rFonts w:ascii="Aptos Narrow" w:eastAsia="Times New Roman" w:hAnsi="Aptos Narrow" w:cs="Times New Roman"/>
                <w:b/>
                <w:bCs/>
                <w:color w:val="000000"/>
                <w:kern w:val="0"/>
                <w:sz w:val="22"/>
                <w:szCs w:val="22"/>
                <w14:ligatures w14:val="none"/>
              </w:rPr>
            </w:pPr>
            <w:r w:rsidRPr="001C4B05">
              <w:rPr>
                <w:rFonts w:ascii="Aptos Narrow" w:eastAsia="Times New Roman" w:hAnsi="Aptos Narrow" w:cs="Times New Roman"/>
                <w:b/>
                <w:bCs/>
                <w:color w:val="000000"/>
                <w:kern w:val="0"/>
                <w:sz w:val="22"/>
                <w:szCs w:val="22"/>
                <w14:ligatures w14:val="none"/>
              </w:rPr>
              <w:t>Start</w:t>
            </w:r>
          </w:p>
        </w:tc>
        <w:tc>
          <w:tcPr>
            <w:tcW w:w="1170" w:type="pct"/>
            <w:tcBorders>
              <w:top w:val="single" w:sz="4" w:space="0" w:color="auto"/>
              <w:left w:val="nil"/>
              <w:bottom w:val="single" w:sz="4" w:space="0" w:color="auto"/>
              <w:right w:val="single" w:sz="4" w:space="0" w:color="auto"/>
            </w:tcBorders>
            <w:noWrap/>
            <w:vAlign w:val="bottom"/>
            <w:hideMark/>
          </w:tcPr>
          <w:p w14:paraId="5A10FA69" w14:textId="77777777" w:rsidR="00EC63CB" w:rsidRPr="001C4B05" w:rsidRDefault="00EC63CB" w:rsidP="00B85ED1">
            <w:pPr>
              <w:spacing w:after="0" w:line="240" w:lineRule="auto"/>
              <w:jc w:val="center"/>
              <w:rPr>
                <w:rFonts w:ascii="Aptos Narrow" w:eastAsia="Times New Roman" w:hAnsi="Aptos Narrow" w:cs="Times New Roman"/>
                <w:b/>
                <w:bCs/>
                <w:color w:val="000000"/>
                <w:kern w:val="0"/>
                <w:sz w:val="22"/>
                <w:szCs w:val="22"/>
                <w14:ligatures w14:val="none"/>
              </w:rPr>
            </w:pPr>
            <w:r w:rsidRPr="001C4B05">
              <w:rPr>
                <w:rFonts w:ascii="Aptos Narrow" w:eastAsia="Times New Roman" w:hAnsi="Aptos Narrow" w:cs="Times New Roman"/>
                <w:b/>
                <w:bCs/>
                <w:color w:val="000000"/>
                <w:kern w:val="0"/>
                <w:sz w:val="22"/>
                <w:szCs w:val="22"/>
                <w14:ligatures w14:val="none"/>
              </w:rPr>
              <w:t>End</w:t>
            </w:r>
          </w:p>
        </w:tc>
        <w:tc>
          <w:tcPr>
            <w:tcW w:w="1301" w:type="pct"/>
            <w:tcBorders>
              <w:top w:val="single" w:sz="4" w:space="0" w:color="auto"/>
              <w:left w:val="nil"/>
              <w:bottom w:val="single" w:sz="4" w:space="0" w:color="auto"/>
              <w:right w:val="single" w:sz="4" w:space="0" w:color="auto"/>
            </w:tcBorders>
            <w:noWrap/>
            <w:vAlign w:val="bottom"/>
            <w:hideMark/>
          </w:tcPr>
          <w:p w14:paraId="5863656F" w14:textId="77777777" w:rsidR="00EC63CB" w:rsidRPr="001C4B05" w:rsidRDefault="00EC63CB" w:rsidP="00B85ED1">
            <w:pPr>
              <w:spacing w:after="0" w:line="240" w:lineRule="auto"/>
              <w:jc w:val="center"/>
              <w:rPr>
                <w:rFonts w:ascii="Aptos Narrow" w:eastAsia="Times New Roman" w:hAnsi="Aptos Narrow" w:cs="Times New Roman"/>
                <w:b/>
                <w:bCs/>
                <w:color w:val="000000"/>
                <w:kern w:val="0"/>
                <w:sz w:val="22"/>
                <w:szCs w:val="22"/>
                <w14:ligatures w14:val="none"/>
              </w:rPr>
            </w:pPr>
            <w:r w:rsidRPr="001C4B05">
              <w:rPr>
                <w:rFonts w:ascii="Aptos Narrow" w:eastAsia="Times New Roman" w:hAnsi="Aptos Narrow" w:cs="Times New Roman"/>
                <w:b/>
                <w:bCs/>
                <w:color w:val="000000"/>
                <w:kern w:val="0"/>
                <w:sz w:val="22"/>
                <w:szCs w:val="22"/>
                <w14:ligatures w14:val="none"/>
              </w:rPr>
              <w:t>Gene</w:t>
            </w:r>
          </w:p>
        </w:tc>
      </w:tr>
      <w:tr w:rsidR="00EC63CB" w:rsidRPr="00EC63CB" w14:paraId="00C224B3" w14:textId="77777777" w:rsidTr="00B85ED1">
        <w:trPr>
          <w:trHeight w:val="300"/>
          <w:jc w:val="center"/>
        </w:trPr>
        <w:tc>
          <w:tcPr>
            <w:tcW w:w="1360" w:type="pct"/>
            <w:tcBorders>
              <w:top w:val="nil"/>
              <w:left w:val="single" w:sz="4" w:space="0" w:color="auto"/>
              <w:bottom w:val="single" w:sz="4" w:space="0" w:color="auto"/>
              <w:right w:val="single" w:sz="4" w:space="0" w:color="auto"/>
            </w:tcBorders>
            <w:noWrap/>
            <w:vAlign w:val="bottom"/>
            <w:hideMark/>
          </w:tcPr>
          <w:p w14:paraId="7B502D73"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chr1</w:t>
            </w:r>
          </w:p>
        </w:tc>
        <w:tc>
          <w:tcPr>
            <w:tcW w:w="1170" w:type="pct"/>
            <w:tcBorders>
              <w:top w:val="nil"/>
              <w:left w:val="nil"/>
              <w:bottom w:val="single" w:sz="4" w:space="0" w:color="auto"/>
              <w:right w:val="single" w:sz="4" w:space="0" w:color="auto"/>
            </w:tcBorders>
            <w:noWrap/>
            <w:vAlign w:val="bottom"/>
            <w:hideMark/>
          </w:tcPr>
          <w:p w14:paraId="4DEC7CB4"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203304943</w:t>
            </w:r>
          </w:p>
        </w:tc>
        <w:tc>
          <w:tcPr>
            <w:tcW w:w="1170" w:type="pct"/>
            <w:tcBorders>
              <w:top w:val="nil"/>
              <w:left w:val="nil"/>
              <w:bottom w:val="single" w:sz="4" w:space="0" w:color="auto"/>
              <w:right w:val="single" w:sz="4" w:space="0" w:color="auto"/>
            </w:tcBorders>
            <w:noWrap/>
            <w:vAlign w:val="bottom"/>
            <w:hideMark/>
          </w:tcPr>
          <w:p w14:paraId="0478DCD6"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203305943</w:t>
            </w:r>
          </w:p>
        </w:tc>
        <w:tc>
          <w:tcPr>
            <w:tcW w:w="1301" w:type="pct"/>
            <w:tcBorders>
              <w:top w:val="nil"/>
              <w:left w:val="nil"/>
              <w:bottom w:val="single" w:sz="4" w:space="0" w:color="auto"/>
              <w:right w:val="single" w:sz="4" w:space="0" w:color="auto"/>
            </w:tcBorders>
            <w:noWrap/>
            <w:vAlign w:val="bottom"/>
            <w:hideMark/>
          </w:tcPr>
          <w:p w14:paraId="2BBCB03F"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BTG2_SE</w:t>
            </w:r>
          </w:p>
        </w:tc>
      </w:tr>
      <w:tr w:rsidR="00EC63CB" w:rsidRPr="00EC63CB" w14:paraId="52809309" w14:textId="77777777" w:rsidTr="00B85ED1">
        <w:trPr>
          <w:trHeight w:val="300"/>
          <w:jc w:val="center"/>
        </w:trPr>
        <w:tc>
          <w:tcPr>
            <w:tcW w:w="1360" w:type="pct"/>
            <w:tcBorders>
              <w:top w:val="nil"/>
              <w:left w:val="single" w:sz="4" w:space="0" w:color="auto"/>
              <w:bottom w:val="single" w:sz="4" w:space="0" w:color="auto"/>
              <w:right w:val="single" w:sz="4" w:space="0" w:color="auto"/>
            </w:tcBorders>
            <w:noWrap/>
            <w:vAlign w:val="bottom"/>
            <w:hideMark/>
          </w:tcPr>
          <w:p w14:paraId="3306A944"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chr2</w:t>
            </w:r>
          </w:p>
        </w:tc>
        <w:tc>
          <w:tcPr>
            <w:tcW w:w="1170" w:type="pct"/>
            <w:tcBorders>
              <w:top w:val="nil"/>
              <w:left w:val="nil"/>
              <w:bottom w:val="single" w:sz="4" w:space="0" w:color="auto"/>
              <w:right w:val="single" w:sz="4" w:space="0" w:color="auto"/>
            </w:tcBorders>
            <w:noWrap/>
            <w:vAlign w:val="bottom"/>
            <w:hideMark/>
          </w:tcPr>
          <w:p w14:paraId="21985F10"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136117168</w:t>
            </w:r>
          </w:p>
        </w:tc>
        <w:tc>
          <w:tcPr>
            <w:tcW w:w="1170" w:type="pct"/>
            <w:tcBorders>
              <w:top w:val="nil"/>
              <w:left w:val="nil"/>
              <w:bottom w:val="single" w:sz="4" w:space="0" w:color="auto"/>
              <w:right w:val="single" w:sz="4" w:space="0" w:color="auto"/>
            </w:tcBorders>
            <w:noWrap/>
            <w:vAlign w:val="bottom"/>
            <w:hideMark/>
          </w:tcPr>
          <w:p w14:paraId="6D83A11E"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136118168</w:t>
            </w:r>
          </w:p>
        </w:tc>
        <w:tc>
          <w:tcPr>
            <w:tcW w:w="1301" w:type="pct"/>
            <w:tcBorders>
              <w:top w:val="nil"/>
              <w:left w:val="nil"/>
              <w:bottom w:val="single" w:sz="4" w:space="0" w:color="auto"/>
              <w:right w:val="single" w:sz="4" w:space="0" w:color="auto"/>
            </w:tcBorders>
            <w:noWrap/>
            <w:vAlign w:val="bottom"/>
            <w:hideMark/>
          </w:tcPr>
          <w:p w14:paraId="6DC8FC36"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CXCR4_SE</w:t>
            </w:r>
          </w:p>
        </w:tc>
      </w:tr>
      <w:tr w:rsidR="00EC63CB" w:rsidRPr="00EC63CB" w14:paraId="0EA7029E" w14:textId="77777777" w:rsidTr="00B85ED1">
        <w:trPr>
          <w:trHeight w:val="300"/>
          <w:jc w:val="center"/>
        </w:trPr>
        <w:tc>
          <w:tcPr>
            <w:tcW w:w="1360" w:type="pct"/>
            <w:tcBorders>
              <w:top w:val="nil"/>
              <w:left w:val="single" w:sz="4" w:space="0" w:color="auto"/>
              <w:bottom w:val="single" w:sz="4" w:space="0" w:color="auto"/>
              <w:right w:val="single" w:sz="4" w:space="0" w:color="auto"/>
            </w:tcBorders>
            <w:noWrap/>
            <w:vAlign w:val="bottom"/>
            <w:hideMark/>
          </w:tcPr>
          <w:p w14:paraId="29959E02"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chr3</w:t>
            </w:r>
          </w:p>
        </w:tc>
        <w:tc>
          <w:tcPr>
            <w:tcW w:w="1170" w:type="pct"/>
            <w:tcBorders>
              <w:top w:val="nil"/>
              <w:left w:val="nil"/>
              <w:bottom w:val="single" w:sz="4" w:space="0" w:color="auto"/>
              <w:right w:val="single" w:sz="4" w:space="0" w:color="auto"/>
            </w:tcBorders>
            <w:noWrap/>
            <w:vAlign w:val="bottom"/>
            <w:hideMark/>
          </w:tcPr>
          <w:p w14:paraId="6BDB6F1E"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31980498</w:t>
            </w:r>
          </w:p>
        </w:tc>
        <w:tc>
          <w:tcPr>
            <w:tcW w:w="1170" w:type="pct"/>
            <w:tcBorders>
              <w:top w:val="nil"/>
              <w:left w:val="nil"/>
              <w:bottom w:val="single" w:sz="4" w:space="0" w:color="auto"/>
              <w:right w:val="single" w:sz="4" w:space="0" w:color="auto"/>
            </w:tcBorders>
            <w:noWrap/>
            <w:vAlign w:val="bottom"/>
            <w:hideMark/>
          </w:tcPr>
          <w:p w14:paraId="5C42BB2C"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31981498</w:t>
            </w:r>
          </w:p>
        </w:tc>
        <w:tc>
          <w:tcPr>
            <w:tcW w:w="1301" w:type="pct"/>
            <w:tcBorders>
              <w:top w:val="nil"/>
              <w:left w:val="nil"/>
              <w:bottom w:val="single" w:sz="4" w:space="0" w:color="auto"/>
              <w:right w:val="single" w:sz="4" w:space="0" w:color="auto"/>
            </w:tcBorders>
            <w:noWrap/>
            <w:vAlign w:val="bottom"/>
            <w:hideMark/>
          </w:tcPr>
          <w:p w14:paraId="071368C5"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OSBPL10_SE</w:t>
            </w:r>
          </w:p>
        </w:tc>
      </w:tr>
      <w:tr w:rsidR="00EC63CB" w:rsidRPr="00EC63CB" w14:paraId="03997D3A" w14:textId="77777777" w:rsidTr="00B85ED1">
        <w:trPr>
          <w:trHeight w:val="300"/>
          <w:jc w:val="center"/>
        </w:trPr>
        <w:tc>
          <w:tcPr>
            <w:tcW w:w="1360" w:type="pct"/>
            <w:tcBorders>
              <w:top w:val="nil"/>
              <w:left w:val="single" w:sz="4" w:space="0" w:color="auto"/>
              <w:bottom w:val="single" w:sz="4" w:space="0" w:color="auto"/>
              <w:right w:val="single" w:sz="4" w:space="0" w:color="auto"/>
            </w:tcBorders>
            <w:noWrap/>
            <w:vAlign w:val="bottom"/>
            <w:hideMark/>
          </w:tcPr>
          <w:p w14:paraId="381C31F4"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chr3</w:t>
            </w:r>
          </w:p>
        </w:tc>
        <w:tc>
          <w:tcPr>
            <w:tcW w:w="1170" w:type="pct"/>
            <w:tcBorders>
              <w:top w:val="nil"/>
              <w:left w:val="nil"/>
              <w:bottom w:val="single" w:sz="4" w:space="0" w:color="auto"/>
              <w:right w:val="single" w:sz="4" w:space="0" w:color="auto"/>
            </w:tcBorders>
            <w:noWrap/>
            <w:vAlign w:val="bottom"/>
            <w:hideMark/>
          </w:tcPr>
          <w:p w14:paraId="2CB52D37"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187742485</w:t>
            </w:r>
          </w:p>
        </w:tc>
        <w:tc>
          <w:tcPr>
            <w:tcW w:w="1170" w:type="pct"/>
            <w:tcBorders>
              <w:top w:val="nil"/>
              <w:left w:val="nil"/>
              <w:bottom w:val="single" w:sz="4" w:space="0" w:color="auto"/>
              <w:right w:val="single" w:sz="4" w:space="0" w:color="auto"/>
            </w:tcBorders>
            <w:noWrap/>
            <w:vAlign w:val="bottom"/>
            <w:hideMark/>
          </w:tcPr>
          <w:p w14:paraId="3D946D13"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187743485</w:t>
            </w:r>
          </w:p>
        </w:tc>
        <w:tc>
          <w:tcPr>
            <w:tcW w:w="1301" w:type="pct"/>
            <w:tcBorders>
              <w:top w:val="nil"/>
              <w:left w:val="nil"/>
              <w:bottom w:val="single" w:sz="4" w:space="0" w:color="auto"/>
              <w:right w:val="single" w:sz="4" w:space="0" w:color="auto"/>
            </w:tcBorders>
            <w:noWrap/>
            <w:vAlign w:val="bottom"/>
            <w:hideMark/>
          </w:tcPr>
          <w:p w14:paraId="0229406E"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BCL6_SE</w:t>
            </w:r>
          </w:p>
        </w:tc>
      </w:tr>
      <w:tr w:rsidR="00EC63CB" w:rsidRPr="00EC63CB" w14:paraId="49C1E7FA" w14:textId="77777777" w:rsidTr="00B85ED1">
        <w:trPr>
          <w:trHeight w:val="300"/>
          <w:jc w:val="center"/>
        </w:trPr>
        <w:tc>
          <w:tcPr>
            <w:tcW w:w="1360" w:type="pct"/>
            <w:tcBorders>
              <w:top w:val="nil"/>
              <w:left w:val="single" w:sz="4" w:space="0" w:color="auto"/>
              <w:bottom w:val="single" w:sz="4" w:space="0" w:color="auto"/>
              <w:right w:val="single" w:sz="4" w:space="0" w:color="auto"/>
            </w:tcBorders>
            <w:noWrap/>
            <w:vAlign w:val="bottom"/>
            <w:hideMark/>
          </w:tcPr>
          <w:p w14:paraId="3265D591"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chr5</w:t>
            </w:r>
          </w:p>
        </w:tc>
        <w:tc>
          <w:tcPr>
            <w:tcW w:w="1170" w:type="pct"/>
            <w:tcBorders>
              <w:top w:val="nil"/>
              <w:left w:val="nil"/>
              <w:bottom w:val="single" w:sz="4" w:space="0" w:color="auto"/>
              <w:right w:val="single" w:sz="4" w:space="0" w:color="auto"/>
            </w:tcBorders>
            <w:noWrap/>
            <w:vAlign w:val="bottom"/>
            <w:hideMark/>
          </w:tcPr>
          <w:p w14:paraId="07BEEEB1"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159100361</w:t>
            </w:r>
          </w:p>
        </w:tc>
        <w:tc>
          <w:tcPr>
            <w:tcW w:w="1170" w:type="pct"/>
            <w:tcBorders>
              <w:top w:val="nil"/>
              <w:left w:val="nil"/>
              <w:bottom w:val="single" w:sz="4" w:space="0" w:color="auto"/>
              <w:right w:val="single" w:sz="4" w:space="0" w:color="auto"/>
            </w:tcBorders>
            <w:noWrap/>
            <w:vAlign w:val="bottom"/>
            <w:hideMark/>
          </w:tcPr>
          <w:p w14:paraId="42D7AA6B"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159101361</w:t>
            </w:r>
          </w:p>
        </w:tc>
        <w:tc>
          <w:tcPr>
            <w:tcW w:w="1301" w:type="pct"/>
            <w:tcBorders>
              <w:top w:val="nil"/>
              <w:left w:val="nil"/>
              <w:bottom w:val="single" w:sz="4" w:space="0" w:color="auto"/>
              <w:right w:val="single" w:sz="4" w:space="0" w:color="auto"/>
            </w:tcBorders>
            <w:noWrap/>
            <w:vAlign w:val="bottom"/>
            <w:hideMark/>
          </w:tcPr>
          <w:p w14:paraId="66B1B036"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EBF1_SE</w:t>
            </w:r>
          </w:p>
        </w:tc>
      </w:tr>
      <w:tr w:rsidR="00EC63CB" w:rsidRPr="00EC63CB" w14:paraId="14B2572F" w14:textId="77777777" w:rsidTr="00B85ED1">
        <w:trPr>
          <w:trHeight w:val="300"/>
          <w:jc w:val="center"/>
        </w:trPr>
        <w:tc>
          <w:tcPr>
            <w:tcW w:w="1360" w:type="pct"/>
            <w:tcBorders>
              <w:top w:val="nil"/>
              <w:left w:val="single" w:sz="4" w:space="0" w:color="auto"/>
              <w:bottom w:val="single" w:sz="4" w:space="0" w:color="auto"/>
              <w:right w:val="single" w:sz="4" w:space="0" w:color="auto"/>
            </w:tcBorders>
            <w:noWrap/>
            <w:vAlign w:val="bottom"/>
            <w:hideMark/>
          </w:tcPr>
          <w:p w14:paraId="2EED2BED"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chr9</w:t>
            </w:r>
          </w:p>
        </w:tc>
        <w:tc>
          <w:tcPr>
            <w:tcW w:w="1170" w:type="pct"/>
            <w:tcBorders>
              <w:top w:val="nil"/>
              <w:left w:val="nil"/>
              <w:bottom w:val="single" w:sz="4" w:space="0" w:color="auto"/>
              <w:right w:val="single" w:sz="4" w:space="0" w:color="auto"/>
            </w:tcBorders>
            <w:noWrap/>
            <w:vAlign w:val="bottom"/>
            <w:hideMark/>
          </w:tcPr>
          <w:p w14:paraId="5BBAEF39"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37024991</w:t>
            </w:r>
          </w:p>
        </w:tc>
        <w:tc>
          <w:tcPr>
            <w:tcW w:w="1170" w:type="pct"/>
            <w:tcBorders>
              <w:top w:val="nil"/>
              <w:left w:val="nil"/>
              <w:bottom w:val="single" w:sz="4" w:space="0" w:color="auto"/>
              <w:right w:val="single" w:sz="4" w:space="0" w:color="auto"/>
            </w:tcBorders>
            <w:noWrap/>
            <w:vAlign w:val="bottom"/>
            <w:hideMark/>
          </w:tcPr>
          <w:p w14:paraId="2D784C87"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37025991</w:t>
            </w:r>
          </w:p>
        </w:tc>
        <w:tc>
          <w:tcPr>
            <w:tcW w:w="1301" w:type="pct"/>
            <w:tcBorders>
              <w:top w:val="nil"/>
              <w:left w:val="nil"/>
              <w:bottom w:val="single" w:sz="4" w:space="0" w:color="auto"/>
              <w:right w:val="single" w:sz="4" w:space="0" w:color="auto"/>
            </w:tcBorders>
            <w:noWrap/>
            <w:vAlign w:val="bottom"/>
            <w:hideMark/>
          </w:tcPr>
          <w:p w14:paraId="7B1CA351"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PAX5_SE</w:t>
            </w:r>
          </w:p>
        </w:tc>
      </w:tr>
      <w:tr w:rsidR="00EC63CB" w:rsidRPr="00EC63CB" w14:paraId="7FB6E9B9" w14:textId="77777777" w:rsidTr="00B85ED1">
        <w:trPr>
          <w:trHeight w:val="300"/>
          <w:jc w:val="center"/>
        </w:trPr>
        <w:tc>
          <w:tcPr>
            <w:tcW w:w="1360" w:type="pct"/>
            <w:tcBorders>
              <w:top w:val="nil"/>
              <w:left w:val="single" w:sz="4" w:space="0" w:color="auto"/>
              <w:bottom w:val="single" w:sz="4" w:space="0" w:color="auto"/>
              <w:right w:val="single" w:sz="4" w:space="0" w:color="auto"/>
            </w:tcBorders>
            <w:noWrap/>
            <w:vAlign w:val="bottom"/>
            <w:hideMark/>
          </w:tcPr>
          <w:p w14:paraId="18C76A30"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chr12</w:t>
            </w:r>
          </w:p>
        </w:tc>
        <w:tc>
          <w:tcPr>
            <w:tcW w:w="1170" w:type="pct"/>
            <w:tcBorders>
              <w:top w:val="nil"/>
              <w:left w:val="nil"/>
              <w:bottom w:val="single" w:sz="4" w:space="0" w:color="auto"/>
              <w:right w:val="single" w:sz="4" w:space="0" w:color="auto"/>
            </w:tcBorders>
            <w:noWrap/>
            <w:vAlign w:val="bottom"/>
            <w:hideMark/>
          </w:tcPr>
          <w:p w14:paraId="35416B2F"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92144670</w:t>
            </w:r>
          </w:p>
        </w:tc>
        <w:tc>
          <w:tcPr>
            <w:tcW w:w="1170" w:type="pct"/>
            <w:tcBorders>
              <w:top w:val="nil"/>
              <w:left w:val="nil"/>
              <w:bottom w:val="single" w:sz="4" w:space="0" w:color="auto"/>
              <w:right w:val="single" w:sz="4" w:space="0" w:color="auto"/>
            </w:tcBorders>
            <w:noWrap/>
            <w:vAlign w:val="bottom"/>
            <w:hideMark/>
          </w:tcPr>
          <w:p w14:paraId="29B9C94F"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92145670</w:t>
            </w:r>
          </w:p>
        </w:tc>
        <w:tc>
          <w:tcPr>
            <w:tcW w:w="1301" w:type="pct"/>
            <w:tcBorders>
              <w:top w:val="nil"/>
              <w:left w:val="nil"/>
              <w:bottom w:val="single" w:sz="4" w:space="0" w:color="auto"/>
              <w:right w:val="single" w:sz="4" w:space="0" w:color="auto"/>
            </w:tcBorders>
            <w:noWrap/>
            <w:vAlign w:val="bottom"/>
            <w:hideMark/>
          </w:tcPr>
          <w:p w14:paraId="576CB05E"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BTG1_SE</w:t>
            </w:r>
          </w:p>
        </w:tc>
      </w:tr>
      <w:tr w:rsidR="00EC63CB" w:rsidRPr="00EC63CB" w14:paraId="250B1811" w14:textId="77777777" w:rsidTr="00B85ED1">
        <w:trPr>
          <w:trHeight w:val="300"/>
          <w:jc w:val="center"/>
        </w:trPr>
        <w:tc>
          <w:tcPr>
            <w:tcW w:w="1360" w:type="pct"/>
            <w:tcBorders>
              <w:top w:val="nil"/>
              <w:left w:val="single" w:sz="4" w:space="0" w:color="auto"/>
              <w:bottom w:val="single" w:sz="4" w:space="0" w:color="auto"/>
              <w:right w:val="single" w:sz="4" w:space="0" w:color="auto"/>
            </w:tcBorders>
            <w:noWrap/>
            <w:vAlign w:val="bottom"/>
            <w:hideMark/>
          </w:tcPr>
          <w:p w14:paraId="27316DC5"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chr12</w:t>
            </w:r>
          </w:p>
        </w:tc>
        <w:tc>
          <w:tcPr>
            <w:tcW w:w="1170" w:type="pct"/>
            <w:tcBorders>
              <w:top w:val="nil"/>
              <w:left w:val="nil"/>
              <w:bottom w:val="single" w:sz="4" w:space="0" w:color="auto"/>
              <w:right w:val="single" w:sz="4" w:space="0" w:color="auto"/>
            </w:tcBorders>
            <w:noWrap/>
            <w:vAlign w:val="bottom"/>
            <w:hideMark/>
          </w:tcPr>
          <w:p w14:paraId="2E4CF94E"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113056576</w:t>
            </w:r>
          </w:p>
        </w:tc>
        <w:tc>
          <w:tcPr>
            <w:tcW w:w="1170" w:type="pct"/>
            <w:tcBorders>
              <w:top w:val="nil"/>
              <w:left w:val="nil"/>
              <w:bottom w:val="single" w:sz="4" w:space="0" w:color="auto"/>
              <w:right w:val="single" w:sz="4" w:space="0" w:color="auto"/>
            </w:tcBorders>
            <w:noWrap/>
            <w:vAlign w:val="bottom"/>
            <w:hideMark/>
          </w:tcPr>
          <w:p w14:paraId="5A04FDE6"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113057576</w:t>
            </w:r>
          </w:p>
        </w:tc>
        <w:tc>
          <w:tcPr>
            <w:tcW w:w="1301" w:type="pct"/>
            <w:tcBorders>
              <w:top w:val="nil"/>
              <w:left w:val="nil"/>
              <w:bottom w:val="single" w:sz="4" w:space="0" w:color="auto"/>
              <w:right w:val="single" w:sz="4" w:space="0" w:color="auto"/>
            </w:tcBorders>
            <w:noWrap/>
            <w:vAlign w:val="bottom"/>
            <w:hideMark/>
          </w:tcPr>
          <w:p w14:paraId="0C8D5539"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DTX1_SE</w:t>
            </w:r>
          </w:p>
        </w:tc>
      </w:tr>
      <w:tr w:rsidR="00EC63CB" w:rsidRPr="00EC63CB" w14:paraId="168D8368" w14:textId="77777777" w:rsidTr="00B85ED1">
        <w:trPr>
          <w:trHeight w:val="300"/>
          <w:jc w:val="center"/>
        </w:trPr>
        <w:tc>
          <w:tcPr>
            <w:tcW w:w="1360" w:type="pct"/>
            <w:tcBorders>
              <w:top w:val="nil"/>
              <w:left w:val="single" w:sz="4" w:space="0" w:color="auto"/>
              <w:bottom w:val="single" w:sz="4" w:space="0" w:color="auto"/>
              <w:right w:val="single" w:sz="4" w:space="0" w:color="auto"/>
            </w:tcBorders>
            <w:noWrap/>
            <w:vAlign w:val="bottom"/>
            <w:hideMark/>
          </w:tcPr>
          <w:p w14:paraId="35A70C08"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chr16</w:t>
            </w:r>
          </w:p>
        </w:tc>
        <w:tc>
          <w:tcPr>
            <w:tcW w:w="1170" w:type="pct"/>
            <w:tcBorders>
              <w:top w:val="nil"/>
              <w:left w:val="nil"/>
              <w:bottom w:val="single" w:sz="4" w:space="0" w:color="auto"/>
              <w:right w:val="single" w:sz="4" w:space="0" w:color="auto"/>
            </w:tcBorders>
            <w:noWrap/>
            <w:vAlign w:val="bottom"/>
            <w:hideMark/>
          </w:tcPr>
          <w:p w14:paraId="64857029"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10877103</w:t>
            </w:r>
          </w:p>
        </w:tc>
        <w:tc>
          <w:tcPr>
            <w:tcW w:w="1170" w:type="pct"/>
            <w:tcBorders>
              <w:top w:val="nil"/>
              <w:left w:val="nil"/>
              <w:bottom w:val="single" w:sz="4" w:space="0" w:color="auto"/>
              <w:right w:val="single" w:sz="4" w:space="0" w:color="auto"/>
            </w:tcBorders>
            <w:noWrap/>
            <w:vAlign w:val="bottom"/>
            <w:hideMark/>
          </w:tcPr>
          <w:p w14:paraId="6E2CCC41"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10878103</w:t>
            </w:r>
          </w:p>
        </w:tc>
        <w:tc>
          <w:tcPr>
            <w:tcW w:w="1301" w:type="pct"/>
            <w:tcBorders>
              <w:top w:val="nil"/>
              <w:left w:val="nil"/>
              <w:bottom w:val="single" w:sz="4" w:space="0" w:color="auto"/>
              <w:right w:val="single" w:sz="4" w:space="0" w:color="auto"/>
            </w:tcBorders>
            <w:noWrap/>
            <w:vAlign w:val="bottom"/>
            <w:hideMark/>
          </w:tcPr>
          <w:p w14:paraId="47A4C104"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CIITA_SE</w:t>
            </w:r>
          </w:p>
        </w:tc>
      </w:tr>
      <w:tr w:rsidR="00EC63CB" w:rsidRPr="00EC63CB" w14:paraId="2DA6AA88" w14:textId="77777777" w:rsidTr="00B85ED1">
        <w:trPr>
          <w:trHeight w:val="300"/>
          <w:jc w:val="center"/>
        </w:trPr>
        <w:tc>
          <w:tcPr>
            <w:tcW w:w="1360" w:type="pct"/>
            <w:tcBorders>
              <w:top w:val="nil"/>
              <w:left w:val="single" w:sz="4" w:space="0" w:color="auto"/>
              <w:bottom w:val="single" w:sz="4" w:space="0" w:color="auto"/>
              <w:right w:val="single" w:sz="4" w:space="0" w:color="auto"/>
            </w:tcBorders>
            <w:noWrap/>
            <w:vAlign w:val="bottom"/>
            <w:hideMark/>
          </w:tcPr>
          <w:p w14:paraId="4DF6F529"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chr16</w:t>
            </w:r>
          </w:p>
        </w:tc>
        <w:tc>
          <w:tcPr>
            <w:tcW w:w="1170" w:type="pct"/>
            <w:tcBorders>
              <w:top w:val="nil"/>
              <w:left w:val="nil"/>
              <w:bottom w:val="single" w:sz="4" w:space="0" w:color="auto"/>
              <w:right w:val="single" w:sz="4" w:space="0" w:color="auto"/>
            </w:tcBorders>
            <w:noWrap/>
            <w:vAlign w:val="bottom"/>
            <w:hideMark/>
          </w:tcPr>
          <w:p w14:paraId="16281192"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11254480</w:t>
            </w:r>
          </w:p>
        </w:tc>
        <w:tc>
          <w:tcPr>
            <w:tcW w:w="1170" w:type="pct"/>
            <w:tcBorders>
              <w:top w:val="nil"/>
              <w:left w:val="nil"/>
              <w:bottom w:val="single" w:sz="4" w:space="0" w:color="auto"/>
              <w:right w:val="single" w:sz="4" w:space="0" w:color="auto"/>
            </w:tcBorders>
            <w:noWrap/>
            <w:vAlign w:val="bottom"/>
            <w:hideMark/>
          </w:tcPr>
          <w:p w14:paraId="1A36C231"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11255480</w:t>
            </w:r>
          </w:p>
        </w:tc>
        <w:tc>
          <w:tcPr>
            <w:tcW w:w="1301" w:type="pct"/>
            <w:tcBorders>
              <w:top w:val="nil"/>
              <w:left w:val="nil"/>
              <w:bottom w:val="single" w:sz="4" w:space="0" w:color="auto"/>
              <w:right w:val="single" w:sz="4" w:space="0" w:color="auto"/>
            </w:tcBorders>
            <w:noWrap/>
            <w:vAlign w:val="bottom"/>
            <w:hideMark/>
          </w:tcPr>
          <w:p w14:paraId="41C49576" w14:textId="77777777" w:rsidR="00EC63CB" w:rsidRPr="00EC63CB" w:rsidRDefault="00EC63CB" w:rsidP="00B85ED1">
            <w:pPr>
              <w:spacing w:after="0" w:line="240" w:lineRule="auto"/>
              <w:jc w:val="center"/>
              <w:rPr>
                <w:rFonts w:ascii="Aptos Narrow" w:eastAsia="Times New Roman" w:hAnsi="Aptos Narrow" w:cs="Times New Roman"/>
                <w:color w:val="000000"/>
                <w:kern w:val="0"/>
                <w:sz w:val="22"/>
                <w:szCs w:val="22"/>
                <w14:ligatures w14:val="none"/>
              </w:rPr>
            </w:pPr>
            <w:r w:rsidRPr="00EC63CB">
              <w:rPr>
                <w:rFonts w:ascii="Aptos Narrow" w:eastAsia="Times New Roman" w:hAnsi="Aptos Narrow" w:cs="Times New Roman"/>
                <w:color w:val="000000"/>
                <w:kern w:val="0"/>
                <w:sz w:val="22"/>
                <w:szCs w:val="22"/>
                <w14:ligatures w14:val="none"/>
              </w:rPr>
              <w:t>SOCS1_SE</w:t>
            </w:r>
          </w:p>
        </w:tc>
      </w:tr>
    </w:tbl>
    <w:p w14:paraId="2E99C740" w14:textId="77777777" w:rsidR="004B70B9" w:rsidRDefault="004B70B9">
      <w:pPr>
        <w:rPr>
          <w:b/>
          <w:bCs/>
          <w:sz w:val="32"/>
          <w:szCs w:val="32"/>
        </w:rPr>
      </w:pPr>
    </w:p>
    <w:p w14:paraId="0196EB6C" w14:textId="0C397595" w:rsidR="004B70B9" w:rsidRDefault="004B70B9">
      <w:pPr>
        <w:rPr>
          <w:b/>
          <w:bCs/>
          <w:sz w:val="32"/>
          <w:szCs w:val="32"/>
        </w:rPr>
      </w:pPr>
    </w:p>
    <w:p w14:paraId="3BEBF839" w14:textId="77777777" w:rsidR="004B70B9" w:rsidRDefault="004B70B9" w:rsidP="004B70B9">
      <w:pPr>
        <w:rPr>
          <w:b/>
          <w:bCs/>
          <w:sz w:val="32"/>
          <w:szCs w:val="32"/>
        </w:rPr>
      </w:pPr>
    </w:p>
    <w:p w14:paraId="5E910FFA" w14:textId="13608084" w:rsidR="002C1314" w:rsidRDefault="002C1314" w:rsidP="002C1314">
      <w:pPr>
        <w:pStyle w:val="SuppFigTable"/>
      </w:pPr>
      <w:bookmarkStart w:id="24" w:name="_Toc214965011"/>
      <w:bookmarkStart w:id="25" w:name="_Toc241497590"/>
      <w:r w:rsidRPr="008D146F">
        <w:rPr>
          <w:rStyle w:val="SuppFigTableChar"/>
          <w:b/>
          <w:bCs/>
        </w:rPr>
        <w:lastRenderedPageBreak/>
        <w:t>Table S</w:t>
      </w:r>
      <w:r w:rsidR="00372B60">
        <w:rPr>
          <w:rStyle w:val="SuppFigTableChar"/>
          <w:b/>
          <w:bCs/>
        </w:rPr>
        <w:t>3</w:t>
      </w:r>
      <w:r>
        <w:t>. Overview of MNVista calls showing MNVs called using the reporter-list SNVs and in-house called SNVs as inputs, compared to the reporter-list MNVs.</w:t>
      </w:r>
      <w:bookmarkEnd w:id="24"/>
      <w:bookmarkEnd w:id="25"/>
      <w:r>
        <w:t xml:space="preserve"> </w:t>
      </w:r>
    </w:p>
    <w:tbl>
      <w:tblPr>
        <w:tblW w:w="9980" w:type="dxa"/>
        <w:tblCellMar>
          <w:left w:w="70" w:type="dxa"/>
          <w:right w:w="70" w:type="dxa"/>
        </w:tblCellMar>
        <w:tblLook w:val="04A0" w:firstRow="1" w:lastRow="0" w:firstColumn="1" w:lastColumn="0" w:noHBand="0" w:noVBand="1"/>
      </w:tblPr>
      <w:tblGrid>
        <w:gridCol w:w="1956"/>
        <w:gridCol w:w="1539"/>
        <w:gridCol w:w="902"/>
        <w:gridCol w:w="1056"/>
        <w:gridCol w:w="1056"/>
        <w:gridCol w:w="1056"/>
        <w:gridCol w:w="1157"/>
        <w:gridCol w:w="1258"/>
      </w:tblGrid>
      <w:tr w:rsidR="002C1314" w:rsidRPr="00511D5F" w14:paraId="7F13D134" w14:textId="77777777" w:rsidTr="001C4B05">
        <w:trPr>
          <w:trHeight w:val="570"/>
        </w:trPr>
        <w:tc>
          <w:tcPr>
            <w:tcW w:w="1956" w:type="dxa"/>
            <w:vMerge w:val="restart"/>
            <w:tcBorders>
              <w:top w:val="single" w:sz="4" w:space="0" w:color="auto"/>
              <w:left w:val="single" w:sz="4" w:space="0" w:color="auto"/>
              <w:bottom w:val="single" w:sz="4" w:space="0" w:color="auto"/>
              <w:right w:val="single" w:sz="4" w:space="0" w:color="auto"/>
            </w:tcBorders>
            <w:hideMark/>
          </w:tcPr>
          <w:p w14:paraId="7E1ED7D0" w14:textId="77777777" w:rsidR="002C1314" w:rsidRPr="001C4B05" w:rsidRDefault="002C1314" w:rsidP="00216D3F">
            <w:pPr>
              <w:spacing w:after="0" w:line="240" w:lineRule="auto"/>
              <w:jc w:val="center"/>
              <w:rPr>
                <w:rFonts w:ascii="Aptos Narrow" w:eastAsia="Times New Roman" w:hAnsi="Aptos Narrow" w:cs="Times New Roman"/>
                <w:b/>
                <w:bCs/>
                <w:color w:val="000000"/>
                <w:kern w:val="0"/>
                <w:sz w:val="20"/>
                <w:szCs w:val="20"/>
                <w:lang w:val="en-GB" w:eastAsia="nl-NL"/>
                <w14:ligatures w14:val="none"/>
              </w:rPr>
            </w:pPr>
            <w:r w:rsidRPr="001C4B05">
              <w:rPr>
                <w:rFonts w:ascii="Aptos Narrow" w:eastAsia="Times New Roman" w:hAnsi="Aptos Narrow" w:cs="Times New Roman"/>
                <w:b/>
                <w:bCs/>
                <w:color w:val="000000"/>
                <w:kern w:val="0"/>
                <w:sz w:val="20"/>
                <w:szCs w:val="20"/>
                <w:lang w:val="en-GB" w:eastAsia="nl-NL"/>
                <w14:ligatures w14:val="none"/>
              </w:rPr>
              <w:t>Metric</w:t>
            </w:r>
          </w:p>
        </w:tc>
        <w:tc>
          <w:tcPr>
            <w:tcW w:w="1539" w:type="dxa"/>
            <w:vMerge w:val="restart"/>
            <w:tcBorders>
              <w:top w:val="single" w:sz="4" w:space="0" w:color="auto"/>
              <w:left w:val="single" w:sz="4" w:space="0" w:color="auto"/>
              <w:bottom w:val="single" w:sz="4" w:space="0" w:color="auto"/>
              <w:right w:val="single" w:sz="4" w:space="0" w:color="auto"/>
            </w:tcBorders>
            <w:hideMark/>
          </w:tcPr>
          <w:p w14:paraId="004A3948" w14:textId="77777777" w:rsidR="002C1314" w:rsidRPr="001C4B05" w:rsidRDefault="002C1314" w:rsidP="00216D3F">
            <w:pPr>
              <w:spacing w:after="0" w:line="240" w:lineRule="auto"/>
              <w:jc w:val="center"/>
              <w:rPr>
                <w:rFonts w:ascii="Aptos Narrow" w:eastAsia="Times New Roman" w:hAnsi="Aptos Narrow" w:cs="Times New Roman"/>
                <w:b/>
                <w:bCs/>
                <w:color w:val="000000"/>
                <w:kern w:val="0"/>
                <w:sz w:val="20"/>
                <w:szCs w:val="20"/>
                <w:lang w:val="en-GB" w:eastAsia="nl-NL"/>
                <w14:ligatures w14:val="none"/>
              </w:rPr>
            </w:pPr>
            <w:proofErr w:type="spellStart"/>
            <w:r w:rsidRPr="001C4B05">
              <w:rPr>
                <w:rFonts w:ascii="Aptos Narrow" w:eastAsia="Times New Roman" w:hAnsi="Aptos Narrow" w:cs="Times New Roman"/>
                <w:b/>
                <w:bCs/>
                <w:color w:val="000000"/>
                <w:kern w:val="0"/>
                <w:sz w:val="20"/>
                <w:szCs w:val="20"/>
                <w:lang w:val="en-GB" w:eastAsia="nl-NL"/>
                <w14:ligatures w14:val="none"/>
              </w:rPr>
              <w:t>PhasED-Seq</w:t>
            </w:r>
            <w:proofErr w:type="spellEnd"/>
          </w:p>
        </w:tc>
        <w:tc>
          <w:tcPr>
            <w:tcW w:w="3014" w:type="dxa"/>
            <w:gridSpan w:val="3"/>
            <w:tcBorders>
              <w:top w:val="single" w:sz="4" w:space="0" w:color="auto"/>
              <w:left w:val="single" w:sz="4" w:space="0" w:color="auto"/>
              <w:bottom w:val="single" w:sz="4" w:space="0" w:color="auto"/>
              <w:right w:val="single" w:sz="4" w:space="0" w:color="auto"/>
            </w:tcBorders>
            <w:hideMark/>
          </w:tcPr>
          <w:p w14:paraId="3A84363B" w14:textId="782F01F2" w:rsidR="002C1314" w:rsidRPr="001C4B05" w:rsidRDefault="002C1314" w:rsidP="00216D3F">
            <w:pPr>
              <w:spacing w:after="0" w:line="240" w:lineRule="auto"/>
              <w:jc w:val="center"/>
              <w:rPr>
                <w:rFonts w:ascii="Aptos Narrow" w:eastAsia="Times New Roman" w:hAnsi="Aptos Narrow" w:cs="Times New Roman"/>
                <w:b/>
                <w:bCs/>
                <w:color w:val="000000"/>
                <w:kern w:val="0"/>
                <w:sz w:val="20"/>
                <w:szCs w:val="20"/>
                <w:lang w:val="en-GB" w:eastAsia="nl-NL"/>
                <w14:ligatures w14:val="none"/>
              </w:rPr>
            </w:pPr>
            <w:r w:rsidRPr="001C4B05">
              <w:rPr>
                <w:rFonts w:ascii="Aptos Narrow" w:eastAsia="Times New Roman" w:hAnsi="Aptos Narrow" w:cs="Times New Roman"/>
                <w:b/>
                <w:bCs/>
                <w:color w:val="000000"/>
                <w:kern w:val="0"/>
                <w:sz w:val="20"/>
                <w:szCs w:val="20"/>
                <w:lang w:val="en-GB" w:eastAsia="nl-NL"/>
                <w14:ligatures w14:val="none"/>
              </w:rPr>
              <w:t>MNVista calls using reporter-list SNVs (N=1,3</w:t>
            </w:r>
            <w:r w:rsidR="00EC24C2" w:rsidRPr="001C4B05">
              <w:rPr>
                <w:rFonts w:ascii="Aptos Narrow" w:eastAsia="Times New Roman" w:hAnsi="Aptos Narrow" w:cs="Times New Roman"/>
                <w:b/>
                <w:bCs/>
                <w:color w:val="000000"/>
                <w:kern w:val="0"/>
                <w:sz w:val="20"/>
                <w:szCs w:val="20"/>
                <w:lang w:val="en-GB" w:eastAsia="nl-NL"/>
                <w14:ligatures w14:val="none"/>
              </w:rPr>
              <w:t>9</w:t>
            </w:r>
            <w:r w:rsidRPr="001C4B05">
              <w:rPr>
                <w:rFonts w:ascii="Aptos Narrow" w:eastAsia="Times New Roman" w:hAnsi="Aptos Narrow" w:cs="Times New Roman"/>
                <w:b/>
                <w:bCs/>
                <w:color w:val="000000"/>
                <w:kern w:val="0"/>
                <w:sz w:val="20"/>
                <w:szCs w:val="20"/>
                <w:lang w:val="en-GB" w:eastAsia="nl-NL"/>
                <w14:ligatures w14:val="none"/>
              </w:rPr>
              <w:t>1) as input</w:t>
            </w:r>
          </w:p>
        </w:tc>
        <w:tc>
          <w:tcPr>
            <w:tcW w:w="3471" w:type="dxa"/>
            <w:gridSpan w:val="3"/>
            <w:tcBorders>
              <w:top w:val="single" w:sz="4" w:space="0" w:color="auto"/>
              <w:left w:val="single" w:sz="4" w:space="0" w:color="auto"/>
              <w:bottom w:val="single" w:sz="4" w:space="0" w:color="auto"/>
              <w:right w:val="single" w:sz="4" w:space="0" w:color="auto"/>
            </w:tcBorders>
            <w:hideMark/>
          </w:tcPr>
          <w:p w14:paraId="7D213C50" w14:textId="77777777" w:rsidR="002C1314" w:rsidRPr="00C41E8E" w:rsidRDefault="002C1314" w:rsidP="00216D3F">
            <w:pPr>
              <w:spacing w:after="0" w:line="240" w:lineRule="auto"/>
              <w:jc w:val="center"/>
              <w:rPr>
                <w:rFonts w:ascii="Aptos Narrow" w:eastAsia="Times New Roman" w:hAnsi="Aptos Narrow" w:cs="Times New Roman"/>
                <w:b/>
                <w:bCs/>
                <w:color w:val="000000"/>
                <w:kern w:val="0"/>
                <w:sz w:val="20"/>
                <w:szCs w:val="20"/>
                <w:lang w:eastAsia="nl-NL"/>
                <w14:ligatures w14:val="none"/>
              </w:rPr>
            </w:pPr>
            <w:r w:rsidRPr="00C41E8E">
              <w:rPr>
                <w:rFonts w:ascii="Aptos Narrow" w:eastAsia="Times New Roman" w:hAnsi="Aptos Narrow" w:cs="Times New Roman"/>
                <w:b/>
                <w:bCs/>
                <w:color w:val="000000"/>
                <w:kern w:val="0"/>
                <w:sz w:val="20"/>
                <w:szCs w:val="20"/>
                <w:lang w:eastAsia="nl-NL"/>
                <w14:ligatures w14:val="none"/>
              </w:rPr>
              <w:t xml:space="preserve">MNVista </w:t>
            </w:r>
            <w:r>
              <w:rPr>
                <w:rFonts w:ascii="Aptos Narrow" w:eastAsia="Times New Roman" w:hAnsi="Aptos Narrow" w:cs="Times New Roman"/>
                <w:b/>
                <w:bCs/>
                <w:color w:val="000000"/>
                <w:kern w:val="0"/>
                <w:sz w:val="20"/>
                <w:szCs w:val="20"/>
                <w:lang w:eastAsia="nl-NL"/>
                <w14:ligatures w14:val="none"/>
              </w:rPr>
              <w:t xml:space="preserve">calls </w:t>
            </w:r>
            <w:r w:rsidRPr="00C41E8E">
              <w:rPr>
                <w:rFonts w:ascii="Aptos Narrow" w:eastAsia="Times New Roman" w:hAnsi="Aptos Narrow" w:cs="Times New Roman"/>
                <w:b/>
                <w:bCs/>
                <w:color w:val="000000"/>
                <w:kern w:val="0"/>
                <w:sz w:val="20"/>
                <w:szCs w:val="20"/>
                <w:lang w:eastAsia="nl-NL"/>
                <w14:ligatures w14:val="none"/>
              </w:rPr>
              <w:t xml:space="preserve">using in-house </w:t>
            </w:r>
            <w:r>
              <w:rPr>
                <w:rFonts w:ascii="Aptos Narrow" w:eastAsia="Times New Roman" w:hAnsi="Aptos Narrow" w:cs="Times New Roman"/>
                <w:b/>
                <w:bCs/>
                <w:color w:val="000000"/>
                <w:kern w:val="0"/>
                <w:sz w:val="20"/>
                <w:szCs w:val="20"/>
                <w:lang w:eastAsia="nl-NL"/>
                <w14:ligatures w14:val="none"/>
              </w:rPr>
              <w:t xml:space="preserve">called </w:t>
            </w:r>
            <w:r w:rsidRPr="00C41E8E">
              <w:rPr>
                <w:rFonts w:ascii="Aptos Narrow" w:eastAsia="Times New Roman" w:hAnsi="Aptos Narrow" w:cs="Times New Roman"/>
                <w:b/>
                <w:bCs/>
                <w:color w:val="000000"/>
                <w:kern w:val="0"/>
                <w:sz w:val="20"/>
                <w:szCs w:val="20"/>
                <w:lang w:eastAsia="nl-NL"/>
                <w14:ligatures w14:val="none"/>
              </w:rPr>
              <w:t>SNVs (N=17</w:t>
            </w:r>
            <w:r>
              <w:rPr>
                <w:rFonts w:ascii="Aptos Narrow" w:eastAsia="Times New Roman" w:hAnsi="Aptos Narrow" w:cs="Times New Roman"/>
                <w:b/>
                <w:bCs/>
                <w:color w:val="000000"/>
                <w:kern w:val="0"/>
                <w:sz w:val="20"/>
                <w:szCs w:val="20"/>
                <w:lang w:eastAsia="nl-NL"/>
                <w14:ligatures w14:val="none"/>
              </w:rPr>
              <w:t>,</w:t>
            </w:r>
            <w:r w:rsidRPr="00C41E8E">
              <w:rPr>
                <w:rFonts w:ascii="Aptos Narrow" w:eastAsia="Times New Roman" w:hAnsi="Aptos Narrow" w:cs="Times New Roman"/>
                <w:b/>
                <w:bCs/>
                <w:color w:val="000000"/>
                <w:kern w:val="0"/>
                <w:sz w:val="20"/>
                <w:szCs w:val="20"/>
                <w:lang w:eastAsia="nl-NL"/>
                <w14:ligatures w14:val="none"/>
              </w:rPr>
              <w:t>500) as input</w:t>
            </w:r>
            <w:r w:rsidRPr="00C41E8E">
              <w:rPr>
                <w:rFonts w:ascii="Aptos Narrow" w:eastAsia="Times New Roman" w:hAnsi="Aptos Narrow" w:cs="Times New Roman"/>
                <w:b/>
                <w:bCs/>
                <w:color w:val="000000"/>
                <w:kern w:val="0"/>
                <w:sz w:val="20"/>
                <w:szCs w:val="20"/>
                <w:vertAlign w:val="superscript"/>
                <w:lang w:eastAsia="nl-NL"/>
                <w14:ligatures w14:val="none"/>
              </w:rPr>
              <w:t>*</w:t>
            </w:r>
          </w:p>
        </w:tc>
      </w:tr>
      <w:tr w:rsidR="002C1314" w:rsidRPr="00511D5F" w14:paraId="73A337FE" w14:textId="77777777" w:rsidTr="001C4B05">
        <w:trPr>
          <w:trHeight w:val="300"/>
        </w:trPr>
        <w:tc>
          <w:tcPr>
            <w:tcW w:w="1956" w:type="dxa"/>
            <w:vMerge/>
            <w:tcBorders>
              <w:top w:val="single" w:sz="4" w:space="0" w:color="auto"/>
              <w:left w:val="single" w:sz="4" w:space="0" w:color="auto"/>
              <w:bottom w:val="single" w:sz="4" w:space="0" w:color="auto"/>
              <w:right w:val="single" w:sz="4" w:space="0" w:color="auto"/>
            </w:tcBorders>
            <w:hideMark/>
          </w:tcPr>
          <w:p w14:paraId="364DB9BE" w14:textId="77777777" w:rsidR="002C1314" w:rsidRPr="001C4B05" w:rsidRDefault="002C1314" w:rsidP="00216D3F">
            <w:pPr>
              <w:spacing w:after="0" w:line="240" w:lineRule="auto"/>
              <w:jc w:val="center"/>
              <w:rPr>
                <w:rFonts w:ascii="Aptos Narrow" w:eastAsia="Times New Roman" w:hAnsi="Aptos Narrow" w:cs="Times New Roman"/>
                <w:b/>
                <w:bCs/>
                <w:color w:val="000000"/>
                <w:kern w:val="0"/>
                <w:sz w:val="20"/>
                <w:szCs w:val="20"/>
                <w:lang w:val="en-GB" w:eastAsia="nl-NL"/>
                <w14:ligatures w14:val="none"/>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14:paraId="5EDB7F9E" w14:textId="77777777" w:rsidR="002C1314" w:rsidRPr="001C4B05" w:rsidRDefault="002C1314" w:rsidP="00216D3F">
            <w:pPr>
              <w:spacing w:after="0" w:line="240" w:lineRule="auto"/>
              <w:jc w:val="center"/>
              <w:rPr>
                <w:rFonts w:ascii="Times New Roman" w:eastAsia="Times New Roman" w:hAnsi="Times New Roman" w:cs="Times New Roman"/>
                <w:kern w:val="0"/>
                <w:sz w:val="20"/>
                <w:szCs w:val="20"/>
                <w:lang w:val="en-GB" w:eastAsia="nl-NL"/>
                <w14:ligatures w14:val="none"/>
              </w:rPr>
            </w:pPr>
          </w:p>
        </w:tc>
        <w:tc>
          <w:tcPr>
            <w:tcW w:w="902" w:type="dxa"/>
            <w:tcBorders>
              <w:top w:val="single" w:sz="4" w:space="0" w:color="auto"/>
              <w:left w:val="single" w:sz="4" w:space="0" w:color="auto"/>
              <w:bottom w:val="single" w:sz="4" w:space="0" w:color="auto"/>
              <w:right w:val="nil"/>
            </w:tcBorders>
            <w:vAlign w:val="center"/>
            <w:hideMark/>
          </w:tcPr>
          <w:p w14:paraId="25BBC92F" w14:textId="77777777" w:rsidR="002C1314" w:rsidRPr="001C4B05" w:rsidRDefault="002C1314" w:rsidP="00216D3F">
            <w:pPr>
              <w:spacing w:after="0" w:line="240" w:lineRule="auto"/>
              <w:jc w:val="center"/>
              <w:rPr>
                <w:rFonts w:ascii="Aptos Narrow" w:eastAsia="Times New Roman" w:hAnsi="Aptos Narrow" w:cs="Times New Roman"/>
                <w:b/>
                <w:bCs/>
                <w:color w:val="000000"/>
                <w:kern w:val="0"/>
                <w:sz w:val="20"/>
                <w:szCs w:val="20"/>
                <w:lang w:val="en-GB" w:eastAsia="nl-NL"/>
                <w14:ligatures w14:val="none"/>
              </w:rPr>
            </w:pPr>
            <w:r w:rsidRPr="001C4B05">
              <w:rPr>
                <w:rFonts w:ascii="Aptos Narrow" w:eastAsia="Times New Roman" w:hAnsi="Aptos Narrow" w:cs="Times New Roman"/>
                <w:b/>
                <w:bCs/>
                <w:color w:val="000000"/>
                <w:kern w:val="0"/>
                <w:sz w:val="20"/>
                <w:szCs w:val="20"/>
                <w:lang w:val="en-GB" w:eastAsia="nl-NL"/>
                <w14:ligatures w14:val="none"/>
              </w:rPr>
              <w:t>Recalled</w:t>
            </w:r>
          </w:p>
        </w:tc>
        <w:tc>
          <w:tcPr>
            <w:tcW w:w="1056" w:type="dxa"/>
            <w:tcBorders>
              <w:top w:val="single" w:sz="4" w:space="0" w:color="auto"/>
              <w:left w:val="nil"/>
              <w:bottom w:val="single" w:sz="4" w:space="0" w:color="auto"/>
              <w:right w:val="nil"/>
            </w:tcBorders>
            <w:vAlign w:val="center"/>
            <w:hideMark/>
          </w:tcPr>
          <w:p w14:paraId="3021E26C" w14:textId="77777777" w:rsidR="002C1314" w:rsidRPr="00511D5F" w:rsidRDefault="002C1314" w:rsidP="00216D3F">
            <w:pPr>
              <w:spacing w:after="0" w:line="240" w:lineRule="auto"/>
              <w:jc w:val="center"/>
              <w:rPr>
                <w:rFonts w:ascii="Aptos Narrow" w:eastAsia="Times New Roman" w:hAnsi="Aptos Narrow" w:cs="Times New Roman"/>
                <w:b/>
                <w:bCs/>
                <w:color w:val="000000"/>
                <w:kern w:val="0"/>
                <w:sz w:val="20"/>
                <w:szCs w:val="20"/>
                <w:lang w:val="nl-NL" w:eastAsia="nl-NL"/>
                <w14:ligatures w14:val="none"/>
              </w:rPr>
            </w:pPr>
            <w:proofErr w:type="spellStart"/>
            <w:r w:rsidRPr="00511D5F">
              <w:rPr>
                <w:rFonts w:ascii="Aptos Narrow" w:eastAsia="Times New Roman" w:hAnsi="Aptos Narrow" w:cs="Times New Roman"/>
                <w:b/>
                <w:bCs/>
                <w:color w:val="000000"/>
                <w:kern w:val="0"/>
                <w:sz w:val="20"/>
                <w:szCs w:val="20"/>
                <w:lang w:val="nl-NL" w:eastAsia="nl-NL"/>
                <w14:ligatures w14:val="none"/>
              </w:rPr>
              <w:t>Novel</w:t>
            </w:r>
            <w:proofErr w:type="spellEnd"/>
          </w:p>
        </w:tc>
        <w:tc>
          <w:tcPr>
            <w:tcW w:w="1056" w:type="dxa"/>
            <w:tcBorders>
              <w:top w:val="single" w:sz="4" w:space="0" w:color="auto"/>
              <w:left w:val="nil"/>
              <w:bottom w:val="single" w:sz="4" w:space="0" w:color="auto"/>
              <w:right w:val="single" w:sz="4" w:space="0" w:color="auto"/>
            </w:tcBorders>
            <w:vAlign w:val="center"/>
            <w:hideMark/>
          </w:tcPr>
          <w:p w14:paraId="1EF8149D" w14:textId="77777777" w:rsidR="002C1314" w:rsidRPr="00511D5F" w:rsidRDefault="002C1314" w:rsidP="00216D3F">
            <w:pPr>
              <w:spacing w:after="0" w:line="240" w:lineRule="auto"/>
              <w:jc w:val="center"/>
              <w:rPr>
                <w:rFonts w:ascii="Aptos Narrow" w:eastAsia="Times New Roman" w:hAnsi="Aptos Narrow" w:cs="Times New Roman"/>
                <w:b/>
                <w:bCs/>
                <w:color w:val="000000"/>
                <w:kern w:val="0"/>
                <w:sz w:val="20"/>
                <w:szCs w:val="20"/>
                <w:lang w:val="nl-NL" w:eastAsia="nl-NL"/>
                <w14:ligatures w14:val="none"/>
              </w:rPr>
            </w:pPr>
            <w:r w:rsidRPr="00511D5F">
              <w:rPr>
                <w:rFonts w:ascii="Aptos Narrow" w:eastAsia="Times New Roman" w:hAnsi="Aptos Narrow" w:cs="Times New Roman"/>
                <w:b/>
                <w:bCs/>
                <w:color w:val="000000"/>
                <w:kern w:val="0"/>
                <w:sz w:val="20"/>
                <w:szCs w:val="20"/>
                <w:lang w:val="nl-NL" w:eastAsia="nl-NL"/>
                <w14:ligatures w14:val="none"/>
              </w:rPr>
              <w:t>Total</w:t>
            </w:r>
          </w:p>
        </w:tc>
        <w:tc>
          <w:tcPr>
            <w:tcW w:w="1056" w:type="dxa"/>
            <w:tcBorders>
              <w:top w:val="single" w:sz="4" w:space="0" w:color="auto"/>
              <w:left w:val="single" w:sz="4" w:space="0" w:color="auto"/>
              <w:bottom w:val="single" w:sz="4" w:space="0" w:color="auto"/>
              <w:right w:val="nil"/>
            </w:tcBorders>
            <w:vAlign w:val="center"/>
            <w:hideMark/>
          </w:tcPr>
          <w:p w14:paraId="2E3B9A89" w14:textId="77777777" w:rsidR="002C1314" w:rsidRPr="00511D5F" w:rsidRDefault="002C1314" w:rsidP="00216D3F">
            <w:pPr>
              <w:spacing w:after="0" w:line="240" w:lineRule="auto"/>
              <w:jc w:val="center"/>
              <w:rPr>
                <w:rFonts w:ascii="Aptos Narrow" w:eastAsia="Times New Roman" w:hAnsi="Aptos Narrow" w:cs="Times New Roman"/>
                <w:b/>
                <w:bCs/>
                <w:color w:val="000000"/>
                <w:kern w:val="0"/>
                <w:sz w:val="20"/>
                <w:szCs w:val="20"/>
                <w:lang w:val="nl-NL" w:eastAsia="nl-NL"/>
                <w14:ligatures w14:val="none"/>
              </w:rPr>
            </w:pPr>
            <w:proofErr w:type="spellStart"/>
            <w:r w:rsidRPr="00511D5F">
              <w:rPr>
                <w:rFonts w:ascii="Aptos Narrow" w:eastAsia="Times New Roman" w:hAnsi="Aptos Narrow" w:cs="Times New Roman"/>
                <w:b/>
                <w:bCs/>
                <w:color w:val="000000"/>
                <w:kern w:val="0"/>
                <w:sz w:val="20"/>
                <w:szCs w:val="20"/>
                <w:lang w:val="nl-NL" w:eastAsia="nl-NL"/>
                <w14:ligatures w14:val="none"/>
              </w:rPr>
              <w:t>Recalled</w:t>
            </w:r>
            <w:proofErr w:type="spellEnd"/>
          </w:p>
        </w:tc>
        <w:tc>
          <w:tcPr>
            <w:tcW w:w="1157" w:type="dxa"/>
            <w:tcBorders>
              <w:top w:val="single" w:sz="4" w:space="0" w:color="auto"/>
              <w:left w:val="nil"/>
              <w:bottom w:val="single" w:sz="4" w:space="0" w:color="auto"/>
              <w:right w:val="nil"/>
            </w:tcBorders>
            <w:vAlign w:val="center"/>
            <w:hideMark/>
          </w:tcPr>
          <w:p w14:paraId="3FA448E5" w14:textId="77777777" w:rsidR="002C1314" w:rsidRPr="00511D5F" w:rsidRDefault="002C1314" w:rsidP="00216D3F">
            <w:pPr>
              <w:spacing w:after="0" w:line="240" w:lineRule="auto"/>
              <w:jc w:val="center"/>
              <w:rPr>
                <w:rFonts w:ascii="Aptos Narrow" w:eastAsia="Times New Roman" w:hAnsi="Aptos Narrow" w:cs="Times New Roman"/>
                <w:b/>
                <w:bCs/>
                <w:color w:val="000000"/>
                <w:kern w:val="0"/>
                <w:sz w:val="20"/>
                <w:szCs w:val="20"/>
                <w:lang w:val="nl-NL" w:eastAsia="nl-NL"/>
                <w14:ligatures w14:val="none"/>
              </w:rPr>
            </w:pPr>
            <w:proofErr w:type="spellStart"/>
            <w:r w:rsidRPr="00511D5F">
              <w:rPr>
                <w:rFonts w:ascii="Aptos Narrow" w:eastAsia="Times New Roman" w:hAnsi="Aptos Narrow" w:cs="Times New Roman"/>
                <w:b/>
                <w:bCs/>
                <w:color w:val="000000"/>
                <w:kern w:val="0"/>
                <w:sz w:val="20"/>
                <w:szCs w:val="20"/>
                <w:lang w:val="nl-NL" w:eastAsia="nl-NL"/>
                <w14:ligatures w14:val="none"/>
              </w:rPr>
              <w:t>Novel</w:t>
            </w:r>
            <w:proofErr w:type="spellEnd"/>
          </w:p>
        </w:tc>
        <w:tc>
          <w:tcPr>
            <w:tcW w:w="1258" w:type="dxa"/>
            <w:tcBorders>
              <w:top w:val="single" w:sz="4" w:space="0" w:color="auto"/>
              <w:left w:val="nil"/>
              <w:bottom w:val="single" w:sz="4" w:space="0" w:color="auto"/>
              <w:right w:val="single" w:sz="4" w:space="0" w:color="auto"/>
            </w:tcBorders>
            <w:vAlign w:val="center"/>
            <w:hideMark/>
          </w:tcPr>
          <w:p w14:paraId="1C8D4BD7" w14:textId="77777777" w:rsidR="002C1314" w:rsidRPr="00511D5F" w:rsidRDefault="002C1314" w:rsidP="00216D3F">
            <w:pPr>
              <w:spacing w:after="0" w:line="240" w:lineRule="auto"/>
              <w:jc w:val="center"/>
              <w:rPr>
                <w:rFonts w:ascii="Aptos Narrow" w:eastAsia="Times New Roman" w:hAnsi="Aptos Narrow" w:cs="Times New Roman"/>
                <w:b/>
                <w:bCs/>
                <w:color w:val="000000"/>
                <w:kern w:val="0"/>
                <w:sz w:val="20"/>
                <w:szCs w:val="20"/>
                <w:lang w:val="nl-NL" w:eastAsia="nl-NL"/>
                <w14:ligatures w14:val="none"/>
              </w:rPr>
            </w:pPr>
            <w:r w:rsidRPr="00511D5F">
              <w:rPr>
                <w:rFonts w:ascii="Aptos Narrow" w:eastAsia="Times New Roman" w:hAnsi="Aptos Narrow" w:cs="Times New Roman"/>
                <w:b/>
                <w:bCs/>
                <w:color w:val="000000"/>
                <w:kern w:val="0"/>
                <w:sz w:val="20"/>
                <w:szCs w:val="20"/>
                <w:lang w:val="nl-NL" w:eastAsia="nl-NL"/>
                <w14:ligatures w14:val="none"/>
              </w:rPr>
              <w:t>Total</w:t>
            </w:r>
          </w:p>
        </w:tc>
      </w:tr>
      <w:tr w:rsidR="002C1314" w:rsidRPr="00511D5F" w14:paraId="5B9CF4B1" w14:textId="77777777" w:rsidTr="001C4B05">
        <w:trPr>
          <w:trHeight w:val="810"/>
        </w:trPr>
        <w:tc>
          <w:tcPr>
            <w:tcW w:w="1956" w:type="dxa"/>
            <w:tcBorders>
              <w:top w:val="single" w:sz="4" w:space="0" w:color="auto"/>
              <w:left w:val="single" w:sz="4" w:space="0" w:color="auto"/>
              <w:bottom w:val="single" w:sz="4" w:space="0" w:color="auto"/>
              <w:right w:val="single" w:sz="4" w:space="0" w:color="auto"/>
            </w:tcBorders>
            <w:vAlign w:val="center"/>
            <w:hideMark/>
          </w:tcPr>
          <w:p w14:paraId="57A7F0A6" w14:textId="77777777" w:rsidR="002C1314" w:rsidRPr="001C4B05" w:rsidRDefault="002C1314" w:rsidP="00216D3F">
            <w:pPr>
              <w:spacing w:after="0" w:line="240" w:lineRule="auto"/>
              <w:rPr>
                <w:rFonts w:ascii="Aptos Narrow" w:eastAsia="Times New Roman" w:hAnsi="Aptos Narrow" w:cs="Times New Roman"/>
                <w:color w:val="000000"/>
                <w:kern w:val="0"/>
                <w:sz w:val="20"/>
                <w:szCs w:val="20"/>
                <w:lang w:val="en-GB" w:eastAsia="nl-NL"/>
                <w14:ligatures w14:val="none"/>
              </w:rPr>
            </w:pPr>
            <w:r w:rsidRPr="001C4B05">
              <w:rPr>
                <w:rFonts w:ascii="Aptos Narrow" w:eastAsia="Times New Roman" w:hAnsi="Aptos Narrow" w:cs="Times New Roman"/>
                <w:color w:val="000000"/>
                <w:kern w:val="0"/>
                <w:sz w:val="20"/>
                <w:szCs w:val="20"/>
                <w:lang w:val="en-GB" w:eastAsia="nl-NL"/>
                <w14:ligatures w14:val="none"/>
              </w:rPr>
              <w:t xml:space="preserve">Combined total MNVs in published reporter lists from </w:t>
            </w:r>
            <w:proofErr w:type="spellStart"/>
            <w:r w:rsidRPr="001C4B05">
              <w:rPr>
                <w:rFonts w:ascii="Aptos Narrow" w:eastAsia="Times New Roman" w:hAnsi="Aptos Narrow" w:cs="Times New Roman"/>
                <w:color w:val="000000"/>
                <w:kern w:val="0"/>
                <w:sz w:val="20"/>
                <w:szCs w:val="20"/>
                <w:lang w:val="en-GB" w:eastAsia="nl-NL"/>
                <w14:ligatures w14:val="none"/>
              </w:rPr>
              <w:t>tumor</w:t>
            </w:r>
            <w:proofErr w:type="spellEnd"/>
            <w:r w:rsidRPr="001C4B05">
              <w:rPr>
                <w:rFonts w:ascii="Aptos Narrow" w:eastAsia="Times New Roman" w:hAnsi="Aptos Narrow" w:cs="Times New Roman"/>
                <w:color w:val="000000"/>
                <w:kern w:val="0"/>
                <w:sz w:val="20"/>
                <w:szCs w:val="20"/>
                <w:lang w:val="en-GB" w:eastAsia="nl-NL"/>
                <w14:ligatures w14:val="none"/>
              </w:rPr>
              <w:t xml:space="preserve"> tissue (original sample) (all patients) </w:t>
            </w:r>
            <w:r w:rsidRPr="001C4B05">
              <w:rPr>
                <w:rFonts w:ascii="Aptos Narrow" w:eastAsia="Times New Roman" w:hAnsi="Aptos Narrow" w:cs="Times New Roman"/>
                <w:color w:val="000000"/>
                <w:kern w:val="0"/>
                <w:sz w:val="20"/>
                <w:szCs w:val="20"/>
                <w:vertAlign w:val="superscript"/>
                <w:lang w:val="en-GB" w:eastAsia="nl-NL"/>
                <w14:ligatures w14:val="none"/>
              </w:rPr>
              <w:t>†</w:t>
            </w:r>
          </w:p>
        </w:tc>
        <w:tc>
          <w:tcPr>
            <w:tcW w:w="1539" w:type="dxa"/>
            <w:tcBorders>
              <w:top w:val="single" w:sz="4" w:space="0" w:color="auto"/>
              <w:left w:val="single" w:sz="4" w:space="0" w:color="auto"/>
              <w:bottom w:val="single" w:sz="4" w:space="0" w:color="auto"/>
              <w:right w:val="single" w:sz="4" w:space="0" w:color="auto"/>
            </w:tcBorders>
            <w:vAlign w:val="center"/>
            <w:hideMark/>
          </w:tcPr>
          <w:p w14:paraId="60C8075D" w14:textId="77777777" w:rsidR="002C1314" w:rsidRPr="001C4B05" w:rsidRDefault="002C1314" w:rsidP="00216D3F">
            <w:pPr>
              <w:spacing w:after="0" w:line="240" w:lineRule="auto"/>
              <w:jc w:val="right"/>
              <w:rPr>
                <w:rFonts w:ascii="Aptos Narrow" w:eastAsia="Times New Roman" w:hAnsi="Aptos Narrow" w:cs="Times New Roman"/>
                <w:color w:val="000000"/>
                <w:kern w:val="0"/>
                <w:sz w:val="20"/>
                <w:szCs w:val="20"/>
                <w:lang w:val="en-GB" w:eastAsia="nl-NL"/>
                <w14:ligatures w14:val="none"/>
              </w:rPr>
            </w:pPr>
            <w:r w:rsidRPr="001C4B05">
              <w:rPr>
                <w:rFonts w:ascii="Aptos Narrow" w:eastAsia="Times New Roman" w:hAnsi="Aptos Narrow" w:cs="Times New Roman"/>
                <w:color w:val="000000"/>
                <w:kern w:val="0"/>
                <w:sz w:val="20"/>
                <w:szCs w:val="20"/>
                <w:lang w:val="en-GB" w:eastAsia="nl-NL"/>
                <w14:ligatures w14:val="none"/>
              </w:rPr>
              <w:t>8,618</w:t>
            </w:r>
          </w:p>
        </w:tc>
        <w:tc>
          <w:tcPr>
            <w:tcW w:w="902" w:type="dxa"/>
            <w:tcBorders>
              <w:top w:val="single" w:sz="4" w:space="0" w:color="auto"/>
              <w:left w:val="single" w:sz="4" w:space="0" w:color="auto"/>
              <w:bottom w:val="single" w:sz="4" w:space="0" w:color="auto"/>
              <w:right w:val="nil"/>
            </w:tcBorders>
            <w:vAlign w:val="center"/>
            <w:hideMark/>
          </w:tcPr>
          <w:p w14:paraId="74CF6CAC" w14:textId="3E6A9162" w:rsidR="002C1314" w:rsidRPr="001C4B05" w:rsidRDefault="002C1314" w:rsidP="00216D3F">
            <w:pPr>
              <w:spacing w:after="0" w:line="240" w:lineRule="auto"/>
              <w:jc w:val="right"/>
              <w:rPr>
                <w:rFonts w:ascii="Aptos Narrow" w:eastAsia="Times New Roman" w:hAnsi="Aptos Narrow" w:cs="Times New Roman"/>
                <w:color w:val="000000"/>
                <w:kern w:val="0"/>
                <w:sz w:val="20"/>
                <w:szCs w:val="20"/>
                <w:lang w:val="en-GB" w:eastAsia="nl-NL"/>
                <w14:ligatures w14:val="none"/>
              </w:rPr>
            </w:pPr>
            <w:r w:rsidRPr="001C4B05">
              <w:rPr>
                <w:rFonts w:ascii="Aptos Narrow" w:eastAsia="Times New Roman" w:hAnsi="Aptos Narrow" w:cs="Times New Roman"/>
                <w:color w:val="000000"/>
                <w:kern w:val="0"/>
                <w:sz w:val="20"/>
                <w:szCs w:val="20"/>
                <w:lang w:val="en-GB" w:eastAsia="nl-NL"/>
                <w14:ligatures w14:val="none"/>
              </w:rPr>
              <w:t>2,</w:t>
            </w:r>
            <w:r w:rsidR="00AC7EB8" w:rsidRPr="001C4B05">
              <w:rPr>
                <w:rFonts w:ascii="Aptos Narrow" w:eastAsia="Times New Roman" w:hAnsi="Aptos Narrow" w:cs="Times New Roman"/>
                <w:color w:val="000000"/>
                <w:kern w:val="0"/>
                <w:sz w:val="20"/>
                <w:szCs w:val="20"/>
                <w:lang w:val="en-GB" w:eastAsia="nl-NL"/>
                <w14:ligatures w14:val="none"/>
              </w:rPr>
              <w:t>837</w:t>
            </w:r>
          </w:p>
        </w:tc>
        <w:tc>
          <w:tcPr>
            <w:tcW w:w="1056" w:type="dxa"/>
            <w:tcBorders>
              <w:top w:val="single" w:sz="4" w:space="0" w:color="auto"/>
              <w:left w:val="nil"/>
              <w:bottom w:val="single" w:sz="4" w:space="0" w:color="auto"/>
              <w:right w:val="nil"/>
            </w:tcBorders>
            <w:noWrap/>
            <w:vAlign w:val="center"/>
            <w:hideMark/>
          </w:tcPr>
          <w:p w14:paraId="54890648" w14:textId="4988707F" w:rsidR="002C1314" w:rsidRPr="00511D5F" w:rsidRDefault="00AC7EB8"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4,747</w:t>
            </w:r>
          </w:p>
        </w:tc>
        <w:tc>
          <w:tcPr>
            <w:tcW w:w="1056" w:type="dxa"/>
            <w:tcBorders>
              <w:top w:val="single" w:sz="4" w:space="0" w:color="auto"/>
              <w:left w:val="nil"/>
              <w:bottom w:val="single" w:sz="4" w:space="0" w:color="auto"/>
              <w:right w:val="single" w:sz="4" w:space="0" w:color="auto"/>
            </w:tcBorders>
            <w:noWrap/>
            <w:vAlign w:val="center"/>
            <w:hideMark/>
          </w:tcPr>
          <w:p w14:paraId="27C2E57A" w14:textId="551BC6A5" w:rsidR="002C1314" w:rsidRPr="00511D5F" w:rsidRDefault="00AC7EB8"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7,584</w:t>
            </w:r>
          </w:p>
        </w:tc>
        <w:tc>
          <w:tcPr>
            <w:tcW w:w="1056" w:type="dxa"/>
            <w:tcBorders>
              <w:top w:val="single" w:sz="4" w:space="0" w:color="auto"/>
              <w:left w:val="single" w:sz="4" w:space="0" w:color="auto"/>
              <w:bottom w:val="single" w:sz="4" w:space="0" w:color="auto"/>
              <w:right w:val="nil"/>
            </w:tcBorders>
            <w:noWrap/>
            <w:vAlign w:val="center"/>
            <w:hideMark/>
          </w:tcPr>
          <w:p w14:paraId="7AEA53AE" w14:textId="16B1FA4A" w:rsidR="002C1314" w:rsidRPr="00511D5F" w:rsidRDefault="00AC7EB8"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2,359</w:t>
            </w:r>
          </w:p>
        </w:tc>
        <w:tc>
          <w:tcPr>
            <w:tcW w:w="1157" w:type="dxa"/>
            <w:tcBorders>
              <w:top w:val="single" w:sz="4" w:space="0" w:color="auto"/>
              <w:left w:val="nil"/>
              <w:bottom w:val="single" w:sz="4" w:space="0" w:color="auto"/>
              <w:right w:val="nil"/>
            </w:tcBorders>
            <w:noWrap/>
            <w:vAlign w:val="center"/>
            <w:hideMark/>
          </w:tcPr>
          <w:p w14:paraId="0A993CAA" w14:textId="0CEAB4F1" w:rsidR="002C1314" w:rsidRPr="00511D5F" w:rsidRDefault="00AC7EB8"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12,108</w:t>
            </w:r>
          </w:p>
        </w:tc>
        <w:tc>
          <w:tcPr>
            <w:tcW w:w="1258" w:type="dxa"/>
            <w:tcBorders>
              <w:top w:val="single" w:sz="4" w:space="0" w:color="auto"/>
              <w:left w:val="nil"/>
              <w:bottom w:val="single" w:sz="4" w:space="0" w:color="auto"/>
              <w:right w:val="single" w:sz="4" w:space="0" w:color="auto"/>
            </w:tcBorders>
            <w:noWrap/>
            <w:vAlign w:val="center"/>
            <w:hideMark/>
          </w:tcPr>
          <w:p w14:paraId="33B90260" w14:textId="532D947A" w:rsidR="002C1314" w:rsidRPr="00511D5F" w:rsidRDefault="00AC7EB8"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14,467</w:t>
            </w:r>
          </w:p>
        </w:tc>
      </w:tr>
      <w:tr w:rsidR="002C1314" w:rsidRPr="00511D5F" w14:paraId="12BAB6FB" w14:textId="77777777" w:rsidTr="001C4B05">
        <w:trPr>
          <w:trHeight w:val="810"/>
        </w:trPr>
        <w:tc>
          <w:tcPr>
            <w:tcW w:w="1956" w:type="dxa"/>
            <w:tcBorders>
              <w:top w:val="single" w:sz="4" w:space="0" w:color="auto"/>
              <w:left w:val="single" w:sz="4" w:space="0" w:color="auto"/>
              <w:bottom w:val="single" w:sz="4" w:space="0" w:color="auto"/>
              <w:right w:val="single" w:sz="4" w:space="0" w:color="auto"/>
            </w:tcBorders>
            <w:vAlign w:val="center"/>
            <w:hideMark/>
          </w:tcPr>
          <w:p w14:paraId="2F63FFA5" w14:textId="77777777" w:rsidR="002C1314" w:rsidRPr="001C4B05" w:rsidRDefault="002C1314" w:rsidP="00216D3F">
            <w:pPr>
              <w:spacing w:after="0" w:line="240" w:lineRule="auto"/>
              <w:rPr>
                <w:rFonts w:ascii="Aptos Narrow" w:eastAsia="Times New Roman" w:hAnsi="Aptos Narrow" w:cs="Times New Roman"/>
                <w:color w:val="000000"/>
                <w:kern w:val="0"/>
                <w:sz w:val="20"/>
                <w:szCs w:val="20"/>
                <w:lang w:val="en-GB" w:eastAsia="nl-NL"/>
                <w14:ligatures w14:val="none"/>
              </w:rPr>
            </w:pPr>
            <w:r w:rsidRPr="001C4B05">
              <w:rPr>
                <w:rFonts w:ascii="Aptos Narrow" w:eastAsia="Times New Roman" w:hAnsi="Aptos Narrow" w:cs="Times New Roman"/>
                <w:color w:val="000000"/>
                <w:kern w:val="0"/>
                <w:sz w:val="20"/>
                <w:szCs w:val="20"/>
                <w:lang w:val="en-GB" w:eastAsia="nl-NL"/>
                <w14:ligatures w14:val="none"/>
              </w:rPr>
              <w:t>Unique SNVs comprising the MNVs present in the combined reporter lists</w:t>
            </w:r>
          </w:p>
        </w:tc>
        <w:tc>
          <w:tcPr>
            <w:tcW w:w="1539" w:type="dxa"/>
            <w:tcBorders>
              <w:top w:val="single" w:sz="4" w:space="0" w:color="auto"/>
              <w:left w:val="single" w:sz="4" w:space="0" w:color="auto"/>
              <w:bottom w:val="single" w:sz="4" w:space="0" w:color="auto"/>
              <w:right w:val="single" w:sz="4" w:space="0" w:color="auto"/>
            </w:tcBorders>
            <w:vAlign w:val="center"/>
            <w:hideMark/>
          </w:tcPr>
          <w:p w14:paraId="2A533283" w14:textId="77777777" w:rsidR="002C1314" w:rsidRPr="001C4B05" w:rsidRDefault="002C1314" w:rsidP="00216D3F">
            <w:pPr>
              <w:spacing w:after="0" w:line="240" w:lineRule="auto"/>
              <w:jc w:val="right"/>
              <w:rPr>
                <w:rFonts w:ascii="Aptos Narrow" w:eastAsia="Times New Roman" w:hAnsi="Aptos Narrow" w:cs="Times New Roman"/>
                <w:color w:val="000000"/>
                <w:kern w:val="0"/>
                <w:sz w:val="20"/>
                <w:szCs w:val="20"/>
                <w:lang w:val="en-GB" w:eastAsia="nl-NL"/>
                <w14:ligatures w14:val="none"/>
              </w:rPr>
            </w:pPr>
            <w:r w:rsidRPr="001C4B05">
              <w:rPr>
                <w:rFonts w:ascii="Aptos Narrow" w:eastAsia="Times New Roman" w:hAnsi="Aptos Narrow" w:cs="Times New Roman"/>
                <w:color w:val="000000"/>
                <w:kern w:val="0"/>
                <w:sz w:val="20"/>
                <w:szCs w:val="20"/>
                <w:lang w:val="en-GB" w:eastAsia="nl-NL"/>
                <w14:ligatures w14:val="none"/>
              </w:rPr>
              <w:t>1,391</w:t>
            </w:r>
          </w:p>
        </w:tc>
        <w:tc>
          <w:tcPr>
            <w:tcW w:w="902" w:type="dxa"/>
            <w:tcBorders>
              <w:top w:val="single" w:sz="4" w:space="0" w:color="auto"/>
              <w:left w:val="single" w:sz="4" w:space="0" w:color="auto"/>
              <w:bottom w:val="single" w:sz="4" w:space="0" w:color="auto"/>
            </w:tcBorders>
            <w:vAlign w:val="center"/>
            <w:hideMark/>
          </w:tcPr>
          <w:p w14:paraId="54C58FB3" w14:textId="77777777" w:rsidR="002C1314" w:rsidRPr="001C4B05"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en-GB" w:eastAsia="nl-NL"/>
                <w14:ligatures w14:val="none"/>
              </w:rPr>
            </w:pPr>
            <w:r w:rsidRPr="001C4B05">
              <w:rPr>
                <w:rFonts w:ascii="Aptos Narrow" w:eastAsia="Times New Roman" w:hAnsi="Aptos Narrow" w:cs="Times New Roman"/>
                <w:color w:val="A6A6A6" w:themeColor="background1" w:themeShade="A6"/>
                <w:kern w:val="0"/>
                <w:sz w:val="20"/>
                <w:szCs w:val="20"/>
                <w:lang w:val="en-GB" w:eastAsia="nl-NL"/>
                <w14:ligatures w14:val="none"/>
              </w:rPr>
              <w:t>N.A.</w:t>
            </w:r>
          </w:p>
        </w:tc>
        <w:tc>
          <w:tcPr>
            <w:tcW w:w="1056" w:type="dxa"/>
            <w:tcBorders>
              <w:top w:val="single" w:sz="4" w:space="0" w:color="auto"/>
              <w:bottom w:val="single" w:sz="4" w:space="0" w:color="auto"/>
            </w:tcBorders>
            <w:noWrap/>
            <w:vAlign w:val="center"/>
            <w:hideMark/>
          </w:tcPr>
          <w:p w14:paraId="3A26A423"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c>
          <w:tcPr>
            <w:tcW w:w="1056" w:type="dxa"/>
            <w:tcBorders>
              <w:top w:val="single" w:sz="4" w:space="0" w:color="auto"/>
              <w:bottom w:val="single" w:sz="4" w:space="0" w:color="auto"/>
              <w:right w:val="single" w:sz="4" w:space="0" w:color="auto"/>
            </w:tcBorders>
            <w:noWrap/>
            <w:vAlign w:val="center"/>
            <w:hideMark/>
          </w:tcPr>
          <w:p w14:paraId="7773B1F2"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c>
          <w:tcPr>
            <w:tcW w:w="1056" w:type="dxa"/>
            <w:tcBorders>
              <w:top w:val="single" w:sz="4" w:space="0" w:color="auto"/>
              <w:left w:val="single" w:sz="4" w:space="0" w:color="auto"/>
              <w:bottom w:val="single" w:sz="4" w:space="0" w:color="auto"/>
            </w:tcBorders>
            <w:noWrap/>
            <w:vAlign w:val="center"/>
            <w:hideMark/>
          </w:tcPr>
          <w:p w14:paraId="2C7E8BF3"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c>
          <w:tcPr>
            <w:tcW w:w="1157" w:type="dxa"/>
            <w:tcBorders>
              <w:top w:val="single" w:sz="4" w:space="0" w:color="auto"/>
              <w:bottom w:val="single" w:sz="4" w:space="0" w:color="auto"/>
            </w:tcBorders>
            <w:noWrap/>
            <w:vAlign w:val="center"/>
            <w:hideMark/>
          </w:tcPr>
          <w:p w14:paraId="0DCBA6A6"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c>
          <w:tcPr>
            <w:tcW w:w="1258" w:type="dxa"/>
            <w:tcBorders>
              <w:top w:val="single" w:sz="4" w:space="0" w:color="auto"/>
              <w:bottom w:val="single" w:sz="4" w:space="0" w:color="auto"/>
              <w:right w:val="single" w:sz="4" w:space="0" w:color="auto"/>
            </w:tcBorders>
            <w:noWrap/>
            <w:vAlign w:val="center"/>
            <w:hideMark/>
          </w:tcPr>
          <w:p w14:paraId="58C4D8B7"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r>
      <w:tr w:rsidR="002C1314" w:rsidRPr="00511D5F" w14:paraId="272FAC20" w14:textId="77777777" w:rsidTr="001C4B05">
        <w:trPr>
          <w:trHeight w:val="810"/>
        </w:trPr>
        <w:tc>
          <w:tcPr>
            <w:tcW w:w="1956" w:type="dxa"/>
            <w:tcBorders>
              <w:top w:val="single" w:sz="4" w:space="0" w:color="auto"/>
              <w:left w:val="single" w:sz="4" w:space="0" w:color="auto"/>
              <w:bottom w:val="single" w:sz="4" w:space="0" w:color="auto"/>
              <w:right w:val="single" w:sz="4" w:space="0" w:color="auto"/>
            </w:tcBorders>
            <w:vAlign w:val="center"/>
            <w:hideMark/>
          </w:tcPr>
          <w:p w14:paraId="200A6E23" w14:textId="36D7D51B" w:rsidR="009B274A" w:rsidRPr="00C41E8E" w:rsidRDefault="002C1314" w:rsidP="00216D3F">
            <w:pPr>
              <w:spacing w:after="0" w:line="240" w:lineRule="auto"/>
              <w:rPr>
                <w:rFonts w:ascii="Aptos Narrow" w:eastAsia="Times New Roman" w:hAnsi="Aptos Narrow" w:cs="Times New Roman"/>
                <w:color w:val="000000"/>
                <w:kern w:val="0"/>
                <w:sz w:val="20"/>
                <w:szCs w:val="20"/>
                <w:lang w:eastAsia="nl-NL"/>
                <w14:ligatures w14:val="none"/>
              </w:rPr>
            </w:pPr>
            <w:r w:rsidRPr="00C41E8E">
              <w:rPr>
                <w:rFonts w:ascii="Aptos Narrow" w:eastAsia="Times New Roman" w:hAnsi="Aptos Narrow" w:cs="Times New Roman"/>
                <w:color w:val="000000"/>
                <w:kern w:val="0"/>
                <w:sz w:val="20"/>
                <w:szCs w:val="20"/>
                <w:lang w:eastAsia="nl-NL"/>
                <w14:ligatures w14:val="none"/>
              </w:rPr>
              <w:t>Reporter-list SNVs detected in the 0.1% 'baseline' (n, % of 1391)</w:t>
            </w:r>
          </w:p>
        </w:tc>
        <w:tc>
          <w:tcPr>
            <w:tcW w:w="1539" w:type="dxa"/>
            <w:tcBorders>
              <w:top w:val="single" w:sz="4" w:space="0" w:color="auto"/>
              <w:left w:val="single" w:sz="4" w:space="0" w:color="auto"/>
              <w:bottom w:val="single" w:sz="4" w:space="0" w:color="auto"/>
              <w:right w:val="single" w:sz="4" w:space="0" w:color="auto"/>
            </w:tcBorders>
            <w:vAlign w:val="center"/>
            <w:hideMark/>
          </w:tcPr>
          <w:p w14:paraId="4B2FFBF9" w14:textId="77777777"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1</w:t>
            </w:r>
            <w:r>
              <w:rPr>
                <w:rFonts w:ascii="Aptos Narrow" w:eastAsia="Times New Roman" w:hAnsi="Aptos Narrow" w:cs="Times New Roman"/>
                <w:color w:val="000000"/>
                <w:kern w:val="0"/>
                <w:sz w:val="20"/>
                <w:szCs w:val="20"/>
                <w:lang w:val="nl-NL" w:eastAsia="nl-NL"/>
                <w14:ligatures w14:val="none"/>
              </w:rPr>
              <w:t>,</w:t>
            </w:r>
            <w:r w:rsidRPr="00511D5F">
              <w:rPr>
                <w:rFonts w:ascii="Aptos Narrow" w:eastAsia="Times New Roman" w:hAnsi="Aptos Narrow" w:cs="Times New Roman"/>
                <w:color w:val="000000"/>
                <w:kern w:val="0"/>
                <w:sz w:val="20"/>
                <w:szCs w:val="20"/>
                <w:lang w:val="nl-NL" w:eastAsia="nl-NL"/>
                <w14:ligatures w14:val="none"/>
              </w:rPr>
              <w:t>199 (86.2%)</w:t>
            </w:r>
          </w:p>
        </w:tc>
        <w:tc>
          <w:tcPr>
            <w:tcW w:w="902" w:type="dxa"/>
            <w:tcBorders>
              <w:top w:val="single" w:sz="4" w:space="0" w:color="auto"/>
              <w:left w:val="single" w:sz="4" w:space="0" w:color="auto"/>
              <w:bottom w:val="single" w:sz="4" w:space="0" w:color="auto"/>
            </w:tcBorders>
            <w:vAlign w:val="center"/>
            <w:hideMark/>
          </w:tcPr>
          <w:p w14:paraId="0AE24F56"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c>
          <w:tcPr>
            <w:tcW w:w="1056" w:type="dxa"/>
            <w:tcBorders>
              <w:top w:val="single" w:sz="4" w:space="0" w:color="auto"/>
              <w:bottom w:val="single" w:sz="4" w:space="0" w:color="auto"/>
            </w:tcBorders>
            <w:noWrap/>
            <w:vAlign w:val="center"/>
            <w:hideMark/>
          </w:tcPr>
          <w:p w14:paraId="270A3B7C"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c>
          <w:tcPr>
            <w:tcW w:w="1056" w:type="dxa"/>
            <w:tcBorders>
              <w:top w:val="single" w:sz="4" w:space="0" w:color="auto"/>
              <w:bottom w:val="single" w:sz="4" w:space="0" w:color="auto"/>
              <w:right w:val="single" w:sz="4" w:space="0" w:color="auto"/>
            </w:tcBorders>
            <w:noWrap/>
            <w:vAlign w:val="center"/>
            <w:hideMark/>
          </w:tcPr>
          <w:p w14:paraId="4E98C216"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c>
          <w:tcPr>
            <w:tcW w:w="1056" w:type="dxa"/>
            <w:tcBorders>
              <w:top w:val="single" w:sz="4" w:space="0" w:color="auto"/>
              <w:left w:val="single" w:sz="4" w:space="0" w:color="auto"/>
              <w:bottom w:val="single" w:sz="4" w:space="0" w:color="auto"/>
            </w:tcBorders>
            <w:noWrap/>
            <w:vAlign w:val="center"/>
            <w:hideMark/>
          </w:tcPr>
          <w:p w14:paraId="555AAF1E"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c>
          <w:tcPr>
            <w:tcW w:w="1157" w:type="dxa"/>
            <w:tcBorders>
              <w:top w:val="single" w:sz="4" w:space="0" w:color="auto"/>
              <w:bottom w:val="single" w:sz="4" w:space="0" w:color="auto"/>
            </w:tcBorders>
            <w:noWrap/>
            <w:vAlign w:val="center"/>
            <w:hideMark/>
          </w:tcPr>
          <w:p w14:paraId="12FCE5AC"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c>
          <w:tcPr>
            <w:tcW w:w="1258" w:type="dxa"/>
            <w:tcBorders>
              <w:top w:val="single" w:sz="4" w:space="0" w:color="auto"/>
              <w:bottom w:val="single" w:sz="4" w:space="0" w:color="auto"/>
              <w:right w:val="single" w:sz="4" w:space="0" w:color="auto"/>
            </w:tcBorders>
            <w:noWrap/>
            <w:vAlign w:val="center"/>
            <w:hideMark/>
          </w:tcPr>
          <w:p w14:paraId="0B03ADD0"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p>
        </w:tc>
      </w:tr>
      <w:tr w:rsidR="009B274A" w:rsidRPr="00511D5F" w:rsidDel="00AC7EB8" w14:paraId="0D0599F8" w14:textId="77777777" w:rsidTr="001C4B05">
        <w:trPr>
          <w:trHeight w:val="810"/>
        </w:trPr>
        <w:tc>
          <w:tcPr>
            <w:tcW w:w="1956" w:type="dxa"/>
            <w:tcBorders>
              <w:top w:val="single" w:sz="4" w:space="0" w:color="auto"/>
              <w:left w:val="single" w:sz="4" w:space="0" w:color="auto"/>
              <w:bottom w:val="single" w:sz="4" w:space="0" w:color="auto"/>
              <w:right w:val="single" w:sz="4" w:space="0" w:color="auto"/>
            </w:tcBorders>
            <w:vAlign w:val="center"/>
          </w:tcPr>
          <w:p w14:paraId="760E32CC" w14:textId="592FF7F3" w:rsidR="009B274A" w:rsidDel="00AC7EB8" w:rsidRDefault="009B274A" w:rsidP="00216D3F">
            <w:pPr>
              <w:spacing w:after="0" w:line="240" w:lineRule="auto"/>
              <w:rPr>
                <w:rFonts w:ascii="Aptos Narrow" w:eastAsia="Times New Roman" w:hAnsi="Aptos Narrow" w:cs="Times New Roman"/>
                <w:color w:val="000000"/>
                <w:kern w:val="0"/>
                <w:sz w:val="20"/>
                <w:szCs w:val="20"/>
                <w:lang w:eastAsia="nl-NL"/>
                <w14:ligatures w14:val="none"/>
              </w:rPr>
            </w:pPr>
            <w:r>
              <w:rPr>
                <w:rFonts w:ascii="Aptos Narrow" w:eastAsia="Times New Roman" w:hAnsi="Aptos Narrow" w:cs="Times New Roman"/>
                <w:color w:val="000000"/>
                <w:kern w:val="0"/>
                <w:sz w:val="20"/>
                <w:szCs w:val="20"/>
                <w:lang w:eastAsia="nl-NL"/>
                <w14:ligatures w14:val="none"/>
              </w:rPr>
              <w:t>Size-matched MNVs (2-3 SNVs)</w:t>
            </w:r>
          </w:p>
        </w:tc>
        <w:tc>
          <w:tcPr>
            <w:tcW w:w="1539" w:type="dxa"/>
            <w:tcBorders>
              <w:top w:val="single" w:sz="4" w:space="0" w:color="auto"/>
              <w:left w:val="single" w:sz="4" w:space="0" w:color="auto"/>
              <w:bottom w:val="single" w:sz="4" w:space="0" w:color="auto"/>
              <w:right w:val="single" w:sz="4" w:space="0" w:color="auto"/>
            </w:tcBorders>
            <w:vAlign w:val="center"/>
          </w:tcPr>
          <w:p w14:paraId="19BFB2B9" w14:textId="20480CE8" w:rsidR="009B274A" w:rsidRPr="00511D5F" w:rsidDel="00AC7EB8"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8618 (100%)</w:t>
            </w:r>
          </w:p>
        </w:tc>
        <w:tc>
          <w:tcPr>
            <w:tcW w:w="902" w:type="dxa"/>
            <w:tcBorders>
              <w:top w:val="single" w:sz="4" w:space="0" w:color="auto"/>
              <w:left w:val="single" w:sz="4" w:space="0" w:color="auto"/>
              <w:bottom w:val="single" w:sz="4" w:space="0" w:color="auto"/>
            </w:tcBorders>
            <w:vAlign w:val="center"/>
          </w:tcPr>
          <w:p w14:paraId="6A382B5C" w14:textId="0723DBC7" w:rsidR="009B274A" w:rsidRPr="00511D5F" w:rsidDel="00AC7EB8"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2,837</w:t>
            </w:r>
          </w:p>
        </w:tc>
        <w:tc>
          <w:tcPr>
            <w:tcW w:w="1056" w:type="dxa"/>
            <w:tcBorders>
              <w:top w:val="single" w:sz="4" w:space="0" w:color="auto"/>
              <w:bottom w:val="single" w:sz="4" w:space="0" w:color="auto"/>
            </w:tcBorders>
            <w:noWrap/>
            <w:vAlign w:val="center"/>
          </w:tcPr>
          <w:p w14:paraId="07E4658E" w14:textId="05B31D50" w:rsidR="009B274A" w:rsidRPr="00511D5F" w:rsidDel="00AC7EB8"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1,571</w:t>
            </w:r>
          </w:p>
        </w:tc>
        <w:tc>
          <w:tcPr>
            <w:tcW w:w="1056" w:type="dxa"/>
            <w:tcBorders>
              <w:top w:val="single" w:sz="4" w:space="0" w:color="auto"/>
              <w:bottom w:val="single" w:sz="4" w:space="0" w:color="auto"/>
              <w:right w:val="single" w:sz="4" w:space="0" w:color="auto"/>
            </w:tcBorders>
            <w:noWrap/>
            <w:vAlign w:val="center"/>
          </w:tcPr>
          <w:p w14:paraId="6018B919" w14:textId="43784C7F" w:rsidR="009B274A" w:rsidRPr="00511D5F" w:rsidDel="00AC7EB8"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4,408</w:t>
            </w:r>
          </w:p>
        </w:tc>
        <w:tc>
          <w:tcPr>
            <w:tcW w:w="1056" w:type="dxa"/>
            <w:tcBorders>
              <w:top w:val="single" w:sz="4" w:space="0" w:color="auto"/>
              <w:left w:val="single" w:sz="4" w:space="0" w:color="auto"/>
              <w:bottom w:val="single" w:sz="4" w:space="0" w:color="auto"/>
            </w:tcBorders>
            <w:noWrap/>
            <w:vAlign w:val="center"/>
          </w:tcPr>
          <w:p w14:paraId="2F81DCFC" w14:textId="791B7415" w:rsidR="009B274A" w:rsidRPr="00511D5F" w:rsidDel="00AC7EB8"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2,359</w:t>
            </w:r>
          </w:p>
        </w:tc>
        <w:tc>
          <w:tcPr>
            <w:tcW w:w="1157" w:type="dxa"/>
            <w:tcBorders>
              <w:top w:val="single" w:sz="4" w:space="0" w:color="auto"/>
              <w:bottom w:val="single" w:sz="4" w:space="0" w:color="auto"/>
            </w:tcBorders>
            <w:noWrap/>
            <w:vAlign w:val="center"/>
          </w:tcPr>
          <w:p w14:paraId="24076E6A" w14:textId="2D414291" w:rsidR="009B274A" w:rsidRPr="00511D5F" w:rsidDel="00AC7EB8"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6,113</w:t>
            </w:r>
          </w:p>
        </w:tc>
        <w:tc>
          <w:tcPr>
            <w:tcW w:w="1258" w:type="dxa"/>
            <w:tcBorders>
              <w:top w:val="single" w:sz="4" w:space="0" w:color="auto"/>
              <w:bottom w:val="single" w:sz="4" w:space="0" w:color="auto"/>
              <w:right w:val="single" w:sz="4" w:space="0" w:color="auto"/>
            </w:tcBorders>
            <w:noWrap/>
            <w:vAlign w:val="center"/>
          </w:tcPr>
          <w:p w14:paraId="4C239B32" w14:textId="3BA36EBF" w:rsidR="009B274A" w:rsidRPr="00511D5F" w:rsidDel="00AC7EB8"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8,472</w:t>
            </w:r>
          </w:p>
        </w:tc>
      </w:tr>
      <w:tr w:rsidR="002C1314" w:rsidRPr="00511D5F" w14:paraId="07F37883" w14:textId="77777777" w:rsidTr="001C4B05">
        <w:trPr>
          <w:trHeight w:val="810"/>
        </w:trPr>
        <w:tc>
          <w:tcPr>
            <w:tcW w:w="1956" w:type="dxa"/>
            <w:tcBorders>
              <w:top w:val="single" w:sz="4" w:space="0" w:color="auto"/>
              <w:left w:val="single" w:sz="4" w:space="0" w:color="auto"/>
              <w:bottom w:val="single" w:sz="4" w:space="0" w:color="auto"/>
              <w:right w:val="single" w:sz="4" w:space="0" w:color="auto"/>
            </w:tcBorders>
            <w:vAlign w:val="center"/>
            <w:hideMark/>
          </w:tcPr>
          <w:p w14:paraId="63254682" w14:textId="77777777" w:rsidR="002C1314" w:rsidRPr="00C41E8E" w:rsidRDefault="002C1314" w:rsidP="00216D3F">
            <w:pPr>
              <w:spacing w:after="0" w:line="240" w:lineRule="auto"/>
              <w:rPr>
                <w:rFonts w:ascii="Aptos Narrow" w:eastAsia="Times New Roman" w:hAnsi="Aptos Narrow" w:cs="Times New Roman"/>
                <w:color w:val="000000"/>
                <w:kern w:val="0"/>
                <w:sz w:val="20"/>
                <w:szCs w:val="20"/>
                <w:lang w:eastAsia="nl-NL"/>
                <w14:ligatures w14:val="none"/>
              </w:rPr>
            </w:pPr>
            <w:r w:rsidRPr="00C41E8E">
              <w:rPr>
                <w:rFonts w:ascii="Aptos Narrow" w:eastAsia="Times New Roman" w:hAnsi="Aptos Narrow" w:cs="Times New Roman"/>
                <w:color w:val="000000"/>
                <w:kern w:val="0"/>
                <w:sz w:val="20"/>
                <w:szCs w:val="20"/>
                <w:lang w:eastAsia="nl-NL"/>
                <w14:ligatures w14:val="none"/>
              </w:rPr>
              <w:t>MNVs in DLBCL084 reporter list (n, % of 8</w:t>
            </w:r>
            <w:r>
              <w:rPr>
                <w:rFonts w:ascii="Aptos Narrow" w:eastAsia="Times New Roman" w:hAnsi="Aptos Narrow" w:cs="Times New Roman"/>
                <w:color w:val="000000"/>
                <w:kern w:val="0"/>
                <w:sz w:val="20"/>
                <w:szCs w:val="20"/>
                <w:lang w:eastAsia="nl-NL"/>
                <w14:ligatures w14:val="none"/>
              </w:rPr>
              <w:t>,</w:t>
            </w:r>
            <w:r w:rsidRPr="00C41E8E">
              <w:rPr>
                <w:rFonts w:ascii="Aptos Narrow" w:eastAsia="Times New Roman" w:hAnsi="Aptos Narrow" w:cs="Times New Roman"/>
                <w:color w:val="000000"/>
                <w:kern w:val="0"/>
                <w:sz w:val="20"/>
                <w:szCs w:val="20"/>
                <w:lang w:eastAsia="nl-NL"/>
                <w14:ligatures w14:val="none"/>
              </w:rPr>
              <w:t>618)</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280EE576" w14:textId="77777777"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191 (</w:t>
            </w:r>
            <w:r>
              <w:rPr>
                <w:rFonts w:ascii="Aptos Narrow" w:eastAsia="Times New Roman" w:hAnsi="Aptos Narrow" w:cs="Times New Roman"/>
                <w:color w:val="000000"/>
                <w:kern w:val="0"/>
                <w:sz w:val="20"/>
                <w:szCs w:val="20"/>
                <w:lang w:val="nl-NL" w:eastAsia="nl-NL"/>
                <w14:ligatures w14:val="none"/>
              </w:rPr>
              <w:t>2.2</w:t>
            </w:r>
            <w:r w:rsidRPr="00511D5F">
              <w:rPr>
                <w:rFonts w:ascii="Aptos Narrow" w:eastAsia="Times New Roman" w:hAnsi="Aptos Narrow" w:cs="Times New Roman"/>
                <w:color w:val="000000"/>
                <w:kern w:val="0"/>
                <w:sz w:val="20"/>
                <w:szCs w:val="20"/>
                <w:lang w:val="nl-NL" w:eastAsia="nl-NL"/>
                <w14:ligatures w14:val="none"/>
              </w:rPr>
              <w:t>%)</w:t>
            </w:r>
          </w:p>
        </w:tc>
        <w:tc>
          <w:tcPr>
            <w:tcW w:w="902" w:type="dxa"/>
            <w:tcBorders>
              <w:top w:val="single" w:sz="4" w:space="0" w:color="auto"/>
              <w:left w:val="single" w:sz="4" w:space="0" w:color="auto"/>
              <w:bottom w:val="single" w:sz="4" w:space="0" w:color="auto"/>
              <w:right w:val="nil"/>
            </w:tcBorders>
            <w:vAlign w:val="center"/>
            <w:hideMark/>
          </w:tcPr>
          <w:p w14:paraId="5E85997C" w14:textId="07DC6676"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17</w:t>
            </w:r>
            <w:r w:rsidR="00AC7EB8">
              <w:rPr>
                <w:rFonts w:ascii="Aptos Narrow" w:eastAsia="Times New Roman" w:hAnsi="Aptos Narrow" w:cs="Times New Roman"/>
                <w:color w:val="000000"/>
                <w:kern w:val="0"/>
                <w:sz w:val="20"/>
                <w:szCs w:val="20"/>
                <w:lang w:val="nl-NL" w:eastAsia="nl-NL"/>
                <w14:ligatures w14:val="none"/>
              </w:rPr>
              <w:t>6</w:t>
            </w:r>
          </w:p>
        </w:tc>
        <w:tc>
          <w:tcPr>
            <w:tcW w:w="1056" w:type="dxa"/>
            <w:tcBorders>
              <w:top w:val="single" w:sz="4" w:space="0" w:color="auto"/>
              <w:left w:val="nil"/>
              <w:bottom w:val="single" w:sz="4" w:space="0" w:color="auto"/>
              <w:right w:val="nil"/>
            </w:tcBorders>
            <w:noWrap/>
            <w:vAlign w:val="center"/>
            <w:hideMark/>
          </w:tcPr>
          <w:p w14:paraId="465E1E09" w14:textId="2D5384E0"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6</w:t>
            </w:r>
            <w:r w:rsidR="00AC7EB8">
              <w:rPr>
                <w:rFonts w:ascii="Aptos Narrow" w:eastAsia="Times New Roman" w:hAnsi="Aptos Narrow" w:cs="Times New Roman"/>
                <w:color w:val="000000"/>
                <w:kern w:val="0"/>
                <w:sz w:val="20"/>
                <w:szCs w:val="20"/>
                <w:lang w:val="nl-NL" w:eastAsia="nl-NL"/>
                <w14:ligatures w14:val="none"/>
              </w:rPr>
              <w:t>12</w:t>
            </w:r>
          </w:p>
        </w:tc>
        <w:tc>
          <w:tcPr>
            <w:tcW w:w="1056" w:type="dxa"/>
            <w:tcBorders>
              <w:top w:val="single" w:sz="4" w:space="0" w:color="auto"/>
              <w:left w:val="nil"/>
              <w:bottom w:val="single" w:sz="4" w:space="0" w:color="auto"/>
              <w:right w:val="single" w:sz="4" w:space="0" w:color="auto"/>
            </w:tcBorders>
            <w:noWrap/>
            <w:vAlign w:val="center"/>
            <w:hideMark/>
          </w:tcPr>
          <w:p w14:paraId="23B32001" w14:textId="77777777"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778</w:t>
            </w:r>
          </w:p>
        </w:tc>
        <w:tc>
          <w:tcPr>
            <w:tcW w:w="1056" w:type="dxa"/>
            <w:tcBorders>
              <w:top w:val="single" w:sz="4" w:space="0" w:color="auto"/>
              <w:left w:val="single" w:sz="4" w:space="0" w:color="auto"/>
              <w:bottom w:val="single" w:sz="4" w:space="0" w:color="auto"/>
              <w:right w:val="nil"/>
            </w:tcBorders>
            <w:noWrap/>
            <w:vAlign w:val="center"/>
            <w:hideMark/>
          </w:tcPr>
          <w:p w14:paraId="29DF8CF3" w14:textId="77777777"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169</w:t>
            </w:r>
          </w:p>
        </w:tc>
        <w:tc>
          <w:tcPr>
            <w:tcW w:w="1157" w:type="dxa"/>
            <w:tcBorders>
              <w:top w:val="single" w:sz="4" w:space="0" w:color="auto"/>
              <w:left w:val="nil"/>
              <w:bottom w:val="single" w:sz="4" w:space="0" w:color="auto"/>
              <w:right w:val="nil"/>
            </w:tcBorders>
            <w:noWrap/>
            <w:vAlign w:val="center"/>
            <w:hideMark/>
          </w:tcPr>
          <w:p w14:paraId="002EFDCE"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highlight w:val="yellow"/>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c>
          <w:tcPr>
            <w:tcW w:w="1258" w:type="dxa"/>
            <w:tcBorders>
              <w:top w:val="single" w:sz="4" w:space="0" w:color="auto"/>
              <w:left w:val="nil"/>
              <w:bottom w:val="single" w:sz="4" w:space="0" w:color="auto"/>
              <w:right w:val="single" w:sz="4" w:space="0" w:color="auto"/>
            </w:tcBorders>
            <w:noWrap/>
            <w:vAlign w:val="center"/>
            <w:hideMark/>
          </w:tcPr>
          <w:p w14:paraId="25CB6BCE"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highlight w:val="yellow"/>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r>
      <w:tr w:rsidR="002C1314" w:rsidRPr="00511D5F" w14:paraId="6C139973" w14:textId="77777777" w:rsidTr="001C4B05">
        <w:trPr>
          <w:trHeight w:val="810"/>
        </w:trPr>
        <w:tc>
          <w:tcPr>
            <w:tcW w:w="1956" w:type="dxa"/>
            <w:tcBorders>
              <w:top w:val="single" w:sz="4" w:space="0" w:color="auto"/>
              <w:left w:val="single" w:sz="4" w:space="0" w:color="auto"/>
              <w:bottom w:val="single" w:sz="4" w:space="0" w:color="auto"/>
              <w:right w:val="single" w:sz="4" w:space="0" w:color="auto"/>
            </w:tcBorders>
            <w:vAlign w:val="center"/>
            <w:hideMark/>
          </w:tcPr>
          <w:p w14:paraId="2262DDB5" w14:textId="77777777" w:rsidR="002C1314" w:rsidRPr="00C41E8E" w:rsidRDefault="002C1314" w:rsidP="00216D3F">
            <w:pPr>
              <w:spacing w:after="0" w:line="240" w:lineRule="auto"/>
              <w:rPr>
                <w:rFonts w:ascii="Aptos Narrow" w:eastAsia="Times New Roman" w:hAnsi="Aptos Narrow" w:cs="Times New Roman"/>
                <w:color w:val="000000"/>
                <w:kern w:val="0"/>
                <w:sz w:val="20"/>
                <w:szCs w:val="20"/>
                <w:lang w:eastAsia="nl-NL"/>
                <w14:ligatures w14:val="none"/>
              </w:rPr>
            </w:pPr>
            <w:r w:rsidRPr="00C41E8E">
              <w:rPr>
                <w:rFonts w:ascii="Aptos Narrow" w:eastAsia="Times New Roman" w:hAnsi="Aptos Narrow" w:cs="Times New Roman"/>
                <w:color w:val="000000"/>
                <w:kern w:val="0"/>
                <w:sz w:val="20"/>
                <w:szCs w:val="20"/>
                <w:lang w:eastAsia="nl-NL"/>
                <w14:ligatures w14:val="none"/>
              </w:rPr>
              <w:t>MNVs in LYM002 reporter list (n, % of 8</w:t>
            </w:r>
            <w:r>
              <w:rPr>
                <w:rFonts w:ascii="Aptos Narrow" w:eastAsia="Times New Roman" w:hAnsi="Aptos Narrow" w:cs="Times New Roman"/>
                <w:color w:val="000000"/>
                <w:kern w:val="0"/>
                <w:sz w:val="20"/>
                <w:szCs w:val="20"/>
                <w:lang w:eastAsia="nl-NL"/>
                <w14:ligatures w14:val="none"/>
              </w:rPr>
              <w:t>,</w:t>
            </w:r>
            <w:r w:rsidRPr="00C41E8E">
              <w:rPr>
                <w:rFonts w:ascii="Aptos Narrow" w:eastAsia="Times New Roman" w:hAnsi="Aptos Narrow" w:cs="Times New Roman"/>
                <w:color w:val="000000"/>
                <w:kern w:val="0"/>
                <w:sz w:val="20"/>
                <w:szCs w:val="20"/>
                <w:lang w:eastAsia="nl-NL"/>
                <w14:ligatures w14:val="none"/>
              </w:rPr>
              <w:t>618)</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45E0315C" w14:textId="77777777"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7</w:t>
            </w:r>
            <w:r>
              <w:rPr>
                <w:rFonts w:ascii="Aptos Narrow" w:eastAsia="Times New Roman" w:hAnsi="Aptos Narrow" w:cs="Times New Roman"/>
                <w:color w:val="000000"/>
                <w:kern w:val="0"/>
                <w:sz w:val="20"/>
                <w:szCs w:val="20"/>
                <w:lang w:val="nl-NL" w:eastAsia="nl-NL"/>
                <w14:ligatures w14:val="none"/>
              </w:rPr>
              <w:t>,</w:t>
            </w:r>
            <w:r w:rsidRPr="00511D5F">
              <w:rPr>
                <w:rFonts w:ascii="Aptos Narrow" w:eastAsia="Times New Roman" w:hAnsi="Aptos Narrow" w:cs="Times New Roman"/>
                <w:color w:val="000000"/>
                <w:kern w:val="0"/>
                <w:sz w:val="20"/>
                <w:szCs w:val="20"/>
                <w:lang w:val="nl-NL" w:eastAsia="nl-NL"/>
                <w14:ligatures w14:val="none"/>
              </w:rPr>
              <w:t>293 (84.6%)</w:t>
            </w:r>
          </w:p>
        </w:tc>
        <w:tc>
          <w:tcPr>
            <w:tcW w:w="902" w:type="dxa"/>
            <w:tcBorders>
              <w:top w:val="single" w:sz="4" w:space="0" w:color="auto"/>
              <w:left w:val="single" w:sz="4" w:space="0" w:color="auto"/>
              <w:bottom w:val="single" w:sz="4" w:space="0" w:color="auto"/>
              <w:right w:val="nil"/>
            </w:tcBorders>
            <w:vAlign w:val="center"/>
            <w:hideMark/>
          </w:tcPr>
          <w:p w14:paraId="44D270A3" w14:textId="781D4E34"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1</w:t>
            </w:r>
            <w:r>
              <w:rPr>
                <w:rFonts w:ascii="Aptos Narrow" w:eastAsia="Times New Roman" w:hAnsi="Aptos Narrow" w:cs="Times New Roman"/>
                <w:color w:val="000000"/>
                <w:kern w:val="0"/>
                <w:sz w:val="20"/>
                <w:szCs w:val="20"/>
                <w:lang w:val="nl-NL" w:eastAsia="nl-NL"/>
                <w14:ligatures w14:val="none"/>
              </w:rPr>
              <w:t>,</w:t>
            </w:r>
            <w:r w:rsidR="00AC7EB8">
              <w:rPr>
                <w:rFonts w:ascii="Aptos Narrow" w:eastAsia="Times New Roman" w:hAnsi="Aptos Narrow" w:cs="Times New Roman"/>
                <w:color w:val="000000"/>
                <w:kern w:val="0"/>
                <w:sz w:val="20"/>
                <w:szCs w:val="20"/>
                <w:lang w:val="nl-NL" w:eastAsia="nl-NL"/>
                <w14:ligatures w14:val="none"/>
              </w:rPr>
              <w:t>737</w:t>
            </w:r>
          </w:p>
        </w:tc>
        <w:tc>
          <w:tcPr>
            <w:tcW w:w="1056" w:type="dxa"/>
            <w:tcBorders>
              <w:top w:val="single" w:sz="4" w:space="0" w:color="auto"/>
              <w:left w:val="nil"/>
              <w:bottom w:val="single" w:sz="4" w:space="0" w:color="auto"/>
              <w:right w:val="nil"/>
            </w:tcBorders>
            <w:noWrap/>
            <w:vAlign w:val="center"/>
            <w:hideMark/>
          </w:tcPr>
          <w:p w14:paraId="5837EB5D" w14:textId="174E1003"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1</w:t>
            </w:r>
            <w:r>
              <w:rPr>
                <w:rFonts w:ascii="Aptos Narrow" w:eastAsia="Times New Roman" w:hAnsi="Aptos Narrow" w:cs="Times New Roman"/>
                <w:color w:val="000000"/>
                <w:kern w:val="0"/>
                <w:sz w:val="20"/>
                <w:szCs w:val="20"/>
                <w:lang w:val="nl-NL" w:eastAsia="nl-NL"/>
                <w14:ligatures w14:val="none"/>
              </w:rPr>
              <w:t>,</w:t>
            </w:r>
            <w:r w:rsidR="00AC7EB8">
              <w:rPr>
                <w:rFonts w:ascii="Aptos Narrow" w:eastAsia="Times New Roman" w:hAnsi="Aptos Narrow" w:cs="Times New Roman"/>
                <w:color w:val="000000"/>
                <w:kern w:val="0"/>
                <w:sz w:val="20"/>
                <w:szCs w:val="20"/>
                <w:lang w:val="nl-NL" w:eastAsia="nl-NL"/>
                <w14:ligatures w14:val="none"/>
              </w:rPr>
              <w:t>794</w:t>
            </w:r>
          </w:p>
        </w:tc>
        <w:tc>
          <w:tcPr>
            <w:tcW w:w="1056" w:type="dxa"/>
            <w:tcBorders>
              <w:top w:val="single" w:sz="4" w:space="0" w:color="auto"/>
              <w:left w:val="nil"/>
              <w:bottom w:val="single" w:sz="4" w:space="0" w:color="auto"/>
              <w:right w:val="single" w:sz="4" w:space="0" w:color="auto"/>
            </w:tcBorders>
            <w:noWrap/>
            <w:vAlign w:val="center"/>
            <w:hideMark/>
          </w:tcPr>
          <w:p w14:paraId="744D39EE" w14:textId="39A59CBB" w:rsidR="002C1314" w:rsidRPr="00511D5F" w:rsidRDefault="00AC7EB8"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3,531</w:t>
            </w:r>
          </w:p>
        </w:tc>
        <w:tc>
          <w:tcPr>
            <w:tcW w:w="1056" w:type="dxa"/>
            <w:tcBorders>
              <w:top w:val="single" w:sz="4" w:space="0" w:color="auto"/>
              <w:left w:val="single" w:sz="4" w:space="0" w:color="auto"/>
              <w:bottom w:val="single" w:sz="4" w:space="0" w:color="auto"/>
              <w:right w:val="nil"/>
            </w:tcBorders>
            <w:noWrap/>
            <w:vAlign w:val="center"/>
            <w:hideMark/>
          </w:tcPr>
          <w:p w14:paraId="51B455EC" w14:textId="217A7B5E"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1</w:t>
            </w:r>
            <w:r>
              <w:rPr>
                <w:rFonts w:ascii="Aptos Narrow" w:eastAsia="Times New Roman" w:hAnsi="Aptos Narrow" w:cs="Times New Roman"/>
                <w:color w:val="000000"/>
                <w:kern w:val="0"/>
                <w:sz w:val="20"/>
                <w:szCs w:val="20"/>
                <w:lang w:val="nl-NL" w:eastAsia="nl-NL"/>
                <w14:ligatures w14:val="none"/>
              </w:rPr>
              <w:t>,</w:t>
            </w:r>
            <w:r w:rsidR="00AC7EB8">
              <w:rPr>
                <w:rFonts w:ascii="Aptos Narrow" w:eastAsia="Times New Roman" w:hAnsi="Aptos Narrow" w:cs="Times New Roman"/>
                <w:color w:val="000000"/>
                <w:kern w:val="0"/>
                <w:sz w:val="20"/>
                <w:szCs w:val="20"/>
                <w:lang w:val="nl-NL" w:eastAsia="nl-NL"/>
                <w14:ligatures w14:val="none"/>
              </w:rPr>
              <w:t>374</w:t>
            </w:r>
          </w:p>
        </w:tc>
        <w:tc>
          <w:tcPr>
            <w:tcW w:w="1157" w:type="dxa"/>
            <w:tcBorders>
              <w:top w:val="single" w:sz="4" w:space="0" w:color="auto"/>
              <w:left w:val="nil"/>
              <w:bottom w:val="single" w:sz="4" w:space="0" w:color="auto"/>
              <w:right w:val="nil"/>
            </w:tcBorders>
            <w:noWrap/>
            <w:vAlign w:val="center"/>
            <w:hideMark/>
          </w:tcPr>
          <w:p w14:paraId="0E511F52"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highlight w:val="yellow"/>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c>
          <w:tcPr>
            <w:tcW w:w="1258" w:type="dxa"/>
            <w:tcBorders>
              <w:top w:val="single" w:sz="4" w:space="0" w:color="auto"/>
              <w:left w:val="nil"/>
              <w:bottom w:val="single" w:sz="4" w:space="0" w:color="auto"/>
              <w:right w:val="single" w:sz="4" w:space="0" w:color="auto"/>
            </w:tcBorders>
            <w:noWrap/>
            <w:vAlign w:val="center"/>
            <w:hideMark/>
          </w:tcPr>
          <w:p w14:paraId="592B456F"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highlight w:val="yellow"/>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r>
      <w:tr w:rsidR="002C1314" w:rsidRPr="00511D5F" w14:paraId="68B789FF" w14:textId="77777777" w:rsidTr="001C4B05">
        <w:trPr>
          <w:trHeight w:val="810"/>
        </w:trPr>
        <w:tc>
          <w:tcPr>
            <w:tcW w:w="1956" w:type="dxa"/>
            <w:tcBorders>
              <w:top w:val="single" w:sz="4" w:space="0" w:color="auto"/>
              <w:left w:val="single" w:sz="4" w:space="0" w:color="auto"/>
              <w:bottom w:val="single" w:sz="4" w:space="0" w:color="auto"/>
              <w:right w:val="single" w:sz="4" w:space="0" w:color="auto"/>
            </w:tcBorders>
            <w:vAlign w:val="center"/>
            <w:hideMark/>
          </w:tcPr>
          <w:p w14:paraId="46F2C0B8" w14:textId="77777777" w:rsidR="002C1314" w:rsidRPr="00C41E8E" w:rsidRDefault="002C1314" w:rsidP="00216D3F">
            <w:pPr>
              <w:spacing w:after="0" w:line="240" w:lineRule="auto"/>
              <w:rPr>
                <w:rFonts w:ascii="Aptos Narrow" w:eastAsia="Times New Roman" w:hAnsi="Aptos Narrow" w:cs="Times New Roman"/>
                <w:color w:val="000000"/>
                <w:kern w:val="0"/>
                <w:sz w:val="20"/>
                <w:szCs w:val="20"/>
                <w:lang w:eastAsia="nl-NL"/>
                <w14:ligatures w14:val="none"/>
              </w:rPr>
            </w:pPr>
            <w:r w:rsidRPr="00C41E8E">
              <w:rPr>
                <w:rFonts w:ascii="Aptos Narrow" w:eastAsia="Times New Roman" w:hAnsi="Aptos Narrow" w:cs="Times New Roman"/>
                <w:color w:val="000000"/>
                <w:kern w:val="0"/>
                <w:sz w:val="20"/>
                <w:szCs w:val="20"/>
                <w:lang w:eastAsia="nl-NL"/>
                <w14:ligatures w14:val="none"/>
              </w:rPr>
              <w:t>MNVs in LYM072 reporter list (n, % of 8</w:t>
            </w:r>
            <w:r>
              <w:rPr>
                <w:rFonts w:ascii="Aptos Narrow" w:eastAsia="Times New Roman" w:hAnsi="Aptos Narrow" w:cs="Times New Roman"/>
                <w:color w:val="000000"/>
                <w:kern w:val="0"/>
                <w:sz w:val="20"/>
                <w:szCs w:val="20"/>
                <w:lang w:eastAsia="nl-NL"/>
                <w14:ligatures w14:val="none"/>
              </w:rPr>
              <w:t>,</w:t>
            </w:r>
            <w:r w:rsidRPr="00C41E8E">
              <w:rPr>
                <w:rFonts w:ascii="Aptos Narrow" w:eastAsia="Times New Roman" w:hAnsi="Aptos Narrow" w:cs="Times New Roman"/>
                <w:color w:val="000000"/>
                <w:kern w:val="0"/>
                <w:sz w:val="20"/>
                <w:szCs w:val="20"/>
                <w:lang w:eastAsia="nl-NL"/>
                <w14:ligatures w14:val="none"/>
              </w:rPr>
              <w:t>618)</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69D83B11" w14:textId="77777777" w:rsidR="002C1314" w:rsidRPr="00511D5F" w:rsidRDefault="002C1314"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sidRPr="00511D5F">
              <w:rPr>
                <w:rFonts w:ascii="Aptos Narrow" w:eastAsia="Times New Roman" w:hAnsi="Aptos Narrow" w:cs="Times New Roman"/>
                <w:color w:val="000000"/>
                <w:kern w:val="0"/>
                <w:sz w:val="20"/>
                <w:szCs w:val="20"/>
                <w:lang w:val="nl-NL" w:eastAsia="nl-NL"/>
                <w14:ligatures w14:val="none"/>
              </w:rPr>
              <w:t>1</w:t>
            </w:r>
            <w:r>
              <w:rPr>
                <w:rFonts w:ascii="Aptos Narrow" w:eastAsia="Times New Roman" w:hAnsi="Aptos Narrow" w:cs="Times New Roman"/>
                <w:color w:val="000000"/>
                <w:kern w:val="0"/>
                <w:sz w:val="20"/>
                <w:szCs w:val="20"/>
                <w:lang w:val="nl-NL" w:eastAsia="nl-NL"/>
                <w14:ligatures w14:val="none"/>
              </w:rPr>
              <w:t>,</w:t>
            </w:r>
            <w:r w:rsidRPr="00511D5F">
              <w:rPr>
                <w:rFonts w:ascii="Aptos Narrow" w:eastAsia="Times New Roman" w:hAnsi="Aptos Narrow" w:cs="Times New Roman"/>
                <w:color w:val="000000"/>
                <w:kern w:val="0"/>
                <w:sz w:val="20"/>
                <w:szCs w:val="20"/>
                <w:lang w:val="nl-NL" w:eastAsia="nl-NL"/>
                <w14:ligatures w14:val="none"/>
              </w:rPr>
              <w:t>134 (13.2%)</w:t>
            </w:r>
          </w:p>
        </w:tc>
        <w:tc>
          <w:tcPr>
            <w:tcW w:w="902" w:type="dxa"/>
            <w:tcBorders>
              <w:top w:val="single" w:sz="4" w:space="0" w:color="auto"/>
              <w:left w:val="single" w:sz="4" w:space="0" w:color="auto"/>
              <w:bottom w:val="single" w:sz="4" w:space="0" w:color="auto"/>
              <w:right w:val="nil"/>
            </w:tcBorders>
            <w:vAlign w:val="center"/>
            <w:hideMark/>
          </w:tcPr>
          <w:p w14:paraId="275EEE6B" w14:textId="72DB78EC"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924</w:t>
            </w:r>
          </w:p>
        </w:tc>
        <w:tc>
          <w:tcPr>
            <w:tcW w:w="1056" w:type="dxa"/>
            <w:tcBorders>
              <w:top w:val="single" w:sz="4" w:space="0" w:color="auto"/>
              <w:left w:val="nil"/>
              <w:bottom w:val="single" w:sz="4" w:space="0" w:color="auto"/>
              <w:right w:val="nil"/>
            </w:tcBorders>
            <w:noWrap/>
            <w:vAlign w:val="center"/>
            <w:hideMark/>
          </w:tcPr>
          <w:p w14:paraId="7FED4048" w14:textId="03CA9748"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2,332</w:t>
            </w:r>
          </w:p>
        </w:tc>
        <w:tc>
          <w:tcPr>
            <w:tcW w:w="1056" w:type="dxa"/>
            <w:tcBorders>
              <w:top w:val="single" w:sz="4" w:space="0" w:color="auto"/>
              <w:left w:val="nil"/>
              <w:bottom w:val="single" w:sz="4" w:space="0" w:color="auto"/>
              <w:right w:val="single" w:sz="4" w:space="0" w:color="auto"/>
            </w:tcBorders>
            <w:noWrap/>
            <w:vAlign w:val="center"/>
            <w:hideMark/>
          </w:tcPr>
          <w:p w14:paraId="4BC7F9F3" w14:textId="59F87F3A"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3,256</w:t>
            </w:r>
          </w:p>
        </w:tc>
        <w:tc>
          <w:tcPr>
            <w:tcW w:w="1056" w:type="dxa"/>
            <w:tcBorders>
              <w:top w:val="single" w:sz="4" w:space="0" w:color="auto"/>
              <w:left w:val="single" w:sz="4" w:space="0" w:color="auto"/>
              <w:bottom w:val="single" w:sz="4" w:space="0" w:color="auto"/>
              <w:right w:val="nil"/>
            </w:tcBorders>
            <w:noWrap/>
            <w:vAlign w:val="center"/>
            <w:hideMark/>
          </w:tcPr>
          <w:p w14:paraId="51CCB96A" w14:textId="2D35AC0A"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816</w:t>
            </w:r>
          </w:p>
        </w:tc>
        <w:tc>
          <w:tcPr>
            <w:tcW w:w="1157" w:type="dxa"/>
            <w:tcBorders>
              <w:top w:val="single" w:sz="4" w:space="0" w:color="auto"/>
              <w:left w:val="nil"/>
              <w:bottom w:val="single" w:sz="4" w:space="0" w:color="auto"/>
              <w:right w:val="nil"/>
            </w:tcBorders>
            <w:noWrap/>
            <w:vAlign w:val="center"/>
            <w:hideMark/>
          </w:tcPr>
          <w:p w14:paraId="35F2050E"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highlight w:val="yellow"/>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c>
          <w:tcPr>
            <w:tcW w:w="1258" w:type="dxa"/>
            <w:tcBorders>
              <w:top w:val="single" w:sz="4" w:space="0" w:color="auto"/>
              <w:left w:val="nil"/>
              <w:bottom w:val="single" w:sz="4" w:space="0" w:color="auto"/>
              <w:right w:val="single" w:sz="4" w:space="0" w:color="auto"/>
            </w:tcBorders>
            <w:noWrap/>
            <w:vAlign w:val="center"/>
            <w:hideMark/>
          </w:tcPr>
          <w:p w14:paraId="20B8B2FE"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highlight w:val="yellow"/>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r>
      <w:tr w:rsidR="002C1314" w:rsidRPr="00511D5F" w14:paraId="5D5AED45" w14:textId="77777777" w:rsidTr="001C4B05">
        <w:trPr>
          <w:trHeight w:val="810"/>
        </w:trPr>
        <w:tc>
          <w:tcPr>
            <w:tcW w:w="1956" w:type="dxa"/>
            <w:tcBorders>
              <w:top w:val="single" w:sz="4" w:space="0" w:color="auto"/>
              <w:left w:val="single" w:sz="4" w:space="0" w:color="auto"/>
              <w:bottom w:val="single" w:sz="4" w:space="0" w:color="auto"/>
              <w:right w:val="single" w:sz="4" w:space="0" w:color="auto"/>
            </w:tcBorders>
            <w:vAlign w:val="center"/>
            <w:hideMark/>
          </w:tcPr>
          <w:p w14:paraId="6435DFAA" w14:textId="22AAFA08" w:rsidR="002C1314" w:rsidRPr="00C41E8E" w:rsidRDefault="009B274A" w:rsidP="00216D3F">
            <w:pPr>
              <w:spacing w:after="0" w:line="240" w:lineRule="auto"/>
              <w:rPr>
                <w:rFonts w:ascii="Aptos Narrow" w:eastAsia="Times New Roman" w:hAnsi="Aptos Narrow" w:cs="Times New Roman"/>
                <w:color w:val="000000"/>
                <w:kern w:val="0"/>
                <w:sz w:val="20"/>
                <w:szCs w:val="20"/>
                <w:lang w:eastAsia="nl-NL"/>
                <w14:ligatures w14:val="none"/>
              </w:rPr>
            </w:pPr>
            <w:r>
              <w:rPr>
                <w:rFonts w:ascii="Aptos Narrow" w:eastAsia="Times New Roman" w:hAnsi="Aptos Narrow" w:cs="Times New Roman"/>
                <w:color w:val="000000"/>
                <w:kern w:val="0"/>
                <w:sz w:val="20"/>
                <w:szCs w:val="20"/>
                <w:lang w:eastAsia="nl-NL"/>
                <w14:ligatures w14:val="none"/>
              </w:rPr>
              <w:t xml:space="preserve"> Size-matched MNVs, DLBCL084 (2-3 SNVs)</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01D26968" w14:textId="2B58E442"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191</w:t>
            </w:r>
          </w:p>
        </w:tc>
        <w:tc>
          <w:tcPr>
            <w:tcW w:w="902" w:type="dxa"/>
            <w:tcBorders>
              <w:top w:val="single" w:sz="4" w:space="0" w:color="auto"/>
              <w:left w:val="single" w:sz="4" w:space="0" w:color="auto"/>
              <w:bottom w:val="single" w:sz="4" w:space="0" w:color="auto"/>
              <w:right w:val="nil"/>
            </w:tcBorders>
            <w:noWrap/>
            <w:vAlign w:val="center"/>
            <w:hideMark/>
          </w:tcPr>
          <w:p w14:paraId="00227CCC" w14:textId="0C398EF9"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176</w:t>
            </w:r>
          </w:p>
        </w:tc>
        <w:tc>
          <w:tcPr>
            <w:tcW w:w="1056" w:type="dxa"/>
            <w:tcBorders>
              <w:top w:val="single" w:sz="4" w:space="0" w:color="auto"/>
              <w:left w:val="nil"/>
              <w:bottom w:val="single" w:sz="4" w:space="0" w:color="auto"/>
              <w:right w:val="nil"/>
            </w:tcBorders>
            <w:noWrap/>
            <w:vAlign w:val="center"/>
            <w:hideMark/>
          </w:tcPr>
          <w:p w14:paraId="461A5290" w14:textId="172E9584"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145</w:t>
            </w:r>
          </w:p>
        </w:tc>
        <w:tc>
          <w:tcPr>
            <w:tcW w:w="1056" w:type="dxa"/>
            <w:tcBorders>
              <w:top w:val="single" w:sz="4" w:space="0" w:color="auto"/>
              <w:left w:val="nil"/>
              <w:bottom w:val="single" w:sz="4" w:space="0" w:color="auto"/>
              <w:right w:val="single" w:sz="4" w:space="0" w:color="auto"/>
            </w:tcBorders>
            <w:noWrap/>
            <w:vAlign w:val="center"/>
            <w:hideMark/>
          </w:tcPr>
          <w:p w14:paraId="7ADE2E7A" w14:textId="712A9F20"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321</w:t>
            </w:r>
          </w:p>
        </w:tc>
        <w:tc>
          <w:tcPr>
            <w:tcW w:w="1056" w:type="dxa"/>
            <w:tcBorders>
              <w:top w:val="single" w:sz="4" w:space="0" w:color="auto"/>
              <w:left w:val="single" w:sz="4" w:space="0" w:color="auto"/>
              <w:bottom w:val="single" w:sz="4" w:space="0" w:color="auto"/>
              <w:right w:val="nil"/>
            </w:tcBorders>
            <w:noWrap/>
            <w:vAlign w:val="center"/>
            <w:hideMark/>
          </w:tcPr>
          <w:p w14:paraId="38A9FBE7" w14:textId="0B2774FB"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169</w:t>
            </w:r>
          </w:p>
        </w:tc>
        <w:tc>
          <w:tcPr>
            <w:tcW w:w="1157" w:type="dxa"/>
            <w:tcBorders>
              <w:top w:val="single" w:sz="4" w:space="0" w:color="auto"/>
              <w:left w:val="nil"/>
              <w:bottom w:val="single" w:sz="4" w:space="0" w:color="auto"/>
              <w:right w:val="nil"/>
            </w:tcBorders>
            <w:noWrap/>
            <w:vAlign w:val="center"/>
            <w:hideMark/>
          </w:tcPr>
          <w:p w14:paraId="6C3190E0"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c>
          <w:tcPr>
            <w:tcW w:w="1258" w:type="dxa"/>
            <w:tcBorders>
              <w:top w:val="single" w:sz="4" w:space="0" w:color="auto"/>
              <w:left w:val="nil"/>
              <w:bottom w:val="single" w:sz="4" w:space="0" w:color="auto"/>
              <w:right w:val="single" w:sz="4" w:space="0" w:color="auto"/>
            </w:tcBorders>
            <w:noWrap/>
            <w:vAlign w:val="center"/>
            <w:hideMark/>
          </w:tcPr>
          <w:p w14:paraId="448FD7E9"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r>
      <w:tr w:rsidR="002C1314" w:rsidRPr="00511D5F" w14:paraId="465D217F" w14:textId="77777777" w:rsidTr="001C4B05">
        <w:trPr>
          <w:trHeight w:val="810"/>
        </w:trPr>
        <w:tc>
          <w:tcPr>
            <w:tcW w:w="1956" w:type="dxa"/>
            <w:tcBorders>
              <w:top w:val="single" w:sz="4" w:space="0" w:color="auto"/>
              <w:left w:val="single" w:sz="4" w:space="0" w:color="auto"/>
              <w:bottom w:val="single" w:sz="4" w:space="0" w:color="auto"/>
              <w:right w:val="single" w:sz="4" w:space="0" w:color="auto"/>
            </w:tcBorders>
            <w:vAlign w:val="center"/>
            <w:hideMark/>
          </w:tcPr>
          <w:p w14:paraId="044D51ED" w14:textId="67102158" w:rsidR="002C1314" w:rsidRPr="00C41E8E" w:rsidRDefault="009B274A" w:rsidP="00216D3F">
            <w:pPr>
              <w:spacing w:after="0" w:line="240" w:lineRule="auto"/>
              <w:rPr>
                <w:rFonts w:ascii="Aptos Narrow" w:eastAsia="Times New Roman" w:hAnsi="Aptos Narrow" w:cs="Times New Roman"/>
                <w:color w:val="000000"/>
                <w:kern w:val="0"/>
                <w:sz w:val="20"/>
                <w:szCs w:val="20"/>
                <w:lang w:eastAsia="nl-NL"/>
                <w14:ligatures w14:val="none"/>
              </w:rPr>
            </w:pPr>
            <w:r>
              <w:rPr>
                <w:rFonts w:ascii="Aptos Narrow" w:eastAsia="Times New Roman" w:hAnsi="Aptos Narrow" w:cs="Times New Roman"/>
                <w:color w:val="000000"/>
                <w:kern w:val="0"/>
                <w:sz w:val="20"/>
                <w:szCs w:val="20"/>
                <w:lang w:eastAsia="nl-NL"/>
                <w14:ligatures w14:val="none"/>
              </w:rPr>
              <w:t>Size-matched MNVs, LYM002 (2-3 SNVs)</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254CAD1E" w14:textId="4755725B"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7,293</w:t>
            </w:r>
          </w:p>
        </w:tc>
        <w:tc>
          <w:tcPr>
            <w:tcW w:w="902" w:type="dxa"/>
            <w:tcBorders>
              <w:top w:val="single" w:sz="4" w:space="0" w:color="auto"/>
              <w:left w:val="single" w:sz="4" w:space="0" w:color="auto"/>
              <w:bottom w:val="single" w:sz="4" w:space="0" w:color="auto"/>
              <w:right w:val="nil"/>
            </w:tcBorders>
            <w:noWrap/>
            <w:vAlign w:val="center"/>
            <w:hideMark/>
          </w:tcPr>
          <w:p w14:paraId="099A1E56" w14:textId="3410E566"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1,737</w:t>
            </w:r>
          </w:p>
        </w:tc>
        <w:tc>
          <w:tcPr>
            <w:tcW w:w="1056" w:type="dxa"/>
            <w:tcBorders>
              <w:top w:val="single" w:sz="4" w:space="0" w:color="auto"/>
              <w:left w:val="nil"/>
              <w:bottom w:val="single" w:sz="4" w:space="0" w:color="auto"/>
              <w:right w:val="nil"/>
            </w:tcBorders>
            <w:noWrap/>
            <w:vAlign w:val="center"/>
            <w:hideMark/>
          </w:tcPr>
          <w:p w14:paraId="788A72D3" w14:textId="073D59D1"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486</w:t>
            </w:r>
          </w:p>
        </w:tc>
        <w:tc>
          <w:tcPr>
            <w:tcW w:w="1056" w:type="dxa"/>
            <w:tcBorders>
              <w:top w:val="single" w:sz="4" w:space="0" w:color="auto"/>
              <w:left w:val="nil"/>
              <w:bottom w:val="single" w:sz="4" w:space="0" w:color="auto"/>
              <w:right w:val="single" w:sz="4" w:space="0" w:color="auto"/>
            </w:tcBorders>
            <w:noWrap/>
            <w:vAlign w:val="center"/>
            <w:hideMark/>
          </w:tcPr>
          <w:p w14:paraId="72640195" w14:textId="57AB5FA5"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2,223</w:t>
            </w:r>
          </w:p>
        </w:tc>
        <w:tc>
          <w:tcPr>
            <w:tcW w:w="1056" w:type="dxa"/>
            <w:tcBorders>
              <w:top w:val="single" w:sz="4" w:space="0" w:color="auto"/>
              <w:left w:val="single" w:sz="4" w:space="0" w:color="auto"/>
              <w:bottom w:val="single" w:sz="4" w:space="0" w:color="auto"/>
              <w:right w:val="nil"/>
            </w:tcBorders>
            <w:noWrap/>
            <w:vAlign w:val="center"/>
            <w:hideMark/>
          </w:tcPr>
          <w:p w14:paraId="019DB7EE" w14:textId="64812A09"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1,374</w:t>
            </w:r>
          </w:p>
        </w:tc>
        <w:tc>
          <w:tcPr>
            <w:tcW w:w="1157" w:type="dxa"/>
            <w:tcBorders>
              <w:top w:val="single" w:sz="4" w:space="0" w:color="auto"/>
              <w:left w:val="nil"/>
              <w:bottom w:val="single" w:sz="4" w:space="0" w:color="auto"/>
              <w:right w:val="nil"/>
            </w:tcBorders>
            <w:noWrap/>
            <w:vAlign w:val="center"/>
            <w:hideMark/>
          </w:tcPr>
          <w:p w14:paraId="1AA5D03F"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c>
          <w:tcPr>
            <w:tcW w:w="1258" w:type="dxa"/>
            <w:tcBorders>
              <w:top w:val="single" w:sz="4" w:space="0" w:color="auto"/>
              <w:left w:val="nil"/>
              <w:bottom w:val="single" w:sz="4" w:space="0" w:color="auto"/>
              <w:right w:val="single" w:sz="4" w:space="0" w:color="auto"/>
            </w:tcBorders>
            <w:noWrap/>
            <w:vAlign w:val="center"/>
            <w:hideMark/>
          </w:tcPr>
          <w:p w14:paraId="6632CFDC"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r>
      <w:tr w:rsidR="002C1314" w:rsidRPr="00511D5F" w14:paraId="66992D5B" w14:textId="77777777" w:rsidTr="001C4B05">
        <w:trPr>
          <w:trHeight w:val="810"/>
        </w:trPr>
        <w:tc>
          <w:tcPr>
            <w:tcW w:w="1956" w:type="dxa"/>
            <w:tcBorders>
              <w:top w:val="single" w:sz="4" w:space="0" w:color="auto"/>
              <w:left w:val="single" w:sz="4" w:space="0" w:color="auto"/>
              <w:bottom w:val="single" w:sz="4" w:space="0" w:color="auto"/>
              <w:right w:val="single" w:sz="4" w:space="0" w:color="auto"/>
            </w:tcBorders>
            <w:vAlign w:val="center"/>
            <w:hideMark/>
          </w:tcPr>
          <w:p w14:paraId="7DDADCF3" w14:textId="273D8A40" w:rsidR="002C1314" w:rsidRPr="00C41E8E" w:rsidRDefault="009B274A" w:rsidP="00216D3F">
            <w:pPr>
              <w:spacing w:after="0" w:line="240" w:lineRule="auto"/>
              <w:rPr>
                <w:rFonts w:ascii="Aptos Narrow" w:eastAsia="Times New Roman" w:hAnsi="Aptos Narrow" w:cs="Times New Roman"/>
                <w:color w:val="000000"/>
                <w:kern w:val="0"/>
                <w:sz w:val="20"/>
                <w:szCs w:val="20"/>
                <w:lang w:eastAsia="nl-NL"/>
                <w14:ligatures w14:val="none"/>
              </w:rPr>
            </w:pPr>
            <w:r>
              <w:rPr>
                <w:rFonts w:ascii="Aptos Narrow" w:eastAsia="Times New Roman" w:hAnsi="Aptos Narrow" w:cs="Times New Roman"/>
                <w:color w:val="000000"/>
                <w:kern w:val="0"/>
                <w:sz w:val="20"/>
                <w:szCs w:val="20"/>
                <w:lang w:eastAsia="nl-NL"/>
                <w14:ligatures w14:val="none"/>
              </w:rPr>
              <w:t>Size-matched MNVs, LYM072 (2-3 SNVs)</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505B51FC" w14:textId="4B536819"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1,134</w:t>
            </w:r>
          </w:p>
        </w:tc>
        <w:tc>
          <w:tcPr>
            <w:tcW w:w="902" w:type="dxa"/>
            <w:tcBorders>
              <w:top w:val="single" w:sz="4" w:space="0" w:color="auto"/>
              <w:left w:val="single" w:sz="4" w:space="0" w:color="auto"/>
              <w:bottom w:val="single" w:sz="4" w:space="0" w:color="auto"/>
              <w:right w:val="nil"/>
            </w:tcBorders>
            <w:noWrap/>
            <w:vAlign w:val="center"/>
            <w:hideMark/>
          </w:tcPr>
          <w:p w14:paraId="5A650630" w14:textId="59CD5648"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924</w:t>
            </w:r>
          </w:p>
        </w:tc>
        <w:tc>
          <w:tcPr>
            <w:tcW w:w="1056" w:type="dxa"/>
            <w:tcBorders>
              <w:top w:val="single" w:sz="4" w:space="0" w:color="auto"/>
              <w:left w:val="nil"/>
              <w:bottom w:val="single" w:sz="4" w:space="0" w:color="auto"/>
              <w:right w:val="nil"/>
            </w:tcBorders>
            <w:noWrap/>
            <w:vAlign w:val="center"/>
            <w:hideMark/>
          </w:tcPr>
          <w:p w14:paraId="70AB50E0" w14:textId="3573F8C6"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940</w:t>
            </w:r>
          </w:p>
        </w:tc>
        <w:tc>
          <w:tcPr>
            <w:tcW w:w="1056" w:type="dxa"/>
            <w:tcBorders>
              <w:top w:val="single" w:sz="4" w:space="0" w:color="auto"/>
              <w:left w:val="nil"/>
              <w:bottom w:val="single" w:sz="4" w:space="0" w:color="auto"/>
              <w:right w:val="single" w:sz="4" w:space="0" w:color="auto"/>
            </w:tcBorders>
            <w:noWrap/>
            <w:vAlign w:val="center"/>
            <w:hideMark/>
          </w:tcPr>
          <w:p w14:paraId="774AA1B9" w14:textId="3D1B9DFE"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1,864</w:t>
            </w:r>
          </w:p>
        </w:tc>
        <w:tc>
          <w:tcPr>
            <w:tcW w:w="1056" w:type="dxa"/>
            <w:tcBorders>
              <w:top w:val="single" w:sz="4" w:space="0" w:color="auto"/>
              <w:left w:val="single" w:sz="4" w:space="0" w:color="auto"/>
              <w:bottom w:val="single" w:sz="4" w:space="0" w:color="auto"/>
              <w:right w:val="nil"/>
            </w:tcBorders>
            <w:noWrap/>
            <w:vAlign w:val="center"/>
            <w:hideMark/>
          </w:tcPr>
          <w:p w14:paraId="052B3C42" w14:textId="6788FFD9" w:rsidR="002C1314" w:rsidRPr="00511D5F" w:rsidRDefault="009B274A" w:rsidP="00216D3F">
            <w:pPr>
              <w:spacing w:after="0" w:line="240" w:lineRule="auto"/>
              <w:jc w:val="right"/>
              <w:rPr>
                <w:rFonts w:ascii="Aptos Narrow" w:eastAsia="Times New Roman" w:hAnsi="Aptos Narrow" w:cs="Times New Roman"/>
                <w:color w:val="000000"/>
                <w:kern w:val="0"/>
                <w:sz w:val="20"/>
                <w:szCs w:val="20"/>
                <w:lang w:val="nl-NL" w:eastAsia="nl-NL"/>
                <w14:ligatures w14:val="none"/>
              </w:rPr>
            </w:pPr>
            <w:r>
              <w:rPr>
                <w:rFonts w:ascii="Aptos Narrow" w:eastAsia="Times New Roman" w:hAnsi="Aptos Narrow" w:cs="Times New Roman"/>
                <w:color w:val="000000"/>
                <w:kern w:val="0"/>
                <w:sz w:val="20"/>
                <w:szCs w:val="20"/>
                <w:lang w:val="nl-NL" w:eastAsia="nl-NL"/>
                <w14:ligatures w14:val="none"/>
              </w:rPr>
              <w:t>816</w:t>
            </w:r>
          </w:p>
        </w:tc>
        <w:tc>
          <w:tcPr>
            <w:tcW w:w="1157" w:type="dxa"/>
            <w:tcBorders>
              <w:top w:val="single" w:sz="4" w:space="0" w:color="auto"/>
              <w:left w:val="nil"/>
              <w:bottom w:val="single" w:sz="4" w:space="0" w:color="auto"/>
              <w:right w:val="nil"/>
            </w:tcBorders>
            <w:noWrap/>
            <w:vAlign w:val="center"/>
            <w:hideMark/>
          </w:tcPr>
          <w:p w14:paraId="66B361CD"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c>
          <w:tcPr>
            <w:tcW w:w="1258" w:type="dxa"/>
            <w:tcBorders>
              <w:top w:val="single" w:sz="4" w:space="0" w:color="auto"/>
              <w:left w:val="nil"/>
              <w:bottom w:val="single" w:sz="4" w:space="0" w:color="auto"/>
              <w:right w:val="single" w:sz="4" w:space="0" w:color="auto"/>
            </w:tcBorders>
            <w:noWrap/>
            <w:vAlign w:val="center"/>
            <w:hideMark/>
          </w:tcPr>
          <w:p w14:paraId="0ABBEDA9" w14:textId="77777777" w:rsidR="002C1314" w:rsidRPr="00D036EE" w:rsidRDefault="002C1314" w:rsidP="00216D3F">
            <w:pPr>
              <w:spacing w:after="0" w:line="240" w:lineRule="auto"/>
              <w:jc w:val="right"/>
              <w:rPr>
                <w:rFonts w:ascii="Aptos Narrow" w:eastAsia="Times New Roman" w:hAnsi="Aptos Narrow" w:cs="Times New Roman"/>
                <w:color w:val="A6A6A6" w:themeColor="background1" w:themeShade="A6"/>
                <w:kern w:val="0"/>
                <w:sz w:val="20"/>
                <w:szCs w:val="20"/>
                <w:lang w:val="nl-NL" w:eastAsia="nl-NL"/>
                <w14:ligatures w14:val="none"/>
              </w:rPr>
            </w:pPr>
            <w:r w:rsidRPr="00D036EE">
              <w:rPr>
                <w:rFonts w:ascii="Aptos Narrow" w:eastAsia="Times New Roman" w:hAnsi="Aptos Narrow" w:cs="Times New Roman"/>
                <w:color w:val="A6A6A6" w:themeColor="background1" w:themeShade="A6"/>
                <w:kern w:val="0"/>
                <w:sz w:val="20"/>
                <w:szCs w:val="20"/>
                <w:lang w:val="nl-NL" w:eastAsia="nl-NL"/>
                <w14:ligatures w14:val="none"/>
              </w:rPr>
              <w:t>N.A.</w:t>
            </w:r>
            <w:r w:rsidRPr="00D036EE">
              <w:rPr>
                <w:rFonts w:ascii="Aptos Narrow" w:eastAsia="Times New Roman" w:hAnsi="Aptos Narrow" w:cs="Times New Roman"/>
                <w:color w:val="A6A6A6" w:themeColor="background1" w:themeShade="A6"/>
                <w:kern w:val="0"/>
                <w:sz w:val="20"/>
                <w:szCs w:val="20"/>
                <w:vertAlign w:val="superscript"/>
                <w:lang w:eastAsia="nl-NL"/>
                <w14:ligatures w14:val="none"/>
              </w:rPr>
              <w:t xml:space="preserve"> ‡</w:t>
            </w:r>
          </w:p>
        </w:tc>
      </w:tr>
    </w:tbl>
    <w:p w14:paraId="1D6DE868" w14:textId="16AE0434" w:rsidR="002C1314" w:rsidRPr="003811A3" w:rsidRDefault="002C1314" w:rsidP="002C1314">
      <w:pPr>
        <w:rPr>
          <w:rFonts w:ascii="Aptos Narrow" w:eastAsia="Times New Roman" w:hAnsi="Aptos Narrow" w:cs="Times New Roman"/>
          <w:color w:val="000000"/>
          <w:kern w:val="0"/>
          <w:sz w:val="20"/>
          <w:szCs w:val="20"/>
          <w:lang w:eastAsia="nl-NL"/>
          <w14:ligatures w14:val="none"/>
        </w:rPr>
      </w:pPr>
      <w:r w:rsidRPr="003811A3">
        <w:rPr>
          <w:rFonts w:ascii="Aptos Narrow" w:eastAsia="Times New Roman" w:hAnsi="Aptos Narrow" w:cs="Times New Roman"/>
          <w:color w:val="000000"/>
          <w:kern w:val="0"/>
          <w:sz w:val="20"/>
          <w:szCs w:val="20"/>
          <w:lang w:eastAsia="nl-NL"/>
          <w14:ligatures w14:val="none"/>
        </w:rPr>
        <w:t xml:space="preserve">* Total numbers </w:t>
      </w:r>
      <w:r w:rsidR="00C625D0">
        <w:rPr>
          <w:rFonts w:ascii="Aptos Narrow" w:eastAsia="Times New Roman" w:hAnsi="Aptos Narrow" w:cs="Times New Roman"/>
          <w:color w:val="000000"/>
          <w:kern w:val="0"/>
          <w:sz w:val="20"/>
          <w:szCs w:val="20"/>
          <w:lang w:eastAsia="nl-NL"/>
          <w14:ligatures w14:val="none"/>
        </w:rPr>
        <w:t>of</w:t>
      </w:r>
      <w:r w:rsidRPr="003811A3">
        <w:rPr>
          <w:rFonts w:ascii="Aptos Narrow" w:eastAsia="Times New Roman" w:hAnsi="Aptos Narrow" w:cs="Times New Roman"/>
          <w:color w:val="000000"/>
          <w:kern w:val="0"/>
          <w:sz w:val="20"/>
          <w:szCs w:val="20"/>
          <w:lang w:eastAsia="nl-NL"/>
          <w14:ligatures w14:val="none"/>
        </w:rPr>
        <w:t xml:space="preserve"> patient specific subsets are the same as the combined total because all variants are derived from SNVs called in one .BAM file. Multiple patient samples were spiked into one cfDNA study</w:t>
      </w:r>
      <w:r w:rsidR="005B0985">
        <w:rPr>
          <w:rFonts w:ascii="Aptos Narrow" w:eastAsia="Times New Roman" w:hAnsi="Aptos Narrow" w:cs="Times New Roman"/>
          <w:color w:val="000000"/>
          <w:kern w:val="0"/>
          <w:sz w:val="20"/>
          <w:szCs w:val="20"/>
          <w:lang w:eastAsia="nl-NL"/>
          <w14:ligatures w14:val="none"/>
        </w:rPr>
        <w:t>.</w:t>
      </w:r>
    </w:p>
    <w:p w14:paraId="1C79AA49" w14:textId="4B34D96B" w:rsidR="002C1314" w:rsidRPr="003811A3" w:rsidRDefault="002C1314" w:rsidP="002C1314">
      <w:pPr>
        <w:rPr>
          <w:sz w:val="20"/>
          <w:szCs w:val="20"/>
        </w:rPr>
      </w:pPr>
      <w:r w:rsidRPr="003811A3">
        <w:rPr>
          <w:rFonts w:ascii="Aptos Narrow" w:eastAsia="Times New Roman" w:hAnsi="Aptos Narrow" w:cs="Times New Roman"/>
          <w:color w:val="000000"/>
          <w:kern w:val="0"/>
          <w:sz w:val="20"/>
          <w:szCs w:val="20"/>
          <w:vertAlign w:val="superscript"/>
          <w:lang w:eastAsia="nl-NL"/>
          <w14:ligatures w14:val="none"/>
        </w:rPr>
        <w:t>†</w:t>
      </w:r>
      <w:r w:rsidRPr="00C41E8E">
        <w:rPr>
          <w:rFonts w:ascii="Aptos Narrow" w:eastAsia="Times New Roman" w:hAnsi="Aptos Narrow" w:cs="Times New Roman"/>
          <w:color w:val="000000"/>
          <w:kern w:val="0"/>
          <w:sz w:val="20"/>
          <w:szCs w:val="20"/>
          <w:lang w:eastAsia="nl-NL"/>
          <w14:ligatures w14:val="none"/>
        </w:rPr>
        <w:t xml:space="preserve"> Derived from Kurtz et al. </w:t>
      </w:r>
      <w:r w:rsidRPr="00732692">
        <w:rPr>
          <w:rFonts w:ascii="Aptos Narrow" w:eastAsia="Times New Roman" w:hAnsi="Aptos Narrow" w:cs="Times New Roman"/>
          <w:color w:val="000000"/>
          <w:kern w:val="0"/>
          <w:sz w:val="20"/>
          <w:szCs w:val="20"/>
          <w:lang w:eastAsia="nl-NL"/>
          <w14:ligatures w14:val="none"/>
        </w:rPr>
        <w:t>Supp Table 7</w:t>
      </w:r>
      <w:r w:rsidR="005B0985">
        <w:rPr>
          <w:rFonts w:ascii="Aptos Narrow" w:eastAsia="Times New Roman" w:hAnsi="Aptos Narrow" w:cs="Times New Roman"/>
          <w:color w:val="000000"/>
          <w:kern w:val="0"/>
          <w:sz w:val="20"/>
          <w:szCs w:val="20"/>
          <w:lang w:eastAsia="nl-NL"/>
          <w14:ligatures w14:val="none"/>
        </w:rPr>
        <w:t>.</w:t>
      </w:r>
    </w:p>
    <w:p w14:paraId="02867775" w14:textId="6493636A" w:rsidR="002C1314" w:rsidRDefault="002C1314" w:rsidP="002C1314">
      <w:pPr>
        <w:spacing w:after="0" w:line="240" w:lineRule="auto"/>
        <w:rPr>
          <w:rFonts w:ascii="Aptos Narrow" w:eastAsia="Times New Roman" w:hAnsi="Aptos Narrow" w:cs="Times New Roman"/>
          <w:color w:val="000000"/>
          <w:kern w:val="0"/>
          <w:sz w:val="20"/>
          <w:szCs w:val="20"/>
          <w:lang w:eastAsia="nl-NL"/>
          <w14:ligatures w14:val="none"/>
        </w:rPr>
      </w:pPr>
      <w:r w:rsidRPr="00D036EE">
        <w:rPr>
          <w:rFonts w:ascii="Aptos Narrow" w:eastAsia="Times New Roman" w:hAnsi="Aptos Narrow" w:cs="Times New Roman"/>
          <w:kern w:val="0"/>
          <w:sz w:val="20"/>
          <w:szCs w:val="20"/>
          <w:vertAlign w:val="superscript"/>
          <w:lang w:eastAsia="nl-NL"/>
          <w14:ligatures w14:val="none"/>
        </w:rPr>
        <w:t>‡</w:t>
      </w:r>
      <w:r w:rsidRPr="00D036EE">
        <w:rPr>
          <w:rFonts w:ascii="Aptos Narrow" w:eastAsia="Times New Roman" w:hAnsi="Aptos Narrow" w:cs="Times New Roman"/>
          <w:kern w:val="0"/>
          <w:sz w:val="20"/>
          <w:szCs w:val="20"/>
          <w:lang w:eastAsia="nl-NL"/>
          <w14:ligatures w14:val="none"/>
        </w:rPr>
        <w:t xml:space="preserve"> </w:t>
      </w:r>
      <w:r w:rsidRPr="003811A3">
        <w:rPr>
          <w:rFonts w:ascii="Aptos Narrow" w:eastAsia="Times New Roman" w:hAnsi="Aptos Narrow" w:cs="Times New Roman"/>
          <w:color w:val="000000"/>
          <w:kern w:val="0"/>
          <w:sz w:val="20"/>
          <w:szCs w:val="20"/>
          <w:lang w:eastAsia="nl-NL"/>
          <w14:ligatures w14:val="none"/>
        </w:rPr>
        <w:t xml:space="preserve">Per-patient counts </w:t>
      </w:r>
      <w:r>
        <w:rPr>
          <w:rFonts w:ascii="Aptos Narrow" w:eastAsia="Times New Roman" w:hAnsi="Aptos Narrow" w:cs="Times New Roman"/>
          <w:color w:val="000000"/>
          <w:kern w:val="0"/>
          <w:sz w:val="20"/>
          <w:szCs w:val="20"/>
          <w:lang w:eastAsia="nl-NL"/>
          <w14:ligatures w14:val="none"/>
        </w:rPr>
        <w:t xml:space="preserve">using in-house SNVs as input for MNVista </w:t>
      </w:r>
      <w:r w:rsidRPr="003811A3">
        <w:rPr>
          <w:rFonts w:ascii="Aptos Narrow" w:eastAsia="Times New Roman" w:hAnsi="Aptos Narrow" w:cs="Times New Roman"/>
          <w:color w:val="000000"/>
          <w:kern w:val="0"/>
          <w:sz w:val="20"/>
          <w:szCs w:val="20"/>
          <w:lang w:eastAsia="nl-NL"/>
          <w14:ligatures w14:val="none"/>
        </w:rPr>
        <w:t xml:space="preserve">are not reported because the BAMs include pooled spike-ins from three patients, preventing assignment of in-house SNVs to a single </w:t>
      </w:r>
      <w:r>
        <w:rPr>
          <w:rFonts w:ascii="Aptos Narrow" w:eastAsia="Times New Roman" w:hAnsi="Aptos Narrow" w:cs="Times New Roman"/>
          <w:color w:val="000000"/>
          <w:kern w:val="0"/>
          <w:sz w:val="20"/>
          <w:szCs w:val="20"/>
          <w:lang w:eastAsia="nl-NL"/>
          <w14:ligatures w14:val="none"/>
        </w:rPr>
        <w:t>patient</w:t>
      </w:r>
      <w:r w:rsidRPr="003811A3">
        <w:rPr>
          <w:rFonts w:ascii="Aptos Narrow" w:eastAsia="Times New Roman" w:hAnsi="Aptos Narrow" w:cs="Times New Roman"/>
          <w:color w:val="000000"/>
          <w:kern w:val="0"/>
          <w:sz w:val="20"/>
          <w:szCs w:val="20"/>
          <w:lang w:eastAsia="nl-NL"/>
          <w14:ligatures w14:val="none"/>
        </w:rPr>
        <w:t>.</w:t>
      </w:r>
    </w:p>
    <w:p w14:paraId="1E0A7364" w14:textId="77777777" w:rsidR="00372B60" w:rsidRDefault="00372B60" w:rsidP="002C1314">
      <w:pPr>
        <w:spacing w:after="0" w:line="240" w:lineRule="auto"/>
        <w:rPr>
          <w:rFonts w:ascii="Aptos Narrow" w:eastAsia="Times New Roman" w:hAnsi="Aptos Narrow" w:cs="Times New Roman"/>
          <w:color w:val="000000"/>
          <w:kern w:val="0"/>
          <w:sz w:val="20"/>
          <w:szCs w:val="20"/>
          <w:lang w:eastAsia="nl-NL"/>
          <w14:ligatures w14:val="none"/>
        </w:rPr>
      </w:pPr>
    </w:p>
    <w:p w14:paraId="6A892FCA" w14:textId="77777777" w:rsidR="00372B60" w:rsidRDefault="00372B60" w:rsidP="002C1314">
      <w:pPr>
        <w:spacing w:after="0" w:line="240" w:lineRule="auto"/>
        <w:rPr>
          <w:rFonts w:ascii="Aptos Narrow" w:eastAsia="Times New Roman" w:hAnsi="Aptos Narrow" w:cs="Times New Roman"/>
          <w:color w:val="000000"/>
          <w:kern w:val="0"/>
          <w:sz w:val="20"/>
          <w:szCs w:val="20"/>
          <w:lang w:eastAsia="nl-NL"/>
          <w14:ligatures w14:val="none"/>
        </w:rPr>
      </w:pPr>
    </w:p>
    <w:p w14:paraId="0D60A032" w14:textId="77777777" w:rsidR="00DE77C3" w:rsidRDefault="00DE77C3" w:rsidP="002C1314">
      <w:pPr>
        <w:spacing w:after="0" w:line="240" w:lineRule="auto"/>
        <w:rPr>
          <w:rFonts w:ascii="Aptos Narrow" w:eastAsia="Times New Roman" w:hAnsi="Aptos Narrow" w:cs="Times New Roman"/>
          <w:color w:val="000000"/>
          <w:kern w:val="0"/>
          <w:sz w:val="20"/>
          <w:szCs w:val="20"/>
          <w:lang w:eastAsia="nl-NL"/>
          <w14:ligatures w14:val="none"/>
        </w:rPr>
      </w:pPr>
    </w:p>
    <w:p w14:paraId="19D1C409" w14:textId="77777777" w:rsidR="0019171F" w:rsidRDefault="0019171F" w:rsidP="002C1314">
      <w:pPr>
        <w:spacing w:after="0" w:line="240" w:lineRule="auto"/>
        <w:rPr>
          <w:rFonts w:ascii="Aptos Narrow" w:eastAsia="Times New Roman" w:hAnsi="Aptos Narrow" w:cs="Times New Roman"/>
          <w:color w:val="000000"/>
          <w:kern w:val="0"/>
          <w:sz w:val="20"/>
          <w:szCs w:val="20"/>
          <w:lang w:eastAsia="nl-NL"/>
          <w14:ligatures w14:val="none"/>
        </w:rPr>
      </w:pPr>
    </w:p>
    <w:p w14:paraId="329273EA" w14:textId="77777777" w:rsidR="0019171F" w:rsidRDefault="0019171F" w:rsidP="002C1314">
      <w:pPr>
        <w:spacing w:after="0" w:line="240" w:lineRule="auto"/>
        <w:rPr>
          <w:rFonts w:ascii="Aptos Narrow" w:eastAsia="Times New Roman" w:hAnsi="Aptos Narrow" w:cs="Times New Roman"/>
          <w:color w:val="000000"/>
          <w:kern w:val="0"/>
          <w:sz w:val="20"/>
          <w:szCs w:val="20"/>
          <w:lang w:eastAsia="nl-NL"/>
          <w14:ligatures w14:val="none"/>
        </w:rPr>
      </w:pPr>
    </w:p>
    <w:p w14:paraId="70606D5E" w14:textId="35D040E4" w:rsidR="004438C7" w:rsidRDefault="004438C7" w:rsidP="004438C7">
      <w:pPr>
        <w:pStyle w:val="SuppFigTable"/>
        <w:rPr>
          <w:rStyle w:val="SuppFigTableChar"/>
          <w:b/>
          <w:bCs/>
        </w:rPr>
      </w:pPr>
      <w:bookmarkStart w:id="26" w:name="_Toc241497591"/>
      <w:r w:rsidRPr="008D146F">
        <w:rPr>
          <w:rStyle w:val="SuppFigTableChar"/>
          <w:b/>
          <w:bCs/>
        </w:rPr>
        <w:lastRenderedPageBreak/>
        <w:t>Table S</w:t>
      </w:r>
      <w:r>
        <w:rPr>
          <w:rStyle w:val="SuppFigTableChar"/>
          <w:b/>
          <w:bCs/>
        </w:rPr>
        <w:t>4</w:t>
      </w:r>
      <w:r>
        <w:t>. Overview of MNVista calls using in-house SNVs in the dilution-series ‘baseline’ sample and the overlap with matching reporter MNVs and SNVs.</w:t>
      </w:r>
      <w:bookmarkEnd w:id="26"/>
      <w:r>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23"/>
        <w:gridCol w:w="992"/>
        <w:gridCol w:w="749"/>
        <w:gridCol w:w="1505"/>
        <w:gridCol w:w="1559"/>
        <w:gridCol w:w="1701"/>
        <w:gridCol w:w="1559"/>
      </w:tblGrid>
      <w:tr w:rsidR="004438C7" w:rsidRPr="004B70B9" w14:paraId="3E898F53" w14:textId="77777777" w:rsidTr="009A7157">
        <w:trPr>
          <w:trHeight w:val="300"/>
        </w:trPr>
        <w:tc>
          <w:tcPr>
            <w:tcW w:w="1413" w:type="dxa"/>
            <w:noWrap/>
            <w:vAlign w:val="bottom"/>
            <w:hideMark/>
          </w:tcPr>
          <w:p w14:paraId="3E5091E8" w14:textId="77777777" w:rsidR="004438C7" w:rsidRPr="004B70B9" w:rsidRDefault="004438C7" w:rsidP="009A7157">
            <w:pPr>
              <w:spacing w:after="0" w:line="240" w:lineRule="auto"/>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MNVista</w:t>
            </w:r>
          </w:p>
        </w:tc>
        <w:tc>
          <w:tcPr>
            <w:tcW w:w="723" w:type="dxa"/>
            <w:noWrap/>
            <w:vAlign w:val="bottom"/>
            <w:hideMark/>
          </w:tcPr>
          <w:p w14:paraId="33FA3458" w14:textId="77777777" w:rsidR="004438C7" w:rsidRPr="004B70B9" w:rsidRDefault="004438C7" w:rsidP="009A7157">
            <w:pPr>
              <w:spacing w:after="0" w:line="240" w:lineRule="auto"/>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Total calls</w:t>
            </w:r>
          </w:p>
        </w:tc>
        <w:tc>
          <w:tcPr>
            <w:tcW w:w="992" w:type="dxa"/>
            <w:noWrap/>
            <w:vAlign w:val="bottom"/>
            <w:hideMark/>
          </w:tcPr>
          <w:p w14:paraId="20B6DD40" w14:textId="77777777" w:rsidR="004438C7" w:rsidRPr="004B70B9" w:rsidRDefault="004438C7" w:rsidP="009A7157">
            <w:pPr>
              <w:spacing w:after="0" w:line="240" w:lineRule="auto"/>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Reporter matched</w:t>
            </w:r>
          </w:p>
        </w:tc>
        <w:tc>
          <w:tcPr>
            <w:tcW w:w="749" w:type="dxa"/>
            <w:noWrap/>
            <w:vAlign w:val="bottom"/>
            <w:hideMark/>
          </w:tcPr>
          <w:p w14:paraId="2252AC74" w14:textId="77777777" w:rsidR="004438C7" w:rsidRPr="004B70B9" w:rsidRDefault="004438C7" w:rsidP="009A7157">
            <w:pPr>
              <w:spacing w:after="0" w:line="240" w:lineRule="auto"/>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Novel (all)</w:t>
            </w:r>
          </w:p>
        </w:tc>
        <w:tc>
          <w:tcPr>
            <w:tcW w:w="1505" w:type="dxa"/>
            <w:noWrap/>
            <w:vAlign w:val="bottom"/>
            <w:hideMark/>
          </w:tcPr>
          <w:p w14:paraId="58AEAD90" w14:textId="77777777" w:rsidR="004438C7" w:rsidRPr="004B70B9" w:rsidRDefault="004438C7" w:rsidP="009A7157">
            <w:pPr>
              <w:spacing w:after="0" w:line="240" w:lineRule="auto"/>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Novel (reporter MNVs)</w:t>
            </w:r>
            <w:r>
              <w:rPr>
                <w:rFonts w:ascii="Calibri" w:eastAsia="Times New Roman" w:hAnsi="Calibri" w:cs="Calibri"/>
                <w:color w:val="000000"/>
                <w:kern w:val="0"/>
                <w:sz w:val="20"/>
                <w:szCs w:val="20"/>
                <w14:ligatures w14:val="none"/>
              </w:rPr>
              <w:t>*</w:t>
            </w:r>
          </w:p>
        </w:tc>
        <w:tc>
          <w:tcPr>
            <w:tcW w:w="1559" w:type="dxa"/>
            <w:noWrap/>
            <w:vAlign w:val="bottom"/>
            <w:hideMark/>
          </w:tcPr>
          <w:p w14:paraId="40455BD5" w14:textId="77777777" w:rsidR="004438C7" w:rsidRPr="004B70B9" w:rsidRDefault="004438C7" w:rsidP="009A7157">
            <w:pPr>
              <w:spacing w:after="0" w:line="240" w:lineRule="auto"/>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Novel (reporter SNVs)</w:t>
            </w:r>
            <w:r>
              <w:rPr>
                <w:rFonts w:ascii="Calibri" w:eastAsia="Times New Roman" w:hAnsi="Calibri" w:cs="Calibri"/>
                <w:color w:val="000000"/>
                <w:kern w:val="0"/>
                <w:sz w:val="20"/>
                <w:szCs w:val="20"/>
                <w14:ligatures w14:val="none"/>
              </w:rPr>
              <w:t>*</w:t>
            </w:r>
          </w:p>
        </w:tc>
        <w:tc>
          <w:tcPr>
            <w:tcW w:w="1701" w:type="dxa"/>
            <w:noWrap/>
            <w:vAlign w:val="bottom"/>
            <w:hideMark/>
          </w:tcPr>
          <w:p w14:paraId="3FE0D125" w14:textId="77777777" w:rsidR="004438C7" w:rsidRPr="004B70B9" w:rsidRDefault="004438C7" w:rsidP="009A7157">
            <w:pPr>
              <w:spacing w:after="0" w:line="240" w:lineRule="auto"/>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Novel (partially reporter SNVs)</w:t>
            </w:r>
            <w:r>
              <w:rPr>
                <w:rFonts w:ascii="Calibri" w:eastAsia="Times New Roman" w:hAnsi="Calibri" w:cs="Calibri"/>
                <w:color w:val="000000"/>
                <w:kern w:val="0"/>
                <w:sz w:val="20"/>
                <w:szCs w:val="20"/>
                <w14:ligatures w14:val="none"/>
              </w:rPr>
              <w:t>**</w:t>
            </w:r>
          </w:p>
        </w:tc>
        <w:tc>
          <w:tcPr>
            <w:tcW w:w="1559" w:type="dxa"/>
            <w:noWrap/>
            <w:vAlign w:val="bottom"/>
            <w:hideMark/>
          </w:tcPr>
          <w:p w14:paraId="2EC45F52" w14:textId="77777777" w:rsidR="004438C7" w:rsidRPr="004B70B9" w:rsidRDefault="004438C7" w:rsidP="009A7157">
            <w:pPr>
              <w:spacing w:after="0" w:line="240" w:lineRule="auto"/>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Novel (no reporter SNVs)</w:t>
            </w:r>
          </w:p>
        </w:tc>
      </w:tr>
      <w:tr w:rsidR="004438C7" w:rsidRPr="004B70B9" w14:paraId="5CECC14E" w14:textId="77777777" w:rsidTr="009A7157">
        <w:trPr>
          <w:trHeight w:val="357"/>
        </w:trPr>
        <w:tc>
          <w:tcPr>
            <w:tcW w:w="1413" w:type="dxa"/>
            <w:noWrap/>
            <w:vAlign w:val="bottom"/>
            <w:hideMark/>
          </w:tcPr>
          <w:p w14:paraId="3E4C4862" w14:textId="77777777" w:rsidR="004438C7" w:rsidRPr="004B70B9" w:rsidRDefault="004438C7" w:rsidP="009A7157">
            <w:pPr>
              <w:spacing w:after="0" w:line="240" w:lineRule="auto"/>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 xml:space="preserve">In-house SNVs </w:t>
            </w:r>
          </w:p>
        </w:tc>
        <w:tc>
          <w:tcPr>
            <w:tcW w:w="723" w:type="dxa"/>
            <w:noWrap/>
            <w:vAlign w:val="bottom"/>
            <w:hideMark/>
          </w:tcPr>
          <w:p w14:paraId="0F819A4B" w14:textId="77777777" w:rsidR="004438C7" w:rsidRPr="004B70B9" w:rsidRDefault="004438C7" w:rsidP="009A7157">
            <w:pPr>
              <w:spacing w:after="0" w:line="240" w:lineRule="auto"/>
              <w:jc w:val="right"/>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14467</w:t>
            </w:r>
          </w:p>
        </w:tc>
        <w:tc>
          <w:tcPr>
            <w:tcW w:w="992" w:type="dxa"/>
            <w:noWrap/>
            <w:vAlign w:val="bottom"/>
            <w:hideMark/>
          </w:tcPr>
          <w:p w14:paraId="7A08D5AE" w14:textId="77777777" w:rsidR="004438C7" w:rsidRPr="004B70B9" w:rsidRDefault="004438C7" w:rsidP="009A7157">
            <w:pPr>
              <w:spacing w:after="0" w:line="240" w:lineRule="auto"/>
              <w:jc w:val="right"/>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2359</w:t>
            </w:r>
          </w:p>
        </w:tc>
        <w:tc>
          <w:tcPr>
            <w:tcW w:w="749" w:type="dxa"/>
            <w:noWrap/>
            <w:vAlign w:val="bottom"/>
            <w:hideMark/>
          </w:tcPr>
          <w:p w14:paraId="3FFA7B62" w14:textId="77777777" w:rsidR="004438C7" w:rsidRPr="004B70B9" w:rsidRDefault="004438C7" w:rsidP="009A7157">
            <w:pPr>
              <w:spacing w:after="0" w:line="240" w:lineRule="auto"/>
              <w:jc w:val="right"/>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12108</w:t>
            </w:r>
          </w:p>
        </w:tc>
        <w:tc>
          <w:tcPr>
            <w:tcW w:w="1505" w:type="dxa"/>
            <w:noWrap/>
            <w:vAlign w:val="bottom"/>
            <w:hideMark/>
          </w:tcPr>
          <w:p w14:paraId="075C2C28" w14:textId="77777777" w:rsidR="004438C7" w:rsidRPr="004B70B9" w:rsidRDefault="004438C7" w:rsidP="009A7157">
            <w:pPr>
              <w:spacing w:after="0" w:line="240" w:lineRule="auto"/>
              <w:jc w:val="right"/>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4048</w:t>
            </w:r>
          </w:p>
        </w:tc>
        <w:tc>
          <w:tcPr>
            <w:tcW w:w="1559" w:type="dxa"/>
            <w:noWrap/>
            <w:vAlign w:val="bottom"/>
            <w:hideMark/>
          </w:tcPr>
          <w:p w14:paraId="7616ADEE" w14:textId="77777777" w:rsidR="004438C7" w:rsidRPr="004B70B9" w:rsidRDefault="004438C7" w:rsidP="009A7157">
            <w:pPr>
              <w:spacing w:after="0" w:line="240" w:lineRule="auto"/>
              <w:jc w:val="right"/>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3899</w:t>
            </w:r>
          </w:p>
        </w:tc>
        <w:tc>
          <w:tcPr>
            <w:tcW w:w="1701" w:type="dxa"/>
            <w:noWrap/>
            <w:vAlign w:val="bottom"/>
            <w:hideMark/>
          </w:tcPr>
          <w:p w14:paraId="5F1B7487" w14:textId="77777777" w:rsidR="004438C7" w:rsidRPr="004B70B9" w:rsidRDefault="004438C7" w:rsidP="009A7157">
            <w:pPr>
              <w:spacing w:after="0" w:line="240" w:lineRule="auto"/>
              <w:jc w:val="right"/>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2127</w:t>
            </w:r>
          </w:p>
        </w:tc>
        <w:tc>
          <w:tcPr>
            <w:tcW w:w="1559" w:type="dxa"/>
            <w:noWrap/>
            <w:vAlign w:val="bottom"/>
            <w:hideMark/>
          </w:tcPr>
          <w:p w14:paraId="3B523CA1" w14:textId="77777777" w:rsidR="004438C7" w:rsidRPr="004B70B9" w:rsidRDefault="004438C7" w:rsidP="009A7157">
            <w:pPr>
              <w:spacing w:after="0" w:line="240" w:lineRule="auto"/>
              <w:jc w:val="right"/>
              <w:rPr>
                <w:rFonts w:ascii="Calibri" w:eastAsia="Times New Roman" w:hAnsi="Calibri" w:cs="Calibri"/>
                <w:color w:val="000000"/>
                <w:kern w:val="0"/>
                <w:sz w:val="20"/>
                <w:szCs w:val="20"/>
                <w14:ligatures w14:val="none"/>
              </w:rPr>
            </w:pPr>
            <w:r w:rsidRPr="004B70B9">
              <w:rPr>
                <w:rFonts w:ascii="Calibri" w:eastAsia="Times New Roman" w:hAnsi="Calibri" w:cs="Calibri"/>
                <w:color w:val="000000"/>
                <w:kern w:val="0"/>
                <w:sz w:val="20"/>
                <w:szCs w:val="20"/>
                <w14:ligatures w14:val="none"/>
              </w:rPr>
              <w:t>6082</w:t>
            </w:r>
          </w:p>
        </w:tc>
      </w:tr>
    </w:tbl>
    <w:p w14:paraId="01C0BEDB" w14:textId="3249C995" w:rsidR="004438C7" w:rsidRPr="0041403C" w:rsidRDefault="004438C7" w:rsidP="004438C7">
      <w:pPr>
        <w:rPr>
          <w:sz w:val="21"/>
          <w:szCs w:val="21"/>
        </w:rPr>
      </w:pPr>
      <w:r w:rsidRPr="0041403C">
        <w:rPr>
          <w:sz w:val="21"/>
          <w:szCs w:val="21"/>
        </w:rPr>
        <w:t xml:space="preserve">* </w:t>
      </w:r>
      <w:r w:rsidR="005B0985">
        <w:rPr>
          <w:sz w:val="21"/>
          <w:szCs w:val="21"/>
        </w:rPr>
        <w:t>T</w:t>
      </w:r>
      <w:r w:rsidRPr="0041403C">
        <w:rPr>
          <w:sz w:val="21"/>
          <w:szCs w:val="21"/>
        </w:rPr>
        <w:t>he number of novel MNV calls (not on the reporter MNV list) that consisted entirely of either reporter MNVs or reporter SNVs</w:t>
      </w:r>
      <w:r w:rsidR="005B0985">
        <w:rPr>
          <w:sz w:val="21"/>
          <w:szCs w:val="21"/>
        </w:rPr>
        <w:t>.</w:t>
      </w:r>
    </w:p>
    <w:p w14:paraId="0F59500B" w14:textId="53C732F8" w:rsidR="004438C7" w:rsidRPr="00970484" w:rsidRDefault="004438C7" w:rsidP="00970484">
      <w:pPr>
        <w:rPr>
          <w:rStyle w:val="SuppFigTableChar"/>
          <w:b w:val="0"/>
          <w:bCs w:val="0"/>
          <w:sz w:val="21"/>
          <w:szCs w:val="21"/>
        </w:rPr>
      </w:pPr>
      <w:r w:rsidRPr="0041403C">
        <w:rPr>
          <w:sz w:val="21"/>
          <w:szCs w:val="21"/>
        </w:rPr>
        <w:t xml:space="preserve">** </w:t>
      </w:r>
      <w:r w:rsidR="005B0985">
        <w:rPr>
          <w:sz w:val="21"/>
          <w:szCs w:val="21"/>
        </w:rPr>
        <w:t>T</w:t>
      </w:r>
      <w:r w:rsidRPr="0041403C">
        <w:rPr>
          <w:sz w:val="21"/>
          <w:szCs w:val="21"/>
        </w:rPr>
        <w:t xml:space="preserve">he number </w:t>
      </w:r>
      <w:r w:rsidRPr="0041403C">
        <w:rPr>
          <w:sz w:val="21"/>
          <w:szCs w:val="21"/>
        </w:rPr>
        <w:t xml:space="preserve">of novel MNV calls (not on the reporter MNV list) that consisted of partially reporter SNVs and in-house SNVs. </w:t>
      </w:r>
    </w:p>
    <w:p w14:paraId="46EFA404" w14:textId="35E2C24D" w:rsidR="0019171F" w:rsidRPr="0019171F" w:rsidRDefault="0019171F" w:rsidP="0019171F">
      <w:pPr>
        <w:pStyle w:val="SuppFigTable"/>
      </w:pPr>
      <w:bookmarkStart w:id="27" w:name="_Toc241497592"/>
      <w:r>
        <w:rPr>
          <w:rStyle w:val="SuppFigTableChar"/>
          <w:b/>
          <w:bCs/>
        </w:rPr>
        <w:t>T</w:t>
      </w:r>
      <w:r w:rsidRPr="008D146F">
        <w:rPr>
          <w:rStyle w:val="SuppFigTableChar"/>
          <w:b/>
          <w:bCs/>
        </w:rPr>
        <w:t>able S</w:t>
      </w:r>
      <w:r w:rsidR="004438C7">
        <w:rPr>
          <w:rStyle w:val="SuppFigTableChar"/>
          <w:b/>
          <w:bCs/>
        </w:rPr>
        <w:t>5</w:t>
      </w:r>
      <w:r>
        <w:t>.  Description of analyses used for the public dilution series data</w:t>
      </w:r>
      <w:bookmarkEnd w:id="27"/>
    </w:p>
    <w:tbl>
      <w:tblPr>
        <w:tblW w:w="10343" w:type="dxa"/>
        <w:tblLook w:val="04A0" w:firstRow="1" w:lastRow="0" w:firstColumn="1" w:lastColumn="0" w:noHBand="0" w:noVBand="1"/>
      </w:tblPr>
      <w:tblGrid>
        <w:gridCol w:w="937"/>
        <w:gridCol w:w="987"/>
        <w:gridCol w:w="1543"/>
        <w:gridCol w:w="6876"/>
      </w:tblGrid>
      <w:tr w:rsidR="0019171F" w:rsidRPr="0019171F" w14:paraId="6F9895BA" w14:textId="77777777" w:rsidTr="0019171F">
        <w:trPr>
          <w:trHeight w:val="300"/>
        </w:trPr>
        <w:tc>
          <w:tcPr>
            <w:tcW w:w="937" w:type="dxa"/>
            <w:tcBorders>
              <w:top w:val="single" w:sz="4" w:space="0" w:color="auto"/>
              <w:left w:val="single" w:sz="4" w:space="0" w:color="auto"/>
              <w:bottom w:val="single" w:sz="4" w:space="0" w:color="auto"/>
              <w:right w:val="single" w:sz="4" w:space="0" w:color="auto"/>
            </w:tcBorders>
            <w:noWrap/>
            <w:vAlign w:val="bottom"/>
            <w:hideMark/>
          </w:tcPr>
          <w:p w14:paraId="7289CD99"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Analysis</w:t>
            </w:r>
          </w:p>
        </w:tc>
        <w:tc>
          <w:tcPr>
            <w:tcW w:w="987" w:type="dxa"/>
            <w:tcBorders>
              <w:top w:val="single" w:sz="4" w:space="0" w:color="auto"/>
              <w:left w:val="nil"/>
              <w:bottom w:val="single" w:sz="4" w:space="0" w:color="auto"/>
              <w:right w:val="single" w:sz="4" w:space="0" w:color="auto"/>
            </w:tcBorders>
            <w:noWrap/>
            <w:vAlign w:val="bottom"/>
            <w:hideMark/>
          </w:tcPr>
          <w:p w14:paraId="2BA166DC"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Tool</w:t>
            </w:r>
          </w:p>
        </w:tc>
        <w:tc>
          <w:tcPr>
            <w:tcW w:w="1543" w:type="dxa"/>
            <w:tcBorders>
              <w:top w:val="single" w:sz="4" w:space="0" w:color="auto"/>
              <w:left w:val="nil"/>
              <w:bottom w:val="single" w:sz="4" w:space="0" w:color="auto"/>
              <w:right w:val="single" w:sz="4" w:space="0" w:color="auto"/>
            </w:tcBorders>
            <w:noWrap/>
            <w:vAlign w:val="bottom"/>
            <w:hideMark/>
          </w:tcPr>
          <w:p w14:paraId="69F3DE8F"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Input</w:t>
            </w:r>
          </w:p>
        </w:tc>
        <w:tc>
          <w:tcPr>
            <w:tcW w:w="6876" w:type="dxa"/>
            <w:tcBorders>
              <w:top w:val="single" w:sz="4" w:space="0" w:color="auto"/>
              <w:left w:val="nil"/>
              <w:bottom w:val="single" w:sz="4" w:space="0" w:color="auto"/>
              <w:right w:val="single" w:sz="4" w:space="0" w:color="auto"/>
            </w:tcBorders>
            <w:noWrap/>
            <w:vAlign w:val="bottom"/>
            <w:hideMark/>
          </w:tcPr>
          <w:p w14:paraId="4BAE0F95"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Description</w:t>
            </w:r>
          </w:p>
        </w:tc>
      </w:tr>
      <w:tr w:rsidR="0019171F" w:rsidRPr="0019171F" w14:paraId="3889A660" w14:textId="77777777" w:rsidTr="0019171F">
        <w:trPr>
          <w:trHeight w:val="300"/>
        </w:trPr>
        <w:tc>
          <w:tcPr>
            <w:tcW w:w="937" w:type="dxa"/>
            <w:tcBorders>
              <w:top w:val="nil"/>
              <w:left w:val="single" w:sz="4" w:space="0" w:color="auto"/>
              <w:bottom w:val="single" w:sz="4" w:space="0" w:color="auto"/>
              <w:right w:val="single" w:sz="4" w:space="0" w:color="auto"/>
            </w:tcBorders>
            <w:noWrap/>
            <w:vAlign w:val="bottom"/>
            <w:hideMark/>
          </w:tcPr>
          <w:p w14:paraId="4BB4EF2A"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A</w:t>
            </w:r>
          </w:p>
        </w:tc>
        <w:tc>
          <w:tcPr>
            <w:tcW w:w="987" w:type="dxa"/>
            <w:tcBorders>
              <w:top w:val="nil"/>
              <w:left w:val="nil"/>
              <w:bottom w:val="single" w:sz="4" w:space="0" w:color="auto"/>
              <w:right w:val="single" w:sz="4" w:space="0" w:color="auto"/>
            </w:tcBorders>
            <w:noWrap/>
            <w:vAlign w:val="bottom"/>
            <w:hideMark/>
          </w:tcPr>
          <w:p w14:paraId="7747FBFD" w14:textId="236B18DD" w:rsidR="0019171F" w:rsidRPr="0019171F" w:rsidRDefault="005B0985" w:rsidP="0019171F">
            <w:pPr>
              <w:spacing w:after="0" w:line="240" w:lineRule="auto"/>
              <w:rPr>
                <w:rFonts w:ascii="Calibri" w:eastAsia="Times New Roman" w:hAnsi="Calibri" w:cs="Calibri"/>
                <w:color w:val="000000"/>
                <w:kern w:val="0"/>
                <w:sz w:val="22"/>
                <w:szCs w:val="22"/>
                <w14:ligatures w14:val="none"/>
              </w:rPr>
            </w:pPr>
            <w:proofErr w:type="spellStart"/>
            <w:r>
              <w:rPr>
                <w:rFonts w:ascii="Calibri" w:eastAsia="Times New Roman" w:hAnsi="Calibri" w:cs="Calibri"/>
                <w:color w:val="000000"/>
                <w:kern w:val="0"/>
                <w:sz w:val="22"/>
                <w:szCs w:val="22"/>
                <w14:ligatures w14:val="none"/>
              </w:rPr>
              <w:t>P</w:t>
            </w:r>
            <w:r w:rsidR="00720E47">
              <w:rPr>
                <w:rFonts w:ascii="Calibri" w:eastAsia="Times New Roman" w:hAnsi="Calibri" w:cs="Calibri"/>
                <w:color w:val="000000"/>
                <w:kern w:val="0"/>
                <w:sz w:val="22"/>
                <w:szCs w:val="22"/>
                <w14:ligatures w14:val="none"/>
              </w:rPr>
              <w:t>ysam</w:t>
            </w:r>
            <w:proofErr w:type="spellEnd"/>
          </w:p>
        </w:tc>
        <w:tc>
          <w:tcPr>
            <w:tcW w:w="1543" w:type="dxa"/>
            <w:tcBorders>
              <w:top w:val="nil"/>
              <w:left w:val="nil"/>
              <w:bottom w:val="single" w:sz="4" w:space="0" w:color="auto"/>
              <w:right w:val="single" w:sz="4" w:space="0" w:color="auto"/>
            </w:tcBorders>
            <w:noWrap/>
            <w:vAlign w:val="bottom"/>
            <w:hideMark/>
          </w:tcPr>
          <w:p w14:paraId="1F9B2208"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 xml:space="preserve">Reporter SNVs </w:t>
            </w:r>
          </w:p>
        </w:tc>
        <w:tc>
          <w:tcPr>
            <w:tcW w:w="6876" w:type="dxa"/>
            <w:tcBorders>
              <w:top w:val="nil"/>
              <w:left w:val="nil"/>
              <w:bottom w:val="single" w:sz="4" w:space="0" w:color="auto"/>
              <w:right w:val="single" w:sz="4" w:space="0" w:color="auto"/>
            </w:tcBorders>
            <w:noWrap/>
            <w:vAlign w:val="bottom"/>
            <w:hideMark/>
          </w:tcPr>
          <w:p w14:paraId="1D754FF8" w14:textId="6E848BBC"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Quantify per-patient SNVs present in dilution series samples</w:t>
            </w:r>
            <w:r w:rsidR="00720E47">
              <w:rPr>
                <w:rFonts w:ascii="Calibri" w:eastAsia="Times New Roman" w:hAnsi="Calibri" w:cs="Calibri"/>
                <w:color w:val="000000"/>
                <w:kern w:val="0"/>
                <w:sz w:val="22"/>
                <w:szCs w:val="22"/>
                <w14:ligatures w14:val="none"/>
              </w:rPr>
              <w:t xml:space="preserve"> and calculate Variant allele frequencies (VAFs)of these SNVs</w:t>
            </w:r>
            <w:r w:rsidR="005B0985">
              <w:rPr>
                <w:rFonts w:ascii="Calibri" w:eastAsia="Times New Roman" w:hAnsi="Calibri" w:cs="Calibri"/>
                <w:color w:val="000000"/>
                <w:kern w:val="0"/>
                <w:sz w:val="22"/>
                <w:szCs w:val="22"/>
                <w14:ligatures w14:val="none"/>
              </w:rPr>
              <w:t>.</w:t>
            </w:r>
          </w:p>
        </w:tc>
      </w:tr>
      <w:tr w:rsidR="0019171F" w:rsidRPr="0019171F" w14:paraId="5C5C11F1" w14:textId="77777777" w:rsidTr="0019171F">
        <w:trPr>
          <w:trHeight w:val="300"/>
        </w:trPr>
        <w:tc>
          <w:tcPr>
            <w:tcW w:w="937" w:type="dxa"/>
            <w:tcBorders>
              <w:top w:val="nil"/>
              <w:left w:val="single" w:sz="4" w:space="0" w:color="auto"/>
              <w:bottom w:val="single" w:sz="4" w:space="0" w:color="auto"/>
              <w:right w:val="single" w:sz="4" w:space="0" w:color="auto"/>
            </w:tcBorders>
            <w:noWrap/>
            <w:vAlign w:val="bottom"/>
            <w:hideMark/>
          </w:tcPr>
          <w:p w14:paraId="13C07D15"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B</w:t>
            </w:r>
          </w:p>
        </w:tc>
        <w:tc>
          <w:tcPr>
            <w:tcW w:w="987" w:type="dxa"/>
            <w:tcBorders>
              <w:top w:val="nil"/>
              <w:left w:val="nil"/>
              <w:bottom w:val="single" w:sz="4" w:space="0" w:color="auto"/>
              <w:right w:val="single" w:sz="4" w:space="0" w:color="auto"/>
            </w:tcBorders>
            <w:noWrap/>
            <w:vAlign w:val="bottom"/>
            <w:hideMark/>
          </w:tcPr>
          <w:p w14:paraId="5A8B37B0"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MNVista</w:t>
            </w:r>
          </w:p>
        </w:tc>
        <w:tc>
          <w:tcPr>
            <w:tcW w:w="1543" w:type="dxa"/>
            <w:tcBorders>
              <w:top w:val="nil"/>
              <w:left w:val="nil"/>
              <w:bottom w:val="single" w:sz="4" w:space="0" w:color="auto"/>
              <w:right w:val="single" w:sz="4" w:space="0" w:color="auto"/>
            </w:tcBorders>
            <w:noWrap/>
            <w:vAlign w:val="bottom"/>
            <w:hideMark/>
          </w:tcPr>
          <w:p w14:paraId="29E44975"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Reporter SNVs</w:t>
            </w:r>
          </w:p>
        </w:tc>
        <w:tc>
          <w:tcPr>
            <w:tcW w:w="6876" w:type="dxa"/>
            <w:tcBorders>
              <w:top w:val="nil"/>
              <w:left w:val="nil"/>
              <w:bottom w:val="single" w:sz="4" w:space="0" w:color="auto"/>
              <w:right w:val="single" w:sz="4" w:space="0" w:color="auto"/>
            </w:tcBorders>
            <w:noWrap/>
            <w:vAlign w:val="bottom"/>
            <w:hideMark/>
          </w:tcPr>
          <w:p w14:paraId="35E2E446" w14:textId="1238287A"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 xml:space="preserve">Evaluate MNV positivity on the dilution series by detecting MNVs using only the SNVs present in the reporter lists. Any MNV (novel or overlapping with reporter MNVs) was </w:t>
            </w:r>
            <w:r w:rsidR="00720E47">
              <w:rPr>
                <w:rFonts w:ascii="Calibri" w:eastAsia="Times New Roman" w:hAnsi="Calibri" w:cs="Calibri"/>
                <w:color w:val="000000"/>
                <w:kern w:val="0"/>
                <w:sz w:val="22"/>
                <w:szCs w:val="22"/>
                <w14:ligatures w14:val="none"/>
              </w:rPr>
              <w:t xml:space="preserve">also </w:t>
            </w:r>
            <w:r w:rsidRPr="0019171F">
              <w:rPr>
                <w:rFonts w:ascii="Calibri" w:eastAsia="Times New Roman" w:hAnsi="Calibri" w:cs="Calibri"/>
                <w:color w:val="000000"/>
                <w:kern w:val="0"/>
                <w:sz w:val="22"/>
                <w:szCs w:val="22"/>
                <w14:ligatures w14:val="none"/>
              </w:rPr>
              <w:t>considered as positive</w:t>
            </w:r>
            <w:r w:rsidR="00720E47">
              <w:rPr>
                <w:rFonts w:ascii="Calibri" w:eastAsia="Times New Roman" w:hAnsi="Calibri" w:cs="Calibri"/>
                <w:color w:val="000000"/>
                <w:kern w:val="0"/>
                <w:sz w:val="22"/>
                <w:szCs w:val="22"/>
                <w14:ligatures w14:val="none"/>
              </w:rPr>
              <w:t>, as the comprising SNVs were patient-specific</w:t>
            </w:r>
            <w:r w:rsidRPr="0019171F">
              <w:rPr>
                <w:rFonts w:ascii="Calibri" w:eastAsia="Times New Roman" w:hAnsi="Calibri" w:cs="Calibri"/>
                <w:color w:val="000000"/>
                <w:kern w:val="0"/>
                <w:sz w:val="22"/>
                <w:szCs w:val="22"/>
                <w14:ligatures w14:val="none"/>
              </w:rPr>
              <w:t>.</w:t>
            </w:r>
          </w:p>
        </w:tc>
      </w:tr>
      <w:tr w:rsidR="0019171F" w:rsidRPr="0019171F" w14:paraId="655E193F" w14:textId="77777777" w:rsidTr="0019171F">
        <w:trPr>
          <w:trHeight w:val="300"/>
        </w:trPr>
        <w:tc>
          <w:tcPr>
            <w:tcW w:w="937" w:type="dxa"/>
            <w:tcBorders>
              <w:top w:val="nil"/>
              <w:left w:val="single" w:sz="4" w:space="0" w:color="auto"/>
              <w:bottom w:val="single" w:sz="4" w:space="0" w:color="auto"/>
              <w:right w:val="single" w:sz="4" w:space="0" w:color="auto"/>
            </w:tcBorders>
            <w:noWrap/>
            <w:vAlign w:val="bottom"/>
            <w:hideMark/>
          </w:tcPr>
          <w:p w14:paraId="53293373"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C</w:t>
            </w:r>
          </w:p>
        </w:tc>
        <w:tc>
          <w:tcPr>
            <w:tcW w:w="987" w:type="dxa"/>
            <w:tcBorders>
              <w:top w:val="nil"/>
              <w:left w:val="nil"/>
              <w:bottom w:val="single" w:sz="4" w:space="0" w:color="auto"/>
              <w:right w:val="single" w:sz="4" w:space="0" w:color="auto"/>
            </w:tcBorders>
            <w:noWrap/>
            <w:vAlign w:val="bottom"/>
            <w:hideMark/>
          </w:tcPr>
          <w:p w14:paraId="6EA7A801"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MNVista</w:t>
            </w:r>
          </w:p>
        </w:tc>
        <w:tc>
          <w:tcPr>
            <w:tcW w:w="1543" w:type="dxa"/>
            <w:tcBorders>
              <w:top w:val="nil"/>
              <w:left w:val="nil"/>
              <w:bottom w:val="single" w:sz="4" w:space="0" w:color="auto"/>
              <w:right w:val="single" w:sz="4" w:space="0" w:color="auto"/>
            </w:tcBorders>
            <w:noWrap/>
            <w:vAlign w:val="bottom"/>
            <w:hideMark/>
          </w:tcPr>
          <w:p w14:paraId="30E5176A" w14:textId="13FED65B"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In-house SNVs</w:t>
            </w:r>
            <w:r w:rsidR="00720E47">
              <w:rPr>
                <w:rFonts w:ascii="Calibri" w:eastAsia="Times New Roman" w:hAnsi="Calibri" w:cs="Calibri"/>
                <w:color w:val="000000"/>
                <w:kern w:val="0"/>
                <w:sz w:val="22"/>
                <w:szCs w:val="22"/>
                <w14:ligatures w14:val="none"/>
              </w:rPr>
              <w:t xml:space="preserve"> (De novo)</w:t>
            </w:r>
          </w:p>
        </w:tc>
        <w:tc>
          <w:tcPr>
            <w:tcW w:w="6876" w:type="dxa"/>
            <w:tcBorders>
              <w:top w:val="nil"/>
              <w:left w:val="nil"/>
              <w:bottom w:val="single" w:sz="4" w:space="0" w:color="auto"/>
              <w:right w:val="single" w:sz="4" w:space="0" w:color="auto"/>
            </w:tcBorders>
            <w:noWrap/>
            <w:vAlign w:val="bottom"/>
            <w:hideMark/>
          </w:tcPr>
          <w:p w14:paraId="5FC00A75" w14:textId="1CEAA46B"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Evaluate</w:t>
            </w:r>
            <w:r w:rsidR="00735541">
              <w:rPr>
                <w:rFonts w:ascii="Calibri" w:eastAsia="Times New Roman" w:hAnsi="Calibri" w:cs="Calibri"/>
                <w:color w:val="000000"/>
                <w:kern w:val="0"/>
                <w:sz w:val="22"/>
                <w:szCs w:val="22"/>
                <w14:ligatures w14:val="none"/>
              </w:rPr>
              <w:t xml:space="preserve"> </w:t>
            </w:r>
            <w:r w:rsidRPr="0019171F">
              <w:rPr>
                <w:rFonts w:ascii="Calibri" w:eastAsia="Times New Roman" w:hAnsi="Calibri" w:cs="Calibri"/>
                <w:color w:val="000000"/>
                <w:kern w:val="0"/>
                <w:sz w:val="22"/>
                <w:szCs w:val="22"/>
                <w14:ligatures w14:val="none"/>
              </w:rPr>
              <w:t>MNV positivity on the dilution series using in-house SNVs. MNV positivity was called only if a resulting MNV overlapped with the MNVs generated from Analysis B.</w:t>
            </w:r>
            <w:r w:rsidR="00720E47">
              <w:rPr>
                <w:rFonts w:ascii="Calibri" w:eastAsia="Times New Roman" w:hAnsi="Calibri" w:cs="Calibri"/>
                <w:color w:val="000000"/>
                <w:kern w:val="0"/>
                <w:sz w:val="22"/>
                <w:szCs w:val="22"/>
                <w14:ligatures w14:val="none"/>
              </w:rPr>
              <w:t xml:space="preserve"> </w:t>
            </w:r>
          </w:p>
        </w:tc>
      </w:tr>
      <w:tr w:rsidR="0019171F" w:rsidRPr="0019171F" w14:paraId="73DC653D" w14:textId="77777777" w:rsidTr="0019171F">
        <w:trPr>
          <w:trHeight w:val="300"/>
        </w:trPr>
        <w:tc>
          <w:tcPr>
            <w:tcW w:w="937" w:type="dxa"/>
            <w:tcBorders>
              <w:top w:val="nil"/>
              <w:left w:val="single" w:sz="4" w:space="0" w:color="auto"/>
              <w:bottom w:val="single" w:sz="4" w:space="0" w:color="auto"/>
              <w:right w:val="single" w:sz="4" w:space="0" w:color="auto"/>
            </w:tcBorders>
            <w:noWrap/>
            <w:vAlign w:val="bottom"/>
            <w:hideMark/>
          </w:tcPr>
          <w:p w14:paraId="65FB718F"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D</w:t>
            </w:r>
          </w:p>
        </w:tc>
        <w:tc>
          <w:tcPr>
            <w:tcW w:w="987" w:type="dxa"/>
            <w:tcBorders>
              <w:top w:val="nil"/>
              <w:left w:val="nil"/>
              <w:bottom w:val="single" w:sz="4" w:space="0" w:color="auto"/>
              <w:right w:val="single" w:sz="4" w:space="0" w:color="auto"/>
            </w:tcBorders>
            <w:noWrap/>
            <w:vAlign w:val="bottom"/>
            <w:hideMark/>
          </w:tcPr>
          <w:p w14:paraId="7A405576"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MNVista</w:t>
            </w:r>
          </w:p>
        </w:tc>
        <w:tc>
          <w:tcPr>
            <w:tcW w:w="1543" w:type="dxa"/>
            <w:tcBorders>
              <w:top w:val="nil"/>
              <w:left w:val="nil"/>
              <w:bottom w:val="single" w:sz="4" w:space="0" w:color="auto"/>
              <w:right w:val="single" w:sz="4" w:space="0" w:color="auto"/>
            </w:tcBorders>
            <w:noWrap/>
            <w:vAlign w:val="bottom"/>
            <w:hideMark/>
          </w:tcPr>
          <w:p w14:paraId="111B79E5" w14:textId="55BC913B"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In-house SNVs</w:t>
            </w:r>
            <w:r w:rsidR="00720E47">
              <w:rPr>
                <w:rFonts w:ascii="Calibri" w:eastAsia="Times New Roman" w:hAnsi="Calibri" w:cs="Calibri"/>
                <w:color w:val="000000"/>
                <w:kern w:val="0"/>
                <w:sz w:val="22"/>
                <w:szCs w:val="22"/>
                <w14:ligatures w14:val="none"/>
              </w:rPr>
              <w:t xml:space="preserve"> (De novo)</w:t>
            </w:r>
          </w:p>
        </w:tc>
        <w:tc>
          <w:tcPr>
            <w:tcW w:w="6876" w:type="dxa"/>
            <w:tcBorders>
              <w:top w:val="nil"/>
              <w:left w:val="nil"/>
              <w:bottom w:val="single" w:sz="4" w:space="0" w:color="auto"/>
              <w:right w:val="single" w:sz="4" w:space="0" w:color="auto"/>
            </w:tcBorders>
            <w:noWrap/>
            <w:vAlign w:val="bottom"/>
            <w:hideMark/>
          </w:tcPr>
          <w:p w14:paraId="661FFA90" w14:textId="01A213CE"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 xml:space="preserve">Same input strategy as Analysis C. MNV positivity was called only if a resulting MNV overlapped with the </w:t>
            </w:r>
            <w:proofErr w:type="spellStart"/>
            <w:r w:rsidRPr="0019171F">
              <w:rPr>
                <w:rFonts w:ascii="Calibri" w:eastAsia="Times New Roman" w:hAnsi="Calibri" w:cs="Calibri"/>
                <w:color w:val="000000"/>
                <w:kern w:val="0"/>
                <w:sz w:val="22"/>
                <w:szCs w:val="22"/>
                <w14:ligatures w14:val="none"/>
              </w:rPr>
              <w:t>PhasED</w:t>
            </w:r>
            <w:proofErr w:type="spellEnd"/>
            <w:r w:rsidRPr="0019171F">
              <w:rPr>
                <w:rFonts w:ascii="Calibri" w:eastAsia="Times New Roman" w:hAnsi="Calibri" w:cs="Calibri"/>
                <w:color w:val="000000"/>
                <w:kern w:val="0"/>
                <w:sz w:val="22"/>
                <w:szCs w:val="22"/>
                <w14:ligatures w14:val="none"/>
              </w:rPr>
              <w:t>-Seq reporter MNVs</w:t>
            </w:r>
            <w:r w:rsidR="005B0985">
              <w:rPr>
                <w:rFonts w:ascii="Calibri" w:eastAsia="Times New Roman" w:hAnsi="Calibri" w:cs="Calibri"/>
                <w:color w:val="000000"/>
                <w:kern w:val="0"/>
                <w:sz w:val="22"/>
                <w:szCs w:val="22"/>
                <w14:ligatures w14:val="none"/>
              </w:rPr>
              <w:t>.</w:t>
            </w:r>
          </w:p>
        </w:tc>
      </w:tr>
      <w:tr w:rsidR="0019171F" w:rsidRPr="0019171F" w14:paraId="61E9AC00" w14:textId="77777777" w:rsidTr="0019171F">
        <w:trPr>
          <w:trHeight w:val="300"/>
        </w:trPr>
        <w:tc>
          <w:tcPr>
            <w:tcW w:w="937" w:type="dxa"/>
            <w:tcBorders>
              <w:top w:val="nil"/>
              <w:left w:val="single" w:sz="4" w:space="0" w:color="auto"/>
              <w:bottom w:val="single" w:sz="4" w:space="0" w:color="auto"/>
              <w:right w:val="single" w:sz="4" w:space="0" w:color="auto"/>
            </w:tcBorders>
            <w:noWrap/>
            <w:vAlign w:val="bottom"/>
            <w:hideMark/>
          </w:tcPr>
          <w:p w14:paraId="6924C9D2"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E</w:t>
            </w:r>
          </w:p>
        </w:tc>
        <w:tc>
          <w:tcPr>
            <w:tcW w:w="987" w:type="dxa"/>
            <w:tcBorders>
              <w:top w:val="nil"/>
              <w:left w:val="nil"/>
              <w:bottom w:val="single" w:sz="4" w:space="0" w:color="auto"/>
              <w:right w:val="single" w:sz="4" w:space="0" w:color="auto"/>
            </w:tcBorders>
            <w:noWrap/>
            <w:vAlign w:val="bottom"/>
            <w:hideMark/>
          </w:tcPr>
          <w:p w14:paraId="435F7673"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Mutect2</w:t>
            </w:r>
          </w:p>
        </w:tc>
        <w:tc>
          <w:tcPr>
            <w:tcW w:w="1543" w:type="dxa"/>
            <w:tcBorders>
              <w:top w:val="nil"/>
              <w:left w:val="nil"/>
              <w:bottom w:val="single" w:sz="4" w:space="0" w:color="auto"/>
              <w:right w:val="single" w:sz="4" w:space="0" w:color="auto"/>
            </w:tcBorders>
            <w:noWrap/>
            <w:vAlign w:val="bottom"/>
            <w:hideMark/>
          </w:tcPr>
          <w:p w14:paraId="404FE89A"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De novo</w:t>
            </w:r>
          </w:p>
        </w:tc>
        <w:tc>
          <w:tcPr>
            <w:tcW w:w="6876" w:type="dxa"/>
            <w:tcBorders>
              <w:top w:val="nil"/>
              <w:left w:val="nil"/>
              <w:bottom w:val="single" w:sz="4" w:space="0" w:color="auto"/>
              <w:right w:val="single" w:sz="4" w:space="0" w:color="auto"/>
            </w:tcBorders>
            <w:noWrap/>
            <w:vAlign w:val="bottom"/>
            <w:hideMark/>
          </w:tcPr>
          <w:p w14:paraId="549B3915" w14:textId="0A37B13C"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 xml:space="preserve">Evaluate </w:t>
            </w:r>
            <w:r w:rsidR="00735541">
              <w:rPr>
                <w:rFonts w:ascii="Calibri" w:eastAsia="Times New Roman" w:hAnsi="Calibri" w:cs="Calibri"/>
                <w:color w:val="000000"/>
                <w:kern w:val="0"/>
                <w:sz w:val="22"/>
                <w:szCs w:val="22"/>
                <w14:ligatures w14:val="none"/>
              </w:rPr>
              <w:t xml:space="preserve">MNV </w:t>
            </w:r>
            <w:r w:rsidRPr="0019171F">
              <w:rPr>
                <w:rFonts w:ascii="Calibri" w:eastAsia="Times New Roman" w:hAnsi="Calibri" w:cs="Calibri"/>
                <w:color w:val="000000"/>
                <w:kern w:val="0"/>
                <w:sz w:val="22"/>
                <w:szCs w:val="22"/>
                <w14:ligatures w14:val="none"/>
              </w:rPr>
              <w:t>positivity on the dilution series by de novo calling of MNVs. MNV positivity was called only if a resulting MNV overlapped with the MNVs generated from Analysis B.</w:t>
            </w:r>
          </w:p>
        </w:tc>
      </w:tr>
      <w:tr w:rsidR="0019171F" w:rsidRPr="0019171F" w14:paraId="4FAC9FAC" w14:textId="77777777" w:rsidTr="0019171F">
        <w:trPr>
          <w:trHeight w:val="300"/>
        </w:trPr>
        <w:tc>
          <w:tcPr>
            <w:tcW w:w="937" w:type="dxa"/>
            <w:tcBorders>
              <w:top w:val="nil"/>
              <w:left w:val="single" w:sz="4" w:space="0" w:color="auto"/>
              <w:bottom w:val="single" w:sz="4" w:space="0" w:color="auto"/>
              <w:right w:val="single" w:sz="4" w:space="0" w:color="auto"/>
            </w:tcBorders>
            <w:noWrap/>
            <w:vAlign w:val="bottom"/>
            <w:hideMark/>
          </w:tcPr>
          <w:p w14:paraId="5C785FE1"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F</w:t>
            </w:r>
          </w:p>
        </w:tc>
        <w:tc>
          <w:tcPr>
            <w:tcW w:w="987" w:type="dxa"/>
            <w:tcBorders>
              <w:top w:val="nil"/>
              <w:left w:val="nil"/>
              <w:bottom w:val="single" w:sz="4" w:space="0" w:color="auto"/>
              <w:right w:val="single" w:sz="4" w:space="0" w:color="auto"/>
            </w:tcBorders>
            <w:noWrap/>
            <w:vAlign w:val="bottom"/>
            <w:hideMark/>
          </w:tcPr>
          <w:p w14:paraId="11031973"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Mutect2</w:t>
            </w:r>
          </w:p>
        </w:tc>
        <w:tc>
          <w:tcPr>
            <w:tcW w:w="1543" w:type="dxa"/>
            <w:tcBorders>
              <w:top w:val="nil"/>
              <w:left w:val="nil"/>
              <w:bottom w:val="single" w:sz="4" w:space="0" w:color="auto"/>
              <w:right w:val="single" w:sz="4" w:space="0" w:color="auto"/>
            </w:tcBorders>
            <w:noWrap/>
            <w:vAlign w:val="bottom"/>
            <w:hideMark/>
          </w:tcPr>
          <w:p w14:paraId="3EF41B08"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De novo</w:t>
            </w:r>
          </w:p>
        </w:tc>
        <w:tc>
          <w:tcPr>
            <w:tcW w:w="6876" w:type="dxa"/>
            <w:tcBorders>
              <w:top w:val="nil"/>
              <w:left w:val="nil"/>
              <w:bottom w:val="single" w:sz="4" w:space="0" w:color="auto"/>
              <w:right w:val="single" w:sz="4" w:space="0" w:color="auto"/>
            </w:tcBorders>
            <w:noWrap/>
            <w:vAlign w:val="bottom"/>
            <w:hideMark/>
          </w:tcPr>
          <w:p w14:paraId="35BDDBF9" w14:textId="77777777" w:rsidR="0019171F" w:rsidRPr="0019171F" w:rsidRDefault="0019171F" w:rsidP="0019171F">
            <w:pPr>
              <w:spacing w:after="0" w:line="240" w:lineRule="auto"/>
              <w:rPr>
                <w:rFonts w:ascii="Calibri" w:eastAsia="Times New Roman" w:hAnsi="Calibri" w:cs="Calibri"/>
                <w:color w:val="000000"/>
                <w:kern w:val="0"/>
                <w:sz w:val="22"/>
                <w:szCs w:val="22"/>
                <w14:ligatures w14:val="none"/>
              </w:rPr>
            </w:pPr>
            <w:r w:rsidRPr="0019171F">
              <w:rPr>
                <w:rFonts w:ascii="Calibri" w:eastAsia="Times New Roman" w:hAnsi="Calibri" w:cs="Calibri"/>
                <w:color w:val="000000"/>
                <w:kern w:val="0"/>
                <w:sz w:val="22"/>
                <w:szCs w:val="22"/>
                <w14:ligatures w14:val="none"/>
              </w:rPr>
              <w:t xml:space="preserve">Same input strategy as Analysis E. MNV positivity was called only if a resulting MNV overlapped with the </w:t>
            </w:r>
            <w:proofErr w:type="spellStart"/>
            <w:r w:rsidRPr="0019171F">
              <w:rPr>
                <w:rFonts w:ascii="Calibri" w:eastAsia="Times New Roman" w:hAnsi="Calibri" w:cs="Calibri"/>
                <w:color w:val="000000"/>
                <w:kern w:val="0"/>
                <w:sz w:val="22"/>
                <w:szCs w:val="22"/>
                <w14:ligatures w14:val="none"/>
              </w:rPr>
              <w:t>PhasED</w:t>
            </w:r>
            <w:proofErr w:type="spellEnd"/>
            <w:r w:rsidRPr="0019171F">
              <w:rPr>
                <w:rFonts w:ascii="Calibri" w:eastAsia="Times New Roman" w:hAnsi="Calibri" w:cs="Calibri"/>
                <w:color w:val="000000"/>
                <w:kern w:val="0"/>
                <w:sz w:val="22"/>
                <w:szCs w:val="22"/>
                <w14:ligatures w14:val="none"/>
              </w:rPr>
              <w:t>-Seq reporter MNVs.</w:t>
            </w:r>
          </w:p>
        </w:tc>
      </w:tr>
    </w:tbl>
    <w:p w14:paraId="64E0654E" w14:textId="77777777" w:rsidR="0019171F" w:rsidRDefault="0019171F" w:rsidP="002C1314">
      <w:pPr>
        <w:spacing w:after="0" w:line="240" w:lineRule="auto"/>
        <w:rPr>
          <w:rFonts w:ascii="Aptos Narrow" w:eastAsia="Times New Roman" w:hAnsi="Aptos Narrow" w:cs="Times New Roman"/>
          <w:color w:val="000000"/>
          <w:kern w:val="0"/>
          <w:sz w:val="20"/>
          <w:szCs w:val="20"/>
          <w:lang w:eastAsia="nl-NL"/>
          <w14:ligatures w14:val="none"/>
        </w:rPr>
      </w:pPr>
    </w:p>
    <w:p w14:paraId="1A921E6C" w14:textId="77777777" w:rsidR="0019171F" w:rsidRDefault="0019171F" w:rsidP="002C1314">
      <w:pPr>
        <w:spacing w:after="0" w:line="240" w:lineRule="auto"/>
        <w:rPr>
          <w:rFonts w:ascii="Aptos Narrow" w:eastAsia="Times New Roman" w:hAnsi="Aptos Narrow" w:cs="Times New Roman"/>
          <w:color w:val="000000"/>
          <w:kern w:val="0"/>
          <w:sz w:val="20"/>
          <w:szCs w:val="20"/>
          <w:lang w:eastAsia="nl-NL"/>
          <w14:ligatures w14:val="none"/>
        </w:rPr>
      </w:pPr>
    </w:p>
    <w:p w14:paraId="28D13AD0" w14:textId="5D2BC60E" w:rsidR="00DF3FDD" w:rsidRPr="00DE77C3" w:rsidRDefault="00DF3FDD" w:rsidP="00DE77C3">
      <w:pPr>
        <w:rPr>
          <w:rStyle w:val="SuppFigTableChar"/>
          <w:b w:val="0"/>
          <w:bCs w:val="0"/>
          <w:sz w:val="20"/>
          <w:szCs w:val="20"/>
        </w:rPr>
      </w:pPr>
    </w:p>
    <w:p w14:paraId="44332FD7" w14:textId="1BCB16B0" w:rsidR="005E3988" w:rsidRPr="00C11129" w:rsidRDefault="005E3988" w:rsidP="005E3988">
      <w:pPr>
        <w:pStyle w:val="SuppFigTable"/>
      </w:pPr>
      <w:bookmarkStart w:id="28" w:name="_Toc241497593"/>
      <w:r w:rsidRPr="008D146F">
        <w:rPr>
          <w:rStyle w:val="SuppFigTableChar"/>
          <w:b/>
          <w:bCs/>
        </w:rPr>
        <w:t>Table S</w:t>
      </w:r>
      <w:r w:rsidR="0019171F">
        <w:rPr>
          <w:rStyle w:val="SuppFigTableChar"/>
          <w:b/>
          <w:bCs/>
        </w:rPr>
        <w:t>6</w:t>
      </w:r>
      <w:r>
        <w:t xml:space="preserve">. </w:t>
      </w:r>
      <w:r>
        <w:t xml:space="preserve">Overview of </w:t>
      </w:r>
      <w:r w:rsidR="00AD0D01">
        <w:t xml:space="preserve">the number of SNVs </w:t>
      </w:r>
      <w:r>
        <w:t>spike</w:t>
      </w:r>
      <w:r w:rsidR="00AD0D01">
        <w:t>d</w:t>
      </w:r>
      <w:r>
        <w:t xml:space="preserve">-in </w:t>
      </w:r>
      <w:r w:rsidR="00AD0D01">
        <w:t xml:space="preserve">the BAM files </w:t>
      </w:r>
      <w:r>
        <w:t xml:space="preserve">of the 5 </w:t>
      </w:r>
      <w:r w:rsidR="00AD0D01">
        <w:t xml:space="preserve">DLBCL </w:t>
      </w:r>
      <w:r>
        <w:t xml:space="preserve">samples </w:t>
      </w:r>
      <w:r w:rsidR="00AD0D01">
        <w:t xml:space="preserve">(with somatic and sequencing errors background) used for </w:t>
      </w:r>
      <w:r>
        <w:t>the synthetic benchmark</w:t>
      </w:r>
      <w:r w:rsidR="00AD0D01">
        <w:t>.</w:t>
      </w:r>
      <w:bookmarkEnd w:id="28"/>
      <w:r>
        <w:t xml:space="preserve"> </w:t>
      </w:r>
    </w:p>
    <w:p w14:paraId="7ABF2564" w14:textId="77777777" w:rsidR="005E3988" w:rsidRDefault="005E3988" w:rsidP="005E3988">
      <w:pPr>
        <w:spacing w:after="0" w:line="240" w:lineRule="auto"/>
        <w:rPr>
          <w:b/>
          <w:bCs/>
          <w:sz w:val="32"/>
          <w:szCs w:val="32"/>
        </w:rPr>
      </w:pPr>
    </w:p>
    <w:tbl>
      <w:tblPr>
        <w:tblW w:w="6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060"/>
        <w:gridCol w:w="1937"/>
        <w:gridCol w:w="1984"/>
      </w:tblGrid>
      <w:tr w:rsidR="005E3988" w:rsidRPr="00372B60" w14:paraId="2054728F" w14:textId="77777777" w:rsidTr="00C11129">
        <w:trPr>
          <w:trHeight w:val="300"/>
          <w:jc w:val="center"/>
        </w:trPr>
        <w:tc>
          <w:tcPr>
            <w:tcW w:w="960" w:type="dxa"/>
            <w:noWrap/>
            <w:vAlign w:val="bottom"/>
            <w:hideMark/>
          </w:tcPr>
          <w:p w14:paraId="120A68D0" w14:textId="77777777" w:rsidR="005E3988" w:rsidRPr="001C4B05" w:rsidRDefault="005E3988" w:rsidP="00C11129">
            <w:pPr>
              <w:spacing w:after="0" w:line="240" w:lineRule="auto"/>
              <w:rPr>
                <w:rFonts w:ascii="Calibri" w:eastAsia="Times New Roman" w:hAnsi="Calibri" w:cs="Calibri"/>
                <w:b/>
                <w:bCs/>
                <w:color w:val="000000"/>
                <w:kern w:val="0"/>
                <w:sz w:val="22"/>
                <w:szCs w:val="22"/>
                <w14:ligatures w14:val="none"/>
              </w:rPr>
            </w:pPr>
            <w:r w:rsidRPr="001C4B05">
              <w:rPr>
                <w:rFonts w:ascii="Calibri" w:eastAsia="Times New Roman" w:hAnsi="Calibri" w:cs="Calibri"/>
                <w:b/>
                <w:bCs/>
                <w:color w:val="000000"/>
                <w:kern w:val="0"/>
                <w:sz w:val="22"/>
                <w:szCs w:val="22"/>
                <w14:ligatures w14:val="none"/>
              </w:rPr>
              <w:t>Sample</w:t>
            </w:r>
          </w:p>
        </w:tc>
        <w:tc>
          <w:tcPr>
            <w:tcW w:w="2060" w:type="dxa"/>
            <w:noWrap/>
            <w:vAlign w:val="bottom"/>
            <w:hideMark/>
          </w:tcPr>
          <w:p w14:paraId="3463B43A" w14:textId="77777777" w:rsidR="005E3988" w:rsidRPr="001C4B05" w:rsidRDefault="005E3988" w:rsidP="00C11129">
            <w:pPr>
              <w:spacing w:after="0" w:line="240" w:lineRule="auto"/>
              <w:rPr>
                <w:rFonts w:ascii="Calibri" w:eastAsia="Times New Roman" w:hAnsi="Calibri" w:cs="Calibri"/>
                <w:b/>
                <w:bCs/>
                <w:color w:val="000000"/>
                <w:kern w:val="0"/>
                <w:sz w:val="22"/>
                <w:szCs w:val="22"/>
                <w14:ligatures w14:val="none"/>
              </w:rPr>
            </w:pPr>
            <w:r w:rsidRPr="001C4B05">
              <w:rPr>
                <w:rFonts w:ascii="Calibri" w:eastAsia="Times New Roman" w:hAnsi="Calibri" w:cs="Calibri"/>
                <w:b/>
                <w:bCs/>
                <w:color w:val="000000"/>
                <w:kern w:val="0"/>
                <w:sz w:val="22"/>
                <w:szCs w:val="22"/>
                <w14:ligatures w14:val="none"/>
              </w:rPr>
              <w:t>Pre-spike-in SNVs</w:t>
            </w:r>
          </w:p>
        </w:tc>
        <w:tc>
          <w:tcPr>
            <w:tcW w:w="1937" w:type="dxa"/>
            <w:noWrap/>
            <w:vAlign w:val="bottom"/>
            <w:hideMark/>
          </w:tcPr>
          <w:p w14:paraId="7005E58A" w14:textId="77777777" w:rsidR="005E3988" w:rsidRPr="001C4B05" w:rsidRDefault="005E3988" w:rsidP="00C11129">
            <w:pPr>
              <w:spacing w:after="0" w:line="240" w:lineRule="auto"/>
              <w:rPr>
                <w:rFonts w:ascii="Calibri" w:eastAsia="Times New Roman" w:hAnsi="Calibri" w:cs="Calibri"/>
                <w:b/>
                <w:bCs/>
                <w:color w:val="000000"/>
                <w:kern w:val="0"/>
                <w:sz w:val="22"/>
                <w:szCs w:val="22"/>
                <w14:ligatures w14:val="none"/>
              </w:rPr>
            </w:pPr>
            <w:r w:rsidRPr="001C4B05">
              <w:rPr>
                <w:rFonts w:ascii="Calibri" w:eastAsia="Times New Roman" w:hAnsi="Calibri" w:cs="Calibri"/>
                <w:b/>
                <w:bCs/>
                <w:color w:val="000000"/>
                <w:kern w:val="0"/>
                <w:sz w:val="22"/>
                <w:szCs w:val="22"/>
                <w14:ligatures w14:val="none"/>
              </w:rPr>
              <w:t>Median SNV VAF</w:t>
            </w:r>
          </w:p>
        </w:tc>
        <w:tc>
          <w:tcPr>
            <w:tcW w:w="1984" w:type="dxa"/>
            <w:noWrap/>
            <w:vAlign w:val="bottom"/>
            <w:hideMark/>
          </w:tcPr>
          <w:p w14:paraId="2D43E27C" w14:textId="77777777" w:rsidR="005E3988" w:rsidRPr="001C4B05" w:rsidRDefault="005E3988" w:rsidP="00C11129">
            <w:pPr>
              <w:spacing w:after="0" w:line="240" w:lineRule="auto"/>
              <w:rPr>
                <w:rFonts w:ascii="Calibri" w:eastAsia="Times New Roman" w:hAnsi="Calibri" w:cs="Calibri"/>
                <w:b/>
                <w:bCs/>
                <w:color w:val="000000"/>
                <w:kern w:val="0"/>
                <w:sz w:val="22"/>
                <w:szCs w:val="22"/>
                <w14:ligatures w14:val="none"/>
              </w:rPr>
            </w:pPr>
            <w:r w:rsidRPr="001C4B05">
              <w:rPr>
                <w:rFonts w:ascii="Calibri" w:eastAsia="Times New Roman" w:hAnsi="Calibri" w:cs="Calibri"/>
                <w:b/>
                <w:bCs/>
                <w:color w:val="000000"/>
                <w:kern w:val="0"/>
                <w:sz w:val="22"/>
                <w:szCs w:val="22"/>
                <w14:ligatures w14:val="none"/>
              </w:rPr>
              <w:t>Median SNV depth</w:t>
            </w:r>
          </w:p>
        </w:tc>
      </w:tr>
      <w:tr w:rsidR="005E3988" w:rsidRPr="00372B60" w14:paraId="4665810A" w14:textId="77777777" w:rsidTr="00C11129">
        <w:trPr>
          <w:trHeight w:val="300"/>
          <w:jc w:val="center"/>
        </w:trPr>
        <w:tc>
          <w:tcPr>
            <w:tcW w:w="960" w:type="dxa"/>
            <w:noWrap/>
            <w:vAlign w:val="bottom"/>
            <w:hideMark/>
          </w:tcPr>
          <w:p w14:paraId="62BBA4AD" w14:textId="77777777" w:rsidR="005E3988" w:rsidRPr="00372B60" w:rsidRDefault="005E3988" w:rsidP="00C11129">
            <w:pPr>
              <w:spacing w:after="0" w:line="240" w:lineRule="auto"/>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S1</w:t>
            </w:r>
          </w:p>
        </w:tc>
        <w:tc>
          <w:tcPr>
            <w:tcW w:w="2060" w:type="dxa"/>
            <w:noWrap/>
            <w:vAlign w:val="bottom"/>
            <w:hideMark/>
          </w:tcPr>
          <w:p w14:paraId="53A95AB0" w14:textId="77777777" w:rsidR="005E3988" w:rsidRPr="00372B60" w:rsidRDefault="005E3988" w:rsidP="00C11129">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2,337</w:t>
            </w:r>
          </w:p>
        </w:tc>
        <w:tc>
          <w:tcPr>
            <w:tcW w:w="1937" w:type="dxa"/>
            <w:noWrap/>
            <w:vAlign w:val="bottom"/>
            <w:hideMark/>
          </w:tcPr>
          <w:p w14:paraId="2308E39D" w14:textId="77777777" w:rsidR="005E3988" w:rsidRPr="00372B60" w:rsidRDefault="005E3988" w:rsidP="00C11129">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0.03%</w:t>
            </w:r>
          </w:p>
        </w:tc>
        <w:tc>
          <w:tcPr>
            <w:tcW w:w="1984" w:type="dxa"/>
            <w:noWrap/>
            <w:vAlign w:val="bottom"/>
            <w:hideMark/>
          </w:tcPr>
          <w:p w14:paraId="2710B110" w14:textId="77777777" w:rsidR="005E3988" w:rsidRPr="00372B60" w:rsidRDefault="005E3988" w:rsidP="001C4B05">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16,919x</w:t>
            </w:r>
          </w:p>
        </w:tc>
      </w:tr>
      <w:tr w:rsidR="005E3988" w:rsidRPr="00372B60" w14:paraId="47414D1D" w14:textId="77777777" w:rsidTr="00C11129">
        <w:trPr>
          <w:trHeight w:val="300"/>
          <w:jc w:val="center"/>
        </w:trPr>
        <w:tc>
          <w:tcPr>
            <w:tcW w:w="960" w:type="dxa"/>
            <w:noWrap/>
            <w:vAlign w:val="bottom"/>
            <w:hideMark/>
          </w:tcPr>
          <w:p w14:paraId="3F142863" w14:textId="77777777" w:rsidR="005E3988" w:rsidRPr="00372B60" w:rsidRDefault="005E3988" w:rsidP="00C11129">
            <w:pPr>
              <w:spacing w:after="0" w:line="240" w:lineRule="auto"/>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S2</w:t>
            </w:r>
          </w:p>
        </w:tc>
        <w:tc>
          <w:tcPr>
            <w:tcW w:w="2060" w:type="dxa"/>
            <w:noWrap/>
            <w:vAlign w:val="bottom"/>
            <w:hideMark/>
          </w:tcPr>
          <w:p w14:paraId="035E29F2" w14:textId="77777777" w:rsidR="005E3988" w:rsidRPr="00372B60" w:rsidRDefault="005E3988" w:rsidP="00C11129">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963</w:t>
            </w:r>
          </w:p>
        </w:tc>
        <w:tc>
          <w:tcPr>
            <w:tcW w:w="1937" w:type="dxa"/>
            <w:noWrap/>
            <w:vAlign w:val="bottom"/>
            <w:hideMark/>
          </w:tcPr>
          <w:p w14:paraId="4E7BE36F" w14:textId="77777777" w:rsidR="005E3988" w:rsidRPr="00372B60" w:rsidRDefault="005E3988" w:rsidP="00C11129">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0.03%</w:t>
            </w:r>
          </w:p>
        </w:tc>
        <w:tc>
          <w:tcPr>
            <w:tcW w:w="1984" w:type="dxa"/>
            <w:noWrap/>
            <w:vAlign w:val="bottom"/>
            <w:hideMark/>
          </w:tcPr>
          <w:p w14:paraId="01D0EDD9" w14:textId="77777777" w:rsidR="005E3988" w:rsidRPr="00372B60" w:rsidRDefault="005E3988" w:rsidP="001C4B05">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11,212x</w:t>
            </w:r>
          </w:p>
        </w:tc>
      </w:tr>
      <w:tr w:rsidR="005E3988" w:rsidRPr="00372B60" w14:paraId="3D61CAA1" w14:textId="77777777" w:rsidTr="00C11129">
        <w:trPr>
          <w:trHeight w:val="300"/>
          <w:jc w:val="center"/>
        </w:trPr>
        <w:tc>
          <w:tcPr>
            <w:tcW w:w="960" w:type="dxa"/>
            <w:noWrap/>
            <w:vAlign w:val="bottom"/>
            <w:hideMark/>
          </w:tcPr>
          <w:p w14:paraId="2F381C9E" w14:textId="77777777" w:rsidR="005E3988" w:rsidRPr="00372B60" w:rsidRDefault="005E3988" w:rsidP="00C11129">
            <w:pPr>
              <w:spacing w:after="0" w:line="240" w:lineRule="auto"/>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S3</w:t>
            </w:r>
          </w:p>
        </w:tc>
        <w:tc>
          <w:tcPr>
            <w:tcW w:w="2060" w:type="dxa"/>
            <w:noWrap/>
            <w:vAlign w:val="bottom"/>
            <w:hideMark/>
          </w:tcPr>
          <w:p w14:paraId="16AEA408" w14:textId="77777777" w:rsidR="005E3988" w:rsidRPr="00372B60" w:rsidRDefault="005E3988" w:rsidP="00C11129">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997</w:t>
            </w:r>
          </w:p>
        </w:tc>
        <w:tc>
          <w:tcPr>
            <w:tcW w:w="1937" w:type="dxa"/>
            <w:noWrap/>
            <w:vAlign w:val="bottom"/>
            <w:hideMark/>
          </w:tcPr>
          <w:p w14:paraId="44D77716" w14:textId="77777777" w:rsidR="005E3988" w:rsidRPr="00372B60" w:rsidRDefault="005E3988" w:rsidP="00C11129">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0.03%</w:t>
            </w:r>
          </w:p>
        </w:tc>
        <w:tc>
          <w:tcPr>
            <w:tcW w:w="1984" w:type="dxa"/>
            <w:noWrap/>
            <w:vAlign w:val="bottom"/>
            <w:hideMark/>
          </w:tcPr>
          <w:p w14:paraId="190058F7" w14:textId="77777777" w:rsidR="005E3988" w:rsidRPr="00372B60" w:rsidRDefault="005E3988" w:rsidP="001C4B05">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11,006x</w:t>
            </w:r>
          </w:p>
        </w:tc>
      </w:tr>
      <w:tr w:rsidR="005E3988" w:rsidRPr="00372B60" w14:paraId="68F626DE" w14:textId="77777777" w:rsidTr="00C11129">
        <w:trPr>
          <w:trHeight w:val="300"/>
          <w:jc w:val="center"/>
        </w:trPr>
        <w:tc>
          <w:tcPr>
            <w:tcW w:w="960" w:type="dxa"/>
            <w:noWrap/>
            <w:vAlign w:val="bottom"/>
            <w:hideMark/>
          </w:tcPr>
          <w:p w14:paraId="6BA76697" w14:textId="77777777" w:rsidR="005E3988" w:rsidRPr="00372B60" w:rsidRDefault="005E3988" w:rsidP="00C11129">
            <w:pPr>
              <w:spacing w:after="0" w:line="240" w:lineRule="auto"/>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S4</w:t>
            </w:r>
          </w:p>
        </w:tc>
        <w:tc>
          <w:tcPr>
            <w:tcW w:w="2060" w:type="dxa"/>
            <w:noWrap/>
            <w:vAlign w:val="bottom"/>
            <w:hideMark/>
          </w:tcPr>
          <w:p w14:paraId="1017A279" w14:textId="77777777" w:rsidR="005E3988" w:rsidRPr="00372B60" w:rsidRDefault="005E3988" w:rsidP="00C11129">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1,101</w:t>
            </w:r>
          </w:p>
        </w:tc>
        <w:tc>
          <w:tcPr>
            <w:tcW w:w="1937" w:type="dxa"/>
            <w:noWrap/>
            <w:vAlign w:val="bottom"/>
            <w:hideMark/>
          </w:tcPr>
          <w:p w14:paraId="75C0B9EB" w14:textId="77777777" w:rsidR="005E3988" w:rsidRPr="00372B60" w:rsidRDefault="005E3988" w:rsidP="00C11129">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0.04%</w:t>
            </w:r>
          </w:p>
        </w:tc>
        <w:tc>
          <w:tcPr>
            <w:tcW w:w="1984" w:type="dxa"/>
            <w:noWrap/>
            <w:vAlign w:val="bottom"/>
            <w:hideMark/>
          </w:tcPr>
          <w:p w14:paraId="7DA974E3" w14:textId="77777777" w:rsidR="005E3988" w:rsidRPr="00372B60" w:rsidRDefault="005E3988" w:rsidP="001C4B05">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10,248x</w:t>
            </w:r>
          </w:p>
        </w:tc>
      </w:tr>
      <w:tr w:rsidR="005E3988" w:rsidRPr="00372B60" w14:paraId="1B61C0EE" w14:textId="77777777" w:rsidTr="00C11129">
        <w:trPr>
          <w:trHeight w:val="300"/>
          <w:jc w:val="center"/>
        </w:trPr>
        <w:tc>
          <w:tcPr>
            <w:tcW w:w="960" w:type="dxa"/>
            <w:noWrap/>
            <w:vAlign w:val="bottom"/>
            <w:hideMark/>
          </w:tcPr>
          <w:p w14:paraId="463DFCF9" w14:textId="77777777" w:rsidR="005E3988" w:rsidRPr="00372B60" w:rsidRDefault="005E3988" w:rsidP="00C11129">
            <w:pPr>
              <w:spacing w:after="0" w:line="240" w:lineRule="auto"/>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S5</w:t>
            </w:r>
          </w:p>
        </w:tc>
        <w:tc>
          <w:tcPr>
            <w:tcW w:w="2060" w:type="dxa"/>
            <w:noWrap/>
            <w:vAlign w:val="bottom"/>
            <w:hideMark/>
          </w:tcPr>
          <w:p w14:paraId="531EACA1" w14:textId="77777777" w:rsidR="005E3988" w:rsidRPr="00372B60" w:rsidRDefault="005E3988" w:rsidP="00C11129">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1,723</w:t>
            </w:r>
          </w:p>
        </w:tc>
        <w:tc>
          <w:tcPr>
            <w:tcW w:w="1937" w:type="dxa"/>
            <w:noWrap/>
            <w:vAlign w:val="bottom"/>
            <w:hideMark/>
          </w:tcPr>
          <w:p w14:paraId="5AD183F7" w14:textId="77777777" w:rsidR="005E3988" w:rsidRPr="00372B60" w:rsidRDefault="005E3988" w:rsidP="00C11129">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0.03%</w:t>
            </w:r>
          </w:p>
        </w:tc>
        <w:tc>
          <w:tcPr>
            <w:tcW w:w="1984" w:type="dxa"/>
            <w:noWrap/>
            <w:vAlign w:val="bottom"/>
            <w:hideMark/>
          </w:tcPr>
          <w:p w14:paraId="32C06EA7" w14:textId="77777777" w:rsidR="005E3988" w:rsidRPr="00372B60" w:rsidRDefault="005E3988" w:rsidP="001C4B05">
            <w:pPr>
              <w:spacing w:after="0" w:line="240" w:lineRule="auto"/>
              <w:jc w:val="right"/>
              <w:rPr>
                <w:rFonts w:ascii="Calibri" w:eastAsia="Times New Roman" w:hAnsi="Calibri" w:cs="Calibri"/>
                <w:color w:val="000000"/>
                <w:kern w:val="0"/>
                <w:sz w:val="22"/>
                <w:szCs w:val="22"/>
                <w14:ligatures w14:val="none"/>
              </w:rPr>
            </w:pPr>
            <w:r w:rsidRPr="00372B60">
              <w:rPr>
                <w:rFonts w:ascii="Calibri" w:eastAsia="Times New Roman" w:hAnsi="Calibri" w:cs="Calibri"/>
                <w:color w:val="000000"/>
                <w:kern w:val="0"/>
                <w:sz w:val="22"/>
                <w:szCs w:val="22"/>
                <w14:ligatures w14:val="none"/>
              </w:rPr>
              <w:t>14,611x</w:t>
            </w:r>
          </w:p>
        </w:tc>
      </w:tr>
    </w:tbl>
    <w:p w14:paraId="0E063115" w14:textId="77777777" w:rsidR="004B70B9" w:rsidRDefault="004B70B9" w:rsidP="00DE77C3">
      <w:pPr>
        <w:rPr>
          <w:rStyle w:val="SuppFigTableChar"/>
          <w:b w:val="0"/>
          <w:bCs w:val="0"/>
        </w:rPr>
      </w:pPr>
    </w:p>
    <w:p w14:paraId="5F965FFA" w14:textId="75B3F163" w:rsidR="00372B60" w:rsidRPr="00886C92" w:rsidRDefault="00372B60" w:rsidP="00372B60">
      <w:pPr>
        <w:pStyle w:val="SuppFigTable"/>
      </w:pPr>
      <w:bookmarkStart w:id="29" w:name="_Toc241497594"/>
      <w:r w:rsidRPr="002C1314">
        <w:rPr>
          <w:rStyle w:val="SuppFigTableChar"/>
          <w:b/>
          <w:bCs/>
        </w:rPr>
        <w:t>Table S</w:t>
      </w:r>
      <w:r w:rsidR="0019171F">
        <w:rPr>
          <w:rStyle w:val="SuppFigTableChar"/>
          <w:b/>
          <w:bCs/>
        </w:rPr>
        <w:t>7</w:t>
      </w:r>
      <w:r w:rsidRPr="002C1314">
        <w:rPr>
          <w:b w:val="0"/>
          <w:bCs w:val="0"/>
        </w:rPr>
        <w:t>.</w:t>
      </w:r>
      <w:r>
        <w:t xml:space="preserve"> </w:t>
      </w:r>
      <w:r>
        <w:t xml:space="preserve">Overview of spike-in statistics in the synthetic benchmark for each </w:t>
      </w:r>
      <w:r w:rsidR="00AD0D01">
        <w:t xml:space="preserve">DLBCL </w:t>
      </w:r>
      <w:r>
        <w:t>sample and noise group</w:t>
      </w:r>
      <w:r w:rsidR="00AD0D01">
        <w:t>.</w:t>
      </w:r>
      <w:bookmarkEnd w:id="29"/>
    </w:p>
    <w:tbl>
      <w:tblPr>
        <w:tblStyle w:val="Tabelraster"/>
        <w:tblW w:w="9239" w:type="dxa"/>
        <w:tblLook w:val="04A0" w:firstRow="1" w:lastRow="0" w:firstColumn="1" w:lastColumn="0" w:noHBand="0" w:noVBand="1"/>
      </w:tblPr>
      <w:tblGrid>
        <w:gridCol w:w="1129"/>
        <w:gridCol w:w="1701"/>
        <w:gridCol w:w="1701"/>
        <w:gridCol w:w="1843"/>
        <w:gridCol w:w="1276"/>
        <w:gridCol w:w="1589"/>
      </w:tblGrid>
      <w:tr w:rsidR="00372B60" w:rsidRPr="00EE3B63" w14:paraId="440B3216" w14:textId="77777777" w:rsidTr="00C11129">
        <w:trPr>
          <w:trHeight w:val="300"/>
        </w:trPr>
        <w:tc>
          <w:tcPr>
            <w:tcW w:w="1129" w:type="dxa"/>
            <w:noWrap/>
            <w:hideMark/>
          </w:tcPr>
          <w:p w14:paraId="26ECEA24" w14:textId="77777777" w:rsidR="00372B60" w:rsidRPr="00886C92" w:rsidRDefault="00372B60" w:rsidP="00C11129">
            <w:pPr>
              <w:jc w:val="center"/>
              <w:rPr>
                <w:rFonts w:ascii="Aptos Narrow" w:hAnsi="Aptos Narrow"/>
                <w:b/>
                <w:bCs/>
                <w:sz w:val="22"/>
                <w:szCs w:val="22"/>
              </w:rPr>
            </w:pPr>
            <w:r>
              <w:rPr>
                <w:rFonts w:ascii="Aptos Narrow" w:hAnsi="Aptos Narrow"/>
                <w:b/>
                <w:bCs/>
                <w:sz w:val="22"/>
                <w:szCs w:val="22"/>
              </w:rPr>
              <w:lastRenderedPageBreak/>
              <w:t>S</w:t>
            </w:r>
            <w:r w:rsidRPr="00886C92">
              <w:rPr>
                <w:rFonts w:ascii="Aptos Narrow" w:hAnsi="Aptos Narrow"/>
                <w:b/>
                <w:bCs/>
                <w:sz w:val="22"/>
                <w:szCs w:val="22"/>
              </w:rPr>
              <w:t>ample</w:t>
            </w:r>
          </w:p>
        </w:tc>
        <w:tc>
          <w:tcPr>
            <w:tcW w:w="1701" w:type="dxa"/>
            <w:noWrap/>
            <w:hideMark/>
          </w:tcPr>
          <w:p w14:paraId="69DF2544" w14:textId="77777777" w:rsidR="00372B60" w:rsidRPr="00886C92" w:rsidRDefault="00372B60" w:rsidP="00C11129">
            <w:pPr>
              <w:jc w:val="center"/>
              <w:rPr>
                <w:rFonts w:ascii="Aptos Narrow" w:hAnsi="Aptos Narrow"/>
                <w:b/>
                <w:bCs/>
                <w:sz w:val="22"/>
                <w:szCs w:val="22"/>
              </w:rPr>
            </w:pPr>
            <w:r>
              <w:rPr>
                <w:rFonts w:ascii="Aptos Narrow" w:hAnsi="Aptos Narrow"/>
                <w:b/>
                <w:bCs/>
                <w:sz w:val="22"/>
                <w:szCs w:val="22"/>
              </w:rPr>
              <w:t>Group</w:t>
            </w:r>
          </w:p>
        </w:tc>
        <w:tc>
          <w:tcPr>
            <w:tcW w:w="1701" w:type="dxa"/>
            <w:noWrap/>
            <w:hideMark/>
          </w:tcPr>
          <w:p w14:paraId="30A598C4" w14:textId="77777777" w:rsidR="00372B60" w:rsidRPr="00F954B8" w:rsidRDefault="00372B60" w:rsidP="00C11129">
            <w:pPr>
              <w:jc w:val="center"/>
              <w:rPr>
                <w:rFonts w:ascii="Aptos Narrow" w:hAnsi="Aptos Narrow"/>
                <w:b/>
                <w:bCs/>
                <w:sz w:val="22"/>
                <w:szCs w:val="22"/>
                <w:lang w:val="en-GB"/>
              </w:rPr>
            </w:pPr>
            <w:r w:rsidRPr="00F954B8">
              <w:rPr>
                <w:rFonts w:ascii="Aptos Narrow" w:hAnsi="Aptos Narrow"/>
                <w:b/>
                <w:bCs/>
                <w:sz w:val="22"/>
                <w:szCs w:val="22"/>
                <w:lang w:val="en-GB"/>
              </w:rPr>
              <w:t>Spiked SNVs</w:t>
            </w:r>
          </w:p>
        </w:tc>
        <w:tc>
          <w:tcPr>
            <w:tcW w:w="1843" w:type="dxa"/>
            <w:noWrap/>
            <w:hideMark/>
          </w:tcPr>
          <w:p w14:paraId="5BE262BB" w14:textId="77777777" w:rsidR="00372B60" w:rsidRPr="00F954B8" w:rsidRDefault="00372B60" w:rsidP="00C11129">
            <w:pPr>
              <w:jc w:val="center"/>
              <w:rPr>
                <w:rFonts w:ascii="Aptos Narrow" w:hAnsi="Aptos Narrow"/>
                <w:b/>
                <w:bCs/>
                <w:sz w:val="22"/>
                <w:szCs w:val="22"/>
                <w:lang w:val="en-GB"/>
              </w:rPr>
            </w:pPr>
            <w:r w:rsidRPr="00F954B8">
              <w:rPr>
                <w:rFonts w:ascii="Aptos Narrow" w:hAnsi="Aptos Narrow"/>
                <w:b/>
                <w:bCs/>
                <w:sz w:val="22"/>
                <w:szCs w:val="22"/>
                <w:lang w:val="en-GB"/>
              </w:rPr>
              <w:t>Spiked MNVs</w:t>
            </w:r>
          </w:p>
        </w:tc>
        <w:tc>
          <w:tcPr>
            <w:tcW w:w="1276" w:type="dxa"/>
            <w:noWrap/>
            <w:hideMark/>
          </w:tcPr>
          <w:p w14:paraId="16F27D5F" w14:textId="77777777" w:rsidR="00372B60" w:rsidRPr="00F954B8" w:rsidRDefault="00372B60" w:rsidP="00C11129">
            <w:pPr>
              <w:jc w:val="center"/>
              <w:rPr>
                <w:rFonts w:ascii="Aptos Narrow" w:hAnsi="Aptos Narrow"/>
                <w:b/>
                <w:bCs/>
                <w:sz w:val="22"/>
                <w:szCs w:val="22"/>
                <w:lang w:val="en-GB"/>
              </w:rPr>
            </w:pPr>
            <w:r w:rsidRPr="00F954B8">
              <w:rPr>
                <w:rFonts w:ascii="Aptos Narrow" w:hAnsi="Aptos Narrow"/>
                <w:b/>
                <w:bCs/>
                <w:sz w:val="22"/>
                <w:szCs w:val="22"/>
                <w:lang w:val="en-GB"/>
              </w:rPr>
              <w:t>Noise SNVs</w:t>
            </w:r>
          </w:p>
        </w:tc>
        <w:tc>
          <w:tcPr>
            <w:tcW w:w="1589" w:type="dxa"/>
            <w:noWrap/>
            <w:hideMark/>
          </w:tcPr>
          <w:p w14:paraId="4FC5FAF7" w14:textId="77777777" w:rsidR="00C625D0" w:rsidRPr="00F954B8" w:rsidRDefault="00372B60" w:rsidP="00C11129">
            <w:pPr>
              <w:jc w:val="center"/>
              <w:rPr>
                <w:rFonts w:ascii="Aptos Narrow" w:hAnsi="Aptos Narrow"/>
                <w:b/>
                <w:bCs/>
                <w:sz w:val="22"/>
                <w:szCs w:val="22"/>
                <w:lang w:val="en-GB"/>
              </w:rPr>
            </w:pPr>
            <w:r w:rsidRPr="00F954B8">
              <w:rPr>
                <w:rFonts w:ascii="Aptos Narrow" w:hAnsi="Aptos Narrow"/>
                <w:b/>
                <w:bCs/>
                <w:sz w:val="22"/>
                <w:szCs w:val="22"/>
                <w:lang w:val="en-GB"/>
              </w:rPr>
              <w:t>Median</w:t>
            </w:r>
            <w:r w:rsidR="006048AE" w:rsidRPr="00F954B8">
              <w:rPr>
                <w:rFonts w:ascii="Aptos Narrow" w:hAnsi="Aptos Narrow"/>
                <w:b/>
                <w:bCs/>
                <w:sz w:val="22"/>
                <w:szCs w:val="22"/>
                <w:lang w:val="en-GB"/>
              </w:rPr>
              <w:t xml:space="preserve"> </w:t>
            </w:r>
          </w:p>
          <w:p w14:paraId="6FC06C64" w14:textId="4F3217C0" w:rsidR="00372B60" w:rsidRPr="00F954B8" w:rsidRDefault="006048AE" w:rsidP="00C11129">
            <w:pPr>
              <w:jc w:val="center"/>
              <w:rPr>
                <w:rFonts w:ascii="Aptos Narrow" w:hAnsi="Aptos Narrow"/>
                <w:b/>
                <w:bCs/>
                <w:sz w:val="22"/>
                <w:szCs w:val="22"/>
                <w:lang w:val="en-GB"/>
              </w:rPr>
            </w:pPr>
            <w:r w:rsidRPr="00F954B8">
              <w:rPr>
                <w:rFonts w:ascii="Aptos Narrow" w:hAnsi="Aptos Narrow"/>
                <w:b/>
                <w:bCs/>
                <w:sz w:val="22"/>
                <w:szCs w:val="22"/>
                <w:lang w:val="en-GB"/>
              </w:rPr>
              <w:t>spike-in</w:t>
            </w:r>
            <w:r w:rsidR="00372B60" w:rsidRPr="00F954B8">
              <w:rPr>
                <w:rFonts w:ascii="Aptos Narrow" w:hAnsi="Aptos Narrow"/>
                <w:b/>
                <w:bCs/>
                <w:sz w:val="22"/>
                <w:szCs w:val="22"/>
                <w:lang w:val="en-GB"/>
              </w:rPr>
              <w:t xml:space="preserve"> depth</w:t>
            </w:r>
          </w:p>
        </w:tc>
      </w:tr>
      <w:tr w:rsidR="00372B60" w:rsidRPr="00EE3B63" w14:paraId="351E7155" w14:textId="77777777" w:rsidTr="00C11129">
        <w:trPr>
          <w:trHeight w:val="300"/>
        </w:trPr>
        <w:tc>
          <w:tcPr>
            <w:tcW w:w="1129" w:type="dxa"/>
            <w:noWrap/>
            <w:hideMark/>
          </w:tcPr>
          <w:p w14:paraId="7C8D5646"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S1</w:t>
            </w:r>
          </w:p>
        </w:tc>
        <w:tc>
          <w:tcPr>
            <w:tcW w:w="1701" w:type="dxa"/>
            <w:noWrap/>
            <w:hideMark/>
          </w:tcPr>
          <w:p w14:paraId="5533A4EE"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No added noise</w:t>
            </w:r>
          </w:p>
        </w:tc>
        <w:tc>
          <w:tcPr>
            <w:tcW w:w="1701" w:type="dxa"/>
            <w:noWrap/>
            <w:hideMark/>
          </w:tcPr>
          <w:p w14:paraId="394B0EB6"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1060</w:t>
            </w:r>
          </w:p>
        </w:tc>
        <w:tc>
          <w:tcPr>
            <w:tcW w:w="1843" w:type="dxa"/>
            <w:noWrap/>
            <w:hideMark/>
          </w:tcPr>
          <w:p w14:paraId="0F802434"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530</w:t>
            </w:r>
          </w:p>
        </w:tc>
        <w:tc>
          <w:tcPr>
            <w:tcW w:w="1276" w:type="dxa"/>
            <w:noWrap/>
            <w:hideMark/>
          </w:tcPr>
          <w:p w14:paraId="41F98854"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0</w:t>
            </w:r>
          </w:p>
        </w:tc>
        <w:tc>
          <w:tcPr>
            <w:tcW w:w="1589" w:type="dxa"/>
            <w:noWrap/>
            <w:hideMark/>
          </w:tcPr>
          <w:p w14:paraId="1CEFC327"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12550</w:t>
            </w:r>
          </w:p>
        </w:tc>
      </w:tr>
      <w:tr w:rsidR="00372B60" w:rsidRPr="00EE3B63" w14:paraId="54006C3D" w14:textId="77777777" w:rsidTr="00C11129">
        <w:trPr>
          <w:trHeight w:val="300"/>
        </w:trPr>
        <w:tc>
          <w:tcPr>
            <w:tcW w:w="1129" w:type="dxa"/>
            <w:noWrap/>
            <w:hideMark/>
          </w:tcPr>
          <w:p w14:paraId="6BEE8C43"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S1</w:t>
            </w:r>
          </w:p>
        </w:tc>
        <w:tc>
          <w:tcPr>
            <w:tcW w:w="1701" w:type="dxa"/>
            <w:noWrap/>
            <w:hideMark/>
          </w:tcPr>
          <w:p w14:paraId="3987E3FF"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1% noise</w:t>
            </w:r>
          </w:p>
        </w:tc>
        <w:tc>
          <w:tcPr>
            <w:tcW w:w="1701" w:type="dxa"/>
            <w:noWrap/>
            <w:hideMark/>
          </w:tcPr>
          <w:p w14:paraId="2D4278A4"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1178</w:t>
            </w:r>
          </w:p>
        </w:tc>
        <w:tc>
          <w:tcPr>
            <w:tcW w:w="1843" w:type="dxa"/>
            <w:noWrap/>
            <w:hideMark/>
          </w:tcPr>
          <w:p w14:paraId="6A1AFE99"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544</w:t>
            </w:r>
          </w:p>
        </w:tc>
        <w:tc>
          <w:tcPr>
            <w:tcW w:w="1276" w:type="dxa"/>
            <w:noWrap/>
            <w:hideMark/>
          </w:tcPr>
          <w:p w14:paraId="28A61750"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90</w:t>
            </w:r>
          </w:p>
        </w:tc>
        <w:tc>
          <w:tcPr>
            <w:tcW w:w="1589" w:type="dxa"/>
            <w:noWrap/>
            <w:hideMark/>
          </w:tcPr>
          <w:p w14:paraId="06D928D7"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12410</w:t>
            </w:r>
          </w:p>
        </w:tc>
      </w:tr>
      <w:tr w:rsidR="00372B60" w:rsidRPr="00EE3B63" w14:paraId="4D24712A" w14:textId="77777777" w:rsidTr="00C11129">
        <w:trPr>
          <w:trHeight w:val="300"/>
        </w:trPr>
        <w:tc>
          <w:tcPr>
            <w:tcW w:w="1129" w:type="dxa"/>
            <w:noWrap/>
            <w:hideMark/>
          </w:tcPr>
          <w:p w14:paraId="2F45397A"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S1</w:t>
            </w:r>
          </w:p>
        </w:tc>
        <w:tc>
          <w:tcPr>
            <w:tcW w:w="1701" w:type="dxa"/>
            <w:noWrap/>
            <w:hideMark/>
          </w:tcPr>
          <w:p w14:paraId="0DBAC495"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10% noise</w:t>
            </w:r>
          </w:p>
        </w:tc>
        <w:tc>
          <w:tcPr>
            <w:tcW w:w="1701" w:type="dxa"/>
            <w:noWrap/>
            <w:hideMark/>
          </w:tcPr>
          <w:p w14:paraId="511431A3"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1917</w:t>
            </w:r>
          </w:p>
        </w:tc>
        <w:tc>
          <w:tcPr>
            <w:tcW w:w="1843" w:type="dxa"/>
            <w:noWrap/>
            <w:hideMark/>
          </w:tcPr>
          <w:p w14:paraId="0EC12C2F"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531</w:t>
            </w:r>
          </w:p>
        </w:tc>
        <w:tc>
          <w:tcPr>
            <w:tcW w:w="1276" w:type="dxa"/>
            <w:noWrap/>
            <w:hideMark/>
          </w:tcPr>
          <w:p w14:paraId="23C8C51E"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855</w:t>
            </w:r>
          </w:p>
        </w:tc>
        <w:tc>
          <w:tcPr>
            <w:tcW w:w="1589" w:type="dxa"/>
            <w:noWrap/>
            <w:hideMark/>
          </w:tcPr>
          <w:p w14:paraId="683ED2A8"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12543</w:t>
            </w:r>
          </w:p>
        </w:tc>
      </w:tr>
      <w:tr w:rsidR="00372B60" w:rsidRPr="00EE3B63" w14:paraId="68C3C28E" w14:textId="77777777" w:rsidTr="00C11129">
        <w:trPr>
          <w:trHeight w:val="300"/>
        </w:trPr>
        <w:tc>
          <w:tcPr>
            <w:tcW w:w="1129" w:type="dxa"/>
            <w:noWrap/>
            <w:hideMark/>
          </w:tcPr>
          <w:p w14:paraId="0A1634F3"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S2</w:t>
            </w:r>
          </w:p>
        </w:tc>
        <w:tc>
          <w:tcPr>
            <w:tcW w:w="1701" w:type="dxa"/>
            <w:noWrap/>
            <w:hideMark/>
          </w:tcPr>
          <w:p w14:paraId="10F9F5D8"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No added noise</w:t>
            </w:r>
          </w:p>
        </w:tc>
        <w:tc>
          <w:tcPr>
            <w:tcW w:w="1701" w:type="dxa"/>
            <w:noWrap/>
            <w:hideMark/>
          </w:tcPr>
          <w:p w14:paraId="60590F59"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1060</w:t>
            </w:r>
          </w:p>
        </w:tc>
        <w:tc>
          <w:tcPr>
            <w:tcW w:w="1843" w:type="dxa"/>
            <w:noWrap/>
            <w:hideMark/>
          </w:tcPr>
          <w:p w14:paraId="53AEA5CB"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530</w:t>
            </w:r>
          </w:p>
        </w:tc>
        <w:tc>
          <w:tcPr>
            <w:tcW w:w="1276" w:type="dxa"/>
            <w:noWrap/>
            <w:hideMark/>
          </w:tcPr>
          <w:p w14:paraId="6E1B3C21"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0</w:t>
            </w:r>
          </w:p>
        </w:tc>
        <w:tc>
          <w:tcPr>
            <w:tcW w:w="1589" w:type="dxa"/>
            <w:noWrap/>
            <w:hideMark/>
          </w:tcPr>
          <w:p w14:paraId="25DEA099"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9890</w:t>
            </w:r>
          </w:p>
        </w:tc>
      </w:tr>
      <w:tr w:rsidR="00372B60" w:rsidRPr="00EE3B63" w14:paraId="264C3290" w14:textId="77777777" w:rsidTr="00C11129">
        <w:trPr>
          <w:trHeight w:val="300"/>
        </w:trPr>
        <w:tc>
          <w:tcPr>
            <w:tcW w:w="1129" w:type="dxa"/>
            <w:noWrap/>
            <w:hideMark/>
          </w:tcPr>
          <w:p w14:paraId="390BAB89"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S2</w:t>
            </w:r>
          </w:p>
        </w:tc>
        <w:tc>
          <w:tcPr>
            <w:tcW w:w="1701" w:type="dxa"/>
            <w:noWrap/>
            <w:hideMark/>
          </w:tcPr>
          <w:p w14:paraId="0FC07A78"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1% noise</w:t>
            </w:r>
          </w:p>
        </w:tc>
        <w:tc>
          <w:tcPr>
            <w:tcW w:w="1701" w:type="dxa"/>
            <w:noWrap/>
            <w:hideMark/>
          </w:tcPr>
          <w:p w14:paraId="6626FCF2"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1163</w:t>
            </w:r>
          </w:p>
        </w:tc>
        <w:tc>
          <w:tcPr>
            <w:tcW w:w="1843" w:type="dxa"/>
            <w:noWrap/>
            <w:hideMark/>
          </w:tcPr>
          <w:p w14:paraId="00C2C854"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537</w:t>
            </w:r>
          </w:p>
        </w:tc>
        <w:tc>
          <w:tcPr>
            <w:tcW w:w="1276" w:type="dxa"/>
            <w:noWrap/>
            <w:hideMark/>
          </w:tcPr>
          <w:p w14:paraId="4B8BEE05"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89</w:t>
            </w:r>
          </w:p>
        </w:tc>
        <w:tc>
          <w:tcPr>
            <w:tcW w:w="1589" w:type="dxa"/>
            <w:noWrap/>
            <w:hideMark/>
          </w:tcPr>
          <w:p w14:paraId="523715CD"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9906</w:t>
            </w:r>
          </w:p>
        </w:tc>
      </w:tr>
      <w:tr w:rsidR="00372B60" w:rsidRPr="00EE3B63" w14:paraId="0B6951BE" w14:textId="77777777" w:rsidTr="00C11129">
        <w:trPr>
          <w:trHeight w:val="300"/>
        </w:trPr>
        <w:tc>
          <w:tcPr>
            <w:tcW w:w="1129" w:type="dxa"/>
            <w:noWrap/>
            <w:hideMark/>
          </w:tcPr>
          <w:p w14:paraId="543C9707"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S2</w:t>
            </w:r>
          </w:p>
        </w:tc>
        <w:tc>
          <w:tcPr>
            <w:tcW w:w="1701" w:type="dxa"/>
            <w:noWrap/>
            <w:hideMark/>
          </w:tcPr>
          <w:p w14:paraId="337AC3C8"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10% noise</w:t>
            </w:r>
          </w:p>
        </w:tc>
        <w:tc>
          <w:tcPr>
            <w:tcW w:w="1701" w:type="dxa"/>
            <w:noWrap/>
            <w:hideMark/>
          </w:tcPr>
          <w:p w14:paraId="07B59A24"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1897</w:t>
            </w:r>
          </w:p>
        </w:tc>
        <w:tc>
          <w:tcPr>
            <w:tcW w:w="1843" w:type="dxa"/>
            <w:noWrap/>
            <w:hideMark/>
          </w:tcPr>
          <w:p w14:paraId="5CE6F952"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523</w:t>
            </w:r>
          </w:p>
        </w:tc>
        <w:tc>
          <w:tcPr>
            <w:tcW w:w="1276" w:type="dxa"/>
            <w:noWrap/>
            <w:hideMark/>
          </w:tcPr>
          <w:p w14:paraId="23F79901"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851</w:t>
            </w:r>
          </w:p>
        </w:tc>
        <w:tc>
          <w:tcPr>
            <w:tcW w:w="1589" w:type="dxa"/>
            <w:noWrap/>
            <w:hideMark/>
          </w:tcPr>
          <w:p w14:paraId="6CB58983"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9726</w:t>
            </w:r>
          </w:p>
        </w:tc>
      </w:tr>
      <w:tr w:rsidR="00372B60" w:rsidRPr="00EE3B63" w14:paraId="4AC2F1FA" w14:textId="77777777" w:rsidTr="00C11129">
        <w:trPr>
          <w:trHeight w:val="300"/>
        </w:trPr>
        <w:tc>
          <w:tcPr>
            <w:tcW w:w="1129" w:type="dxa"/>
            <w:noWrap/>
            <w:hideMark/>
          </w:tcPr>
          <w:p w14:paraId="62718FE8"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S3</w:t>
            </w:r>
          </w:p>
        </w:tc>
        <w:tc>
          <w:tcPr>
            <w:tcW w:w="1701" w:type="dxa"/>
            <w:noWrap/>
            <w:hideMark/>
          </w:tcPr>
          <w:p w14:paraId="39AAA5BA"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No added noise</w:t>
            </w:r>
          </w:p>
        </w:tc>
        <w:tc>
          <w:tcPr>
            <w:tcW w:w="1701" w:type="dxa"/>
            <w:noWrap/>
            <w:hideMark/>
          </w:tcPr>
          <w:p w14:paraId="62A4A05E"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1066</w:t>
            </w:r>
          </w:p>
        </w:tc>
        <w:tc>
          <w:tcPr>
            <w:tcW w:w="1843" w:type="dxa"/>
            <w:noWrap/>
            <w:hideMark/>
          </w:tcPr>
          <w:p w14:paraId="60A92125"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533</w:t>
            </w:r>
          </w:p>
        </w:tc>
        <w:tc>
          <w:tcPr>
            <w:tcW w:w="1276" w:type="dxa"/>
            <w:noWrap/>
            <w:hideMark/>
          </w:tcPr>
          <w:p w14:paraId="536970F7"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0</w:t>
            </w:r>
          </w:p>
        </w:tc>
        <w:tc>
          <w:tcPr>
            <w:tcW w:w="1589" w:type="dxa"/>
            <w:noWrap/>
            <w:hideMark/>
          </w:tcPr>
          <w:p w14:paraId="0F1F9C7C"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8183</w:t>
            </w:r>
          </w:p>
        </w:tc>
      </w:tr>
      <w:tr w:rsidR="00372B60" w:rsidRPr="00EE3B63" w14:paraId="549508E7" w14:textId="77777777" w:rsidTr="00C11129">
        <w:trPr>
          <w:trHeight w:val="300"/>
        </w:trPr>
        <w:tc>
          <w:tcPr>
            <w:tcW w:w="1129" w:type="dxa"/>
            <w:noWrap/>
            <w:hideMark/>
          </w:tcPr>
          <w:p w14:paraId="33C9CEC0"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S3</w:t>
            </w:r>
          </w:p>
        </w:tc>
        <w:tc>
          <w:tcPr>
            <w:tcW w:w="1701" w:type="dxa"/>
            <w:noWrap/>
            <w:hideMark/>
          </w:tcPr>
          <w:p w14:paraId="600D67CD"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1% noise</w:t>
            </w:r>
          </w:p>
        </w:tc>
        <w:tc>
          <w:tcPr>
            <w:tcW w:w="1701" w:type="dxa"/>
            <w:noWrap/>
            <w:hideMark/>
          </w:tcPr>
          <w:p w14:paraId="7D540B52"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1158</w:t>
            </w:r>
          </w:p>
        </w:tc>
        <w:tc>
          <w:tcPr>
            <w:tcW w:w="1843" w:type="dxa"/>
            <w:noWrap/>
            <w:hideMark/>
          </w:tcPr>
          <w:p w14:paraId="1C433F8E"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535</w:t>
            </w:r>
          </w:p>
        </w:tc>
        <w:tc>
          <w:tcPr>
            <w:tcW w:w="1276" w:type="dxa"/>
            <w:noWrap/>
            <w:hideMark/>
          </w:tcPr>
          <w:p w14:paraId="5AE9DA50"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88</w:t>
            </w:r>
          </w:p>
        </w:tc>
        <w:tc>
          <w:tcPr>
            <w:tcW w:w="1589" w:type="dxa"/>
            <w:noWrap/>
            <w:hideMark/>
          </w:tcPr>
          <w:p w14:paraId="586923F3"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8274</w:t>
            </w:r>
          </w:p>
        </w:tc>
      </w:tr>
      <w:tr w:rsidR="00372B60" w:rsidRPr="00EE3B63" w14:paraId="1DD87A4B" w14:textId="77777777" w:rsidTr="00C11129">
        <w:trPr>
          <w:trHeight w:val="300"/>
        </w:trPr>
        <w:tc>
          <w:tcPr>
            <w:tcW w:w="1129" w:type="dxa"/>
            <w:noWrap/>
            <w:hideMark/>
          </w:tcPr>
          <w:p w14:paraId="748367C5"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S3</w:t>
            </w:r>
          </w:p>
        </w:tc>
        <w:tc>
          <w:tcPr>
            <w:tcW w:w="1701" w:type="dxa"/>
            <w:noWrap/>
            <w:hideMark/>
          </w:tcPr>
          <w:p w14:paraId="7030F94F"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10% noise</w:t>
            </w:r>
          </w:p>
        </w:tc>
        <w:tc>
          <w:tcPr>
            <w:tcW w:w="1701" w:type="dxa"/>
            <w:noWrap/>
            <w:hideMark/>
          </w:tcPr>
          <w:p w14:paraId="21D93892"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1943</w:t>
            </w:r>
          </w:p>
        </w:tc>
        <w:tc>
          <w:tcPr>
            <w:tcW w:w="1843" w:type="dxa"/>
            <w:noWrap/>
            <w:hideMark/>
          </w:tcPr>
          <w:p w14:paraId="255C1008"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546</w:t>
            </w:r>
          </w:p>
        </w:tc>
        <w:tc>
          <w:tcPr>
            <w:tcW w:w="1276" w:type="dxa"/>
            <w:noWrap/>
            <w:hideMark/>
          </w:tcPr>
          <w:p w14:paraId="57DFD853"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851</w:t>
            </w:r>
          </w:p>
        </w:tc>
        <w:tc>
          <w:tcPr>
            <w:tcW w:w="1589" w:type="dxa"/>
            <w:noWrap/>
            <w:hideMark/>
          </w:tcPr>
          <w:p w14:paraId="417AC4B0"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8559</w:t>
            </w:r>
          </w:p>
        </w:tc>
      </w:tr>
      <w:tr w:rsidR="00372B60" w:rsidRPr="00EE3B63" w14:paraId="2CD839AC" w14:textId="77777777" w:rsidTr="00C11129">
        <w:trPr>
          <w:trHeight w:val="300"/>
        </w:trPr>
        <w:tc>
          <w:tcPr>
            <w:tcW w:w="1129" w:type="dxa"/>
            <w:noWrap/>
            <w:hideMark/>
          </w:tcPr>
          <w:p w14:paraId="14D8475F"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S4</w:t>
            </w:r>
          </w:p>
        </w:tc>
        <w:tc>
          <w:tcPr>
            <w:tcW w:w="1701" w:type="dxa"/>
            <w:noWrap/>
            <w:hideMark/>
          </w:tcPr>
          <w:p w14:paraId="4836BCDC"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No added noise</w:t>
            </w:r>
          </w:p>
        </w:tc>
        <w:tc>
          <w:tcPr>
            <w:tcW w:w="1701" w:type="dxa"/>
            <w:noWrap/>
            <w:hideMark/>
          </w:tcPr>
          <w:p w14:paraId="76F82A59"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1090</w:t>
            </w:r>
          </w:p>
        </w:tc>
        <w:tc>
          <w:tcPr>
            <w:tcW w:w="1843" w:type="dxa"/>
            <w:noWrap/>
            <w:hideMark/>
          </w:tcPr>
          <w:p w14:paraId="297D7DC9"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545</w:t>
            </w:r>
          </w:p>
        </w:tc>
        <w:tc>
          <w:tcPr>
            <w:tcW w:w="1276" w:type="dxa"/>
            <w:noWrap/>
            <w:hideMark/>
          </w:tcPr>
          <w:p w14:paraId="4E4F5FC3"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0</w:t>
            </w:r>
          </w:p>
        </w:tc>
        <w:tc>
          <w:tcPr>
            <w:tcW w:w="1589" w:type="dxa"/>
            <w:noWrap/>
            <w:hideMark/>
          </w:tcPr>
          <w:p w14:paraId="56198A37"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8107</w:t>
            </w:r>
          </w:p>
        </w:tc>
      </w:tr>
      <w:tr w:rsidR="00372B60" w:rsidRPr="00EE3B63" w14:paraId="3D064E29" w14:textId="77777777" w:rsidTr="00C11129">
        <w:trPr>
          <w:trHeight w:val="300"/>
        </w:trPr>
        <w:tc>
          <w:tcPr>
            <w:tcW w:w="1129" w:type="dxa"/>
            <w:noWrap/>
            <w:hideMark/>
          </w:tcPr>
          <w:p w14:paraId="7E293F37"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S4</w:t>
            </w:r>
          </w:p>
        </w:tc>
        <w:tc>
          <w:tcPr>
            <w:tcW w:w="1701" w:type="dxa"/>
            <w:noWrap/>
            <w:hideMark/>
          </w:tcPr>
          <w:p w14:paraId="0F6B28FB"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1% noise</w:t>
            </w:r>
          </w:p>
        </w:tc>
        <w:tc>
          <w:tcPr>
            <w:tcW w:w="1701" w:type="dxa"/>
            <w:noWrap/>
            <w:hideMark/>
          </w:tcPr>
          <w:p w14:paraId="1D0FCC60"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1164</w:t>
            </w:r>
          </w:p>
        </w:tc>
        <w:tc>
          <w:tcPr>
            <w:tcW w:w="1843" w:type="dxa"/>
            <w:noWrap/>
            <w:hideMark/>
          </w:tcPr>
          <w:p w14:paraId="02203248"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536</w:t>
            </w:r>
          </w:p>
        </w:tc>
        <w:tc>
          <w:tcPr>
            <w:tcW w:w="1276" w:type="dxa"/>
            <w:noWrap/>
            <w:hideMark/>
          </w:tcPr>
          <w:p w14:paraId="28359880"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92</w:t>
            </w:r>
          </w:p>
        </w:tc>
        <w:tc>
          <w:tcPr>
            <w:tcW w:w="1589" w:type="dxa"/>
            <w:noWrap/>
            <w:hideMark/>
          </w:tcPr>
          <w:p w14:paraId="2B281DA7"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7943</w:t>
            </w:r>
          </w:p>
        </w:tc>
      </w:tr>
      <w:tr w:rsidR="00372B60" w:rsidRPr="00EE3B63" w14:paraId="63AC6623" w14:textId="77777777" w:rsidTr="00C11129">
        <w:trPr>
          <w:trHeight w:val="300"/>
        </w:trPr>
        <w:tc>
          <w:tcPr>
            <w:tcW w:w="1129" w:type="dxa"/>
            <w:noWrap/>
            <w:hideMark/>
          </w:tcPr>
          <w:p w14:paraId="35F1411A"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S4</w:t>
            </w:r>
          </w:p>
        </w:tc>
        <w:tc>
          <w:tcPr>
            <w:tcW w:w="1701" w:type="dxa"/>
            <w:noWrap/>
            <w:hideMark/>
          </w:tcPr>
          <w:p w14:paraId="035B63DB"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10% noise</w:t>
            </w:r>
          </w:p>
        </w:tc>
        <w:tc>
          <w:tcPr>
            <w:tcW w:w="1701" w:type="dxa"/>
            <w:noWrap/>
            <w:hideMark/>
          </w:tcPr>
          <w:p w14:paraId="64128121"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1888</w:t>
            </w:r>
          </w:p>
        </w:tc>
        <w:tc>
          <w:tcPr>
            <w:tcW w:w="1843" w:type="dxa"/>
            <w:noWrap/>
            <w:hideMark/>
          </w:tcPr>
          <w:p w14:paraId="34F0AE26"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521</w:t>
            </w:r>
          </w:p>
        </w:tc>
        <w:tc>
          <w:tcPr>
            <w:tcW w:w="1276" w:type="dxa"/>
            <w:noWrap/>
            <w:hideMark/>
          </w:tcPr>
          <w:p w14:paraId="1055B582"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846</w:t>
            </w:r>
          </w:p>
        </w:tc>
        <w:tc>
          <w:tcPr>
            <w:tcW w:w="1589" w:type="dxa"/>
            <w:noWrap/>
            <w:hideMark/>
          </w:tcPr>
          <w:p w14:paraId="4320FD90"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7817</w:t>
            </w:r>
          </w:p>
        </w:tc>
      </w:tr>
      <w:tr w:rsidR="00372B60" w:rsidRPr="00EE3B63" w14:paraId="2CB7753A" w14:textId="77777777" w:rsidTr="00C11129">
        <w:trPr>
          <w:trHeight w:val="300"/>
        </w:trPr>
        <w:tc>
          <w:tcPr>
            <w:tcW w:w="1129" w:type="dxa"/>
            <w:noWrap/>
            <w:hideMark/>
          </w:tcPr>
          <w:p w14:paraId="67D72AF9"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S5</w:t>
            </w:r>
          </w:p>
        </w:tc>
        <w:tc>
          <w:tcPr>
            <w:tcW w:w="1701" w:type="dxa"/>
            <w:noWrap/>
            <w:hideMark/>
          </w:tcPr>
          <w:p w14:paraId="44987FA1"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No added noise</w:t>
            </w:r>
          </w:p>
        </w:tc>
        <w:tc>
          <w:tcPr>
            <w:tcW w:w="1701" w:type="dxa"/>
            <w:noWrap/>
            <w:hideMark/>
          </w:tcPr>
          <w:p w14:paraId="29650FEB"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1054</w:t>
            </w:r>
          </w:p>
        </w:tc>
        <w:tc>
          <w:tcPr>
            <w:tcW w:w="1843" w:type="dxa"/>
            <w:noWrap/>
            <w:hideMark/>
          </w:tcPr>
          <w:p w14:paraId="25206857"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527</w:t>
            </w:r>
          </w:p>
        </w:tc>
        <w:tc>
          <w:tcPr>
            <w:tcW w:w="1276" w:type="dxa"/>
            <w:noWrap/>
            <w:hideMark/>
          </w:tcPr>
          <w:p w14:paraId="674F8D65"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0</w:t>
            </w:r>
          </w:p>
        </w:tc>
        <w:tc>
          <w:tcPr>
            <w:tcW w:w="1589" w:type="dxa"/>
            <w:noWrap/>
            <w:hideMark/>
          </w:tcPr>
          <w:p w14:paraId="71F059F1"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12815</w:t>
            </w:r>
          </w:p>
        </w:tc>
      </w:tr>
      <w:tr w:rsidR="00372B60" w:rsidRPr="00EE3B63" w14:paraId="1B37C0E8" w14:textId="77777777" w:rsidTr="00C11129">
        <w:trPr>
          <w:trHeight w:val="300"/>
        </w:trPr>
        <w:tc>
          <w:tcPr>
            <w:tcW w:w="1129" w:type="dxa"/>
            <w:noWrap/>
            <w:hideMark/>
          </w:tcPr>
          <w:p w14:paraId="15190385"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S5</w:t>
            </w:r>
          </w:p>
        </w:tc>
        <w:tc>
          <w:tcPr>
            <w:tcW w:w="1701" w:type="dxa"/>
            <w:noWrap/>
            <w:hideMark/>
          </w:tcPr>
          <w:p w14:paraId="7BA8C9CC"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1% noise</w:t>
            </w:r>
          </w:p>
        </w:tc>
        <w:tc>
          <w:tcPr>
            <w:tcW w:w="1701" w:type="dxa"/>
            <w:noWrap/>
            <w:hideMark/>
          </w:tcPr>
          <w:p w14:paraId="15529810"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1149</w:t>
            </w:r>
          </w:p>
        </w:tc>
        <w:tc>
          <w:tcPr>
            <w:tcW w:w="1843" w:type="dxa"/>
            <w:noWrap/>
            <w:hideMark/>
          </w:tcPr>
          <w:p w14:paraId="1CA06885"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532</w:t>
            </w:r>
          </w:p>
        </w:tc>
        <w:tc>
          <w:tcPr>
            <w:tcW w:w="1276" w:type="dxa"/>
            <w:noWrap/>
            <w:hideMark/>
          </w:tcPr>
          <w:p w14:paraId="50D66D77"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85</w:t>
            </w:r>
          </w:p>
        </w:tc>
        <w:tc>
          <w:tcPr>
            <w:tcW w:w="1589" w:type="dxa"/>
            <w:noWrap/>
            <w:hideMark/>
          </w:tcPr>
          <w:p w14:paraId="4D323C15"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12619</w:t>
            </w:r>
          </w:p>
        </w:tc>
      </w:tr>
      <w:tr w:rsidR="00372B60" w:rsidRPr="00EE3B63" w14:paraId="46387C06" w14:textId="77777777" w:rsidTr="00C11129">
        <w:trPr>
          <w:trHeight w:val="300"/>
        </w:trPr>
        <w:tc>
          <w:tcPr>
            <w:tcW w:w="1129" w:type="dxa"/>
            <w:noWrap/>
            <w:hideMark/>
          </w:tcPr>
          <w:p w14:paraId="44F03E80"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S5</w:t>
            </w:r>
          </w:p>
        </w:tc>
        <w:tc>
          <w:tcPr>
            <w:tcW w:w="1701" w:type="dxa"/>
            <w:noWrap/>
            <w:hideMark/>
          </w:tcPr>
          <w:p w14:paraId="4F9A9382" w14:textId="77777777" w:rsidR="00372B60" w:rsidRPr="00F954B8" w:rsidRDefault="00372B60" w:rsidP="00C11129">
            <w:pPr>
              <w:jc w:val="center"/>
              <w:rPr>
                <w:rFonts w:ascii="Aptos Narrow" w:hAnsi="Aptos Narrow"/>
                <w:sz w:val="22"/>
                <w:szCs w:val="22"/>
                <w:lang w:val="en-GB"/>
              </w:rPr>
            </w:pPr>
            <w:r w:rsidRPr="00F954B8">
              <w:rPr>
                <w:rFonts w:ascii="Aptos Narrow" w:hAnsi="Aptos Narrow"/>
                <w:sz w:val="22"/>
                <w:szCs w:val="22"/>
                <w:lang w:val="en-GB"/>
              </w:rPr>
              <w:t>10% noise</w:t>
            </w:r>
          </w:p>
        </w:tc>
        <w:tc>
          <w:tcPr>
            <w:tcW w:w="1701" w:type="dxa"/>
            <w:noWrap/>
            <w:hideMark/>
          </w:tcPr>
          <w:p w14:paraId="7819C85A"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1924</w:t>
            </w:r>
          </w:p>
        </w:tc>
        <w:tc>
          <w:tcPr>
            <w:tcW w:w="1843" w:type="dxa"/>
            <w:noWrap/>
            <w:hideMark/>
          </w:tcPr>
          <w:p w14:paraId="102814A4"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538</w:t>
            </w:r>
          </w:p>
        </w:tc>
        <w:tc>
          <w:tcPr>
            <w:tcW w:w="1276" w:type="dxa"/>
            <w:noWrap/>
            <w:hideMark/>
          </w:tcPr>
          <w:p w14:paraId="6CAC9970"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848</w:t>
            </w:r>
          </w:p>
        </w:tc>
        <w:tc>
          <w:tcPr>
            <w:tcW w:w="1589" w:type="dxa"/>
            <w:noWrap/>
            <w:hideMark/>
          </w:tcPr>
          <w:p w14:paraId="348750EE" w14:textId="77777777" w:rsidR="00372B60" w:rsidRPr="001C4B05" w:rsidRDefault="00372B60" w:rsidP="00C11129">
            <w:pPr>
              <w:jc w:val="center"/>
              <w:rPr>
                <w:rFonts w:ascii="Aptos Narrow" w:hAnsi="Aptos Narrow"/>
                <w:sz w:val="22"/>
                <w:szCs w:val="22"/>
              </w:rPr>
            </w:pPr>
            <w:r w:rsidRPr="001C4B05">
              <w:rPr>
                <w:rFonts w:ascii="Aptos Narrow" w:hAnsi="Aptos Narrow"/>
                <w:sz w:val="22"/>
                <w:szCs w:val="22"/>
              </w:rPr>
              <w:t>12299</w:t>
            </w:r>
          </w:p>
        </w:tc>
      </w:tr>
    </w:tbl>
    <w:p w14:paraId="2B3DA115" w14:textId="77777777" w:rsidR="002C1314" w:rsidRDefault="002C1314" w:rsidP="00DE77C3">
      <w:pPr>
        <w:rPr>
          <w:b/>
          <w:bCs/>
          <w:sz w:val="32"/>
          <w:szCs w:val="32"/>
        </w:rPr>
      </w:pPr>
    </w:p>
    <w:sectPr w:rsidR="002C1314" w:rsidSect="002C5941">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19191" w14:textId="77777777" w:rsidR="00835BC3" w:rsidRDefault="00835BC3" w:rsidP="002C1314">
      <w:pPr>
        <w:spacing w:after="0" w:line="240" w:lineRule="auto"/>
      </w:pPr>
      <w:r>
        <w:separator/>
      </w:r>
    </w:p>
  </w:endnote>
  <w:endnote w:type="continuationSeparator" w:id="0">
    <w:p w14:paraId="09939D48" w14:textId="77777777" w:rsidR="00835BC3" w:rsidRDefault="00835BC3" w:rsidP="002C1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FAC9" w14:textId="77777777" w:rsidR="00BD0708" w:rsidRDefault="00BD07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974F4" w14:textId="77777777" w:rsidR="00835BC3" w:rsidRDefault="00835BC3" w:rsidP="002C1314">
      <w:pPr>
        <w:spacing w:after="0" w:line="240" w:lineRule="auto"/>
      </w:pPr>
      <w:r>
        <w:separator/>
      </w:r>
    </w:p>
  </w:footnote>
  <w:footnote w:type="continuationSeparator" w:id="0">
    <w:p w14:paraId="2C8358C6" w14:textId="77777777" w:rsidR="00835BC3" w:rsidRDefault="00835BC3" w:rsidP="002C1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52B1" w14:textId="77777777" w:rsidR="002C1314" w:rsidRDefault="002C1314" w:rsidP="002C1314">
    <w:pPr>
      <w:pStyle w:val="Koptekst"/>
    </w:pPr>
    <w:proofErr w:type="spellStart"/>
    <w:r>
      <w:t>Silljé</w:t>
    </w:r>
    <w:proofErr w:type="spellEnd"/>
    <w:r>
      <w:t xml:space="preserve"> et al., </w:t>
    </w:r>
    <w:r w:rsidRPr="005E3D2B">
      <w:t>MNVista: Accurate Identification of Multi-Nucleotide Variants from Next Generation Sequencing Data</w:t>
    </w:r>
  </w:p>
  <w:p w14:paraId="21CB37B4" w14:textId="77777777" w:rsidR="002C1314" w:rsidRDefault="002C131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72F"/>
    <w:rsid w:val="00004ABD"/>
    <w:rsid w:val="00013512"/>
    <w:rsid w:val="0001510D"/>
    <w:rsid w:val="00015A3C"/>
    <w:rsid w:val="000358AE"/>
    <w:rsid w:val="000410EB"/>
    <w:rsid w:val="00041362"/>
    <w:rsid w:val="00044AFE"/>
    <w:rsid w:val="00055DDB"/>
    <w:rsid w:val="00062777"/>
    <w:rsid w:val="00064EB1"/>
    <w:rsid w:val="0007052E"/>
    <w:rsid w:val="00073ADE"/>
    <w:rsid w:val="00083327"/>
    <w:rsid w:val="00091EE9"/>
    <w:rsid w:val="00093DF9"/>
    <w:rsid w:val="000A7831"/>
    <w:rsid w:val="000C3062"/>
    <w:rsid w:val="000D34D5"/>
    <w:rsid w:val="000E05E1"/>
    <w:rsid w:val="000F0175"/>
    <w:rsid w:val="001043ED"/>
    <w:rsid w:val="00131B07"/>
    <w:rsid w:val="00146B0B"/>
    <w:rsid w:val="00150BD9"/>
    <w:rsid w:val="0019171F"/>
    <w:rsid w:val="001A1CB0"/>
    <w:rsid w:val="001B467C"/>
    <w:rsid w:val="001C0BC8"/>
    <w:rsid w:val="001C4B05"/>
    <w:rsid w:val="001E489C"/>
    <w:rsid w:val="001E5426"/>
    <w:rsid w:val="001F6CF5"/>
    <w:rsid w:val="002341C2"/>
    <w:rsid w:val="00254269"/>
    <w:rsid w:val="00260BB6"/>
    <w:rsid w:val="002620E9"/>
    <w:rsid w:val="00276DC2"/>
    <w:rsid w:val="00286990"/>
    <w:rsid w:val="002876EE"/>
    <w:rsid w:val="00291E6A"/>
    <w:rsid w:val="002A33BF"/>
    <w:rsid w:val="002C1314"/>
    <w:rsid w:val="002C4285"/>
    <w:rsid w:val="002C5941"/>
    <w:rsid w:val="002D191A"/>
    <w:rsid w:val="00320406"/>
    <w:rsid w:val="00321C7F"/>
    <w:rsid w:val="00332AE9"/>
    <w:rsid w:val="003342C3"/>
    <w:rsid w:val="00336D09"/>
    <w:rsid w:val="00357CA6"/>
    <w:rsid w:val="00367A6A"/>
    <w:rsid w:val="00371158"/>
    <w:rsid w:val="00372ACC"/>
    <w:rsid w:val="00372B60"/>
    <w:rsid w:val="00376610"/>
    <w:rsid w:val="003811A3"/>
    <w:rsid w:val="00381430"/>
    <w:rsid w:val="003935DC"/>
    <w:rsid w:val="003C6DA9"/>
    <w:rsid w:val="003D1218"/>
    <w:rsid w:val="003D3E30"/>
    <w:rsid w:val="003E5C38"/>
    <w:rsid w:val="003F36C1"/>
    <w:rsid w:val="00413314"/>
    <w:rsid w:val="0041403C"/>
    <w:rsid w:val="004438C7"/>
    <w:rsid w:val="00443E67"/>
    <w:rsid w:val="0045523A"/>
    <w:rsid w:val="00463A44"/>
    <w:rsid w:val="0047476D"/>
    <w:rsid w:val="004B70B9"/>
    <w:rsid w:val="004B7CB3"/>
    <w:rsid w:val="004D602A"/>
    <w:rsid w:val="004E38B7"/>
    <w:rsid w:val="00504287"/>
    <w:rsid w:val="00511878"/>
    <w:rsid w:val="00511D5F"/>
    <w:rsid w:val="00522AC3"/>
    <w:rsid w:val="0052466E"/>
    <w:rsid w:val="00526654"/>
    <w:rsid w:val="0054612A"/>
    <w:rsid w:val="0055344B"/>
    <w:rsid w:val="005665D0"/>
    <w:rsid w:val="00582197"/>
    <w:rsid w:val="005828FD"/>
    <w:rsid w:val="0058724F"/>
    <w:rsid w:val="005928FB"/>
    <w:rsid w:val="005A714F"/>
    <w:rsid w:val="005B0985"/>
    <w:rsid w:val="005B0D1B"/>
    <w:rsid w:val="005C35F6"/>
    <w:rsid w:val="005C51E1"/>
    <w:rsid w:val="005D3B24"/>
    <w:rsid w:val="005D75AB"/>
    <w:rsid w:val="005E3988"/>
    <w:rsid w:val="005E3D2B"/>
    <w:rsid w:val="005F080A"/>
    <w:rsid w:val="005F18B7"/>
    <w:rsid w:val="0060203F"/>
    <w:rsid w:val="006048AE"/>
    <w:rsid w:val="00604A87"/>
    <w:rsid w:val="00605E6D"/>
    <w:rsid w:val="00611E54"/>
    <w:rsid w:val="00642C79"/>
    <w:rsid w:val="00645C0F"/>
    <w:rsid w:val="006625BC"/>
    <w:rsid w:val="00662EAF"/>
    <w:rsid w:val="00675F5E"/>
    <w:rsid w:val="00692B92"/>
    <w:rsid w:val="00694E0D"/>
    <w:rsid w:val="00695132"/>
    <w:rsid w:val="006A1EC4"/>
    <w:rsid w:val="006B22C5"/>
    <w:rsid w:val="006B51FF"/>
    <w:rsid w:val="006D321C"/>
    <w:rsid w:val="006E2FA8"/>
    <w:rsid w:val="006F6C0B"/>
    <w:rsid w:val="0070270C"/>
    <w:rsid w:val="007045DE"/>
    <w:rsid w:val="007161D6"/>
    <w:rsid w:val="00716AF8"/>
    <w:rsid w:val="00720E47"/>
    <w:rsid w:val="00732692"/>
    <w:rsid w:val="00733860"/>
    <w:rsid w:val="007343E2"/>
    <w:rsid w:val="00735541"/>
    <w:rsid w:val="007360EF"/>
    <w:rsid w:val="00746220"/>
    <w:rsid w:val="007469C9"/>
    <w:rsid w:val="00747940"/>
    <w:rsid w:val="007665B3"/>
    <w:rsid w:val="007748DC"/>
    <w:rsid w:val="00786F04"/>
    <w:rsid w:val="00790CF1"/>
    <w:rsid w:val="007A0AC7"/>
    <w:rsid w:val="007A43FD"/>
    <w:rsid w:val="007B3B60"/>
    <w:rsid w:val="007C3ECC"/>
    <w:rsid w:val="007E3FF1"/>
    <w:rsid w:val="00805908"/>
    <w:rsid w:val="00822EAF"/>
    <w:rsid w:val="00835BC3"/>
    <w:rsid w:val="00837151"/>
    <w:rsid w:val="008554CC"/>
    <w:rsid w:val="00860B48"/>
    <w:rsid w:val="00872E50"/>
    <w:rsid w:val="00875DA3"/>
    <w:rsid w:val="008764C4"/>
    <w:rsid w:val="0088126D"/>
    <w:rsid w:val="00886C92"/>
    <w:rsid w:val="008946FD"/>
    <w:rsid w:val="00897B28"/>
    <w:rsid w:val="008A71A3"/>
    <w:rsid w:val="008B58BF"/>
    <w:rsid w:val="008D146F"/>
    <w:rsid w:val="008E112D"/>
    <w:rsid w:val="008F2228"/>
    <w:rsid w:val="008F2DAB"/>
    <w:rsid w:val="00903716"/>
    <w:rsid w:val="00910EA5"/>
    <w:rsid w:val="0092373F"/>
    <w:rsid w:val="00934358"/>
    <w:rsid w:val="0093503B"/>
    <w:rsid w:val="00942ABE"/>
    <w:rsid w:val="009461A1"/>
    <w:rsid w:val="00946268"/>
    <w:rsid w:val="00947BAD"/>
    <w:rsid w:val="00953C9B"/>
    <w:rsid w:val="00957283"/>
    <w:rsid w:val="00957559"/>
    <w:rsid w:val="00970484"/>
    <w:rsid w:val="009813DC"/>
    <w:rsid w:val="00990B21"/>
    <w:rsid w:val="00991E78"/>
    <w:rsid w:val="00997A96"/>
    <w:rsid w:val="009B274A"/>
    <w:rsid w:val="009B35BC"/>
    <w:rsid w:val="009B3634"/>
    <w:rsid w:val="009B73FC"/>
    <w:rsid w:val="009C0CB9"/>
    <w:rsid w:val="009C5724"/>
    <w:rsid w:val="009E03E3"/>
    <w:rsid w:val="009F4311"/>
    <w:rsid w:val="009F49D9"/>
    <w:rsid w:val="009F4E74"/>
    <w:rsid w:val="009F63BB"/>
    <w:rsid w:val="00A10C48"/>
    <w:rsid w:val="00A13F77"/>
    <w:rsid w:val="00A16910"/>
    <w:rsid w:val="00A17393"/>
    <w:rsid w:val="00A21375"/>
    <w:rsid w:val="00A24A6C"/>
    <w:rsid w:val="00A66AAE"/>
    <w:rsid w:val="00A7768E"/>
    <w:rsid w:val="00A80B13"/>
    <w:rsid w:val="00A9228F"/>
    <w:rsid w:val="00AC5658"/>
    <w:rsid w:val="00AC7EB8"/>
    <w:rsid w:val="00AD0D01"/>
    <w:rsid w:val="00AE272F"/>
    <w:rsid w:val="00AE380A"/>
    <w:rsid w:val="00AE3A92"/>
    <w:rsid w:val="00AE588D"/>
    <w:rsid w:val="00B1053A"/>
    <w:rsid w:val="00B12B2F"/>
    <w:rsid w:val="00B140FC"/>
    <w:rsid w:val="00B37A84"/>
    <w:rsid w:val="00B432B3"/>
    <w:rsid w:val="00B6731E"/>
    <w:rsid w:val="00B72B53"/>
    <w:rsid w:val="00B80715"/>
    <w:rsid w:val="00B85ED1"/>
    <w:rsid w:val="00BB6258"/>
    <w:rsid w:val="00BC1A15"/>
    <w:rsid w:val="00BC748A"/>
    <w:rsid w:val="00BD0708"/>
    <w:rsid w:val="00BD0C67"/>
    <w:rsid w:val="00BF0C2D"/>
    <w:rsid w:val="00C020A7"/>
    <w:rsid w:val="00C07719"/>
    <w:rsid w:val="00C2720E"/>
    <w:rsid w:val="00C30E14"/>
    <w:rsid w:val="00C32A9B"/>
    <w:rsid w:val="00C36928"/>
    <w:rsid w:val="00C41E8E"/>
    <w:rsid w:val="00C518AE"/>
    <w:rsid w:val="00C529E9"/>
    <w:rsid w:val="00C625D0"/>
    <w:rsid w:val="00C63D1C"/>
    <w:rsid w:val="00C8526F"/>
    <w:rsid w:val="00C92A81"/>
    <w:rsid w:val="00C94E1C"/>
    <w:rsid w:val="00CA021B"/>
    <w:rsid w:val="00CB2AAB"/>
    <w:rsid w:val="00CB6D00"/>
    <w:rsid w:val="00CC4CB0"/>
    <w:rsid w:val="00CC54F1"/>
    <w:rsid w:val="00CE48B4"/>
    <w:rsid w:val="00D036EE"/>
    <w:rsid w:val="00D04201"/>
    <w:rsid w:val="00D0758B"/>
    <w:rsid w:val="00D117F3"/>
    <w:rsid w:val="00D162C9"/>
    <w:rsid w:val="00D21611"/>
    <w:rsid w:val="00D27E58"/>
    <w:rsid w:val="00D47197"/>
    <w:rsid w:val="00D61D2D"/>
    <w:rsid w:val="00D62893"/>
    <w:rsid w:val="00D66E87"/>
    <w:rsid w:val="00D7498F"/>
    <w:rsid w:val="00D81257"/>
    <w:rsid w:val="00D82C28"/>
    <w:rsid w:val="00DC5645"/>
    <w:rsid w:val="00DD58F8"/>
    <w:rsid w:val="00DE77C3"/>
    <w:rsid w:val="00DF3FDD"/>
    <w:rsid w:val="00DF4E6D"/>
    <w:rsid w:val="00E136DE"/>
    <w:rsid w:val="00E20BAD"/>
    <w:rsid w:val="00E26C29"/>
    <w:rsid w:val="00E34BD5"/>
    <w:rsid w:val="00E47A62"/>
    <w:rsid w:val="00E5657B"/>
    <w:rsid w:val="00E62737"/>
    <w:rsid w:val="00E664D5"/>
    <w:rsid w:val="00E80C5B"/>
    <w:rsid w:val="00EB0599"/>
    <w:rsid w:val="00EB0F11"/>
    <w:rsid w:val="00EB2417"/>
    <w:rsid w:val="00EB6580"/>
    <w:rsid w:val="00EB70D0"/>
    <w:rsid w:val="00EC24C2"/>
    <w:rsid w:val="00EC25B9"/>
    <w:rsid w:val="00EC386A"/>
    <w:rsid w:val="00EC63CB"/>
    <w:rsid w:val="00EE3B63"/>
    <w:rsid w:val="00EE3F63"/>
    <w:rsid w:val="00EF5DC2"/>
    <w:rsid w:val="00F02BDE"/>
    <w:rsid w:val="00F0345F"/>
    <w:rsid w:val="00F129E4"/>
    <w:rsid w:val="00F21C2F"/>
    <w:rsid w:val="00F23FF9"/>
    <w:rsid w:val="00F270B3"/>
    <w:rsid w:val="00F431BC"/>
    <w:rsid w:val="00F44C0D"/>
    <w:rsid w:val="00F53CAE"/>
    <w:rsid w:val="00F731FA"/>
    <w:rsid w:val="00F755A3"/>
    <w:rsid w:val="00F954B8"/>
    <w:rsid w:val="00F95AB3"/>
    <w:rsid w:val="00F979ED"/>
    <w:rsid w:val="00FB06DA"/>
    <w:rsid w:val="00FC5943"/>
    <w:rsid w:val="00FC5CE8"/>
    <w:rsid w:val="00FD7C9A"/>
    <w:rsid w:val="00FE07EE"/>
    <w:rsid w:val="00FF1633"/>
    <w:rsid w:val="00FF2F89"/>
    <w:rsid w:val="02892B34"/>
    <w:rsid w:val="1722AC9D"/>
    <w:rsid w:val="1B64702C"/>
    <w:rsid w:val="25F1046D"/>
    <w:rsid w:val="47ABF98D"/>
    <w:rsid w:val="52ADDD4A"/>
    <w:rsid w:val="575D8B78"/>
    <w:rsid w:val="5C2EAB9E"/>
    <w:rsid w:val="683759EE"/>
    <w:rsid w:val="6914888E"/>
    <w:rsid w:val="6D43084A"/>
    <w:rsid w:val="72F58DFE"/>
    <w:rsid w:val="7687756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19AB1"/>
  <w15:chartTrackingRefBased/>
  <w15:docId w15:val="{7AE5F4E4-A07F-4962-A8E4-C26DF73A3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2B60"/>
    <w:rPr>
      <w:kern w:val="2"/>
    </w:rPr>
  </w:style>
  <w:style w:type="paragraph" w:styleId="Kop1">
    <w:name w:val="heading 1"/>
    <w:basedOn w:val="Standaard"/>
    <w:next w:val="Standaard"/>
    <w:link w:val="Kop1Char"/>
    <w:uiPriority w:val="9"/>
    <w:qFormat/>
    <w:rsid w:val="00AE27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AE27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AE272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E272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E272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E272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272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272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272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272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AE272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AE272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E272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E272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E272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272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272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272F"/>
    <w:rPr>
      <w:rFonts w:eastAsiaTheme="majorEastAsia" w:cstheme="majorBidi"/>
      <w:color w:val="272727" w:themeColor="text1" w:themeTint="D8"/>
    </w:rPr>
  </w:style>
  <w:style w:type="paragraph" w:styleId="Titel">
    <w:name w:val="Title"/>
    <w:basedOn w:val="Standaard"/>
    <w:next w:val="Standaard"/>
    <w:link w:val="TitelChar"/>
    <w:uiPriority w:val="10"/>
    <w:qFormat/>
    <w:rsid w:val="00AE2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272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272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272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272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E272F"/>
    <w:rPr>
      <w:i/>
      <w:iCs/>
      <w:color w:val="404040" w:themeColor="text1" w:themeTint="BF"/>
    </w:rPr>
  </w:style>
  <w:style w:type="paragraph" w:styleId="Lijstalinea">
    <w:name w:val="List Paragraph"/>
    <w:basedOn w:val="Standaard"/>
    <w:uiPriority w:val="34"/>
    <w:qFormat/>
    <w:rsid w:val="00AE272F"/>
    <w:pPr>
      <w:ind w:left="720"/>
      <w:contextualSpacing/>
    </w:pPr>
  </w:style>
  <w:style w:type="character" w:styleId="Intensievebenadrukking">
    <w:name w:val="Intense Emphasis"/>
    <w:basedOn w:val="Standaardalinea-lettertype"/>
    <w:uiPriority w:val="21"/>
    <w:qFormat/>
    <w:rsid w:val="00AE272F"/>
    <w:rPr>
      <w:i/>
      <w:iCs/>
      <w:color w:val="2F5496" w:themeColor="accent1" w:themeShade="BF"/>
    </w:rPr>
  </w:style>
  <w:style w:type="paragraph" w:styleId="Duidelijkcitaat">
    <w:name w:val="Intense Quote"/>
    <w:basedOn w:val="Standaard"/>
    <w:next w:val="Standaard"/>
    <w:link w:val="DuidelijkcitaatChar"/>
    <w:uiPriority w:val="30"/>
    <w:qFormat/>
    <w:rsid w:val="00AE27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E272F"/>
    <w:rPr>
      <w:i/>
      <w:iCs/>
      <w:color w:val="2F5496" w:themeColor="accent1" w:themeShade="BF"/>
    </w:rPr>
  </w:style>
  <w:style w:type="character" w:styleId="Intensieveverwijzing">
    <w:name w:val="Intense Reference"/>
    <w:basedOn w:val="Standaardalinea-lettertype"/>
    <w:uiPriority w:val="32"/>
    <w:qFormat/>
    <w:rsid w:val="00AE272F"/>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522AC3"/>
    <w:rPr>
      <w:sz w:val="16"/>
      <w:szCs w:val="16"/>
    </w:rPr>
  </w:style>
  <w:style w:type="paragraph" w:styleId="Tekstopmerking">
    <w:name w:val="annotation text"/>
    <w:basedOn w:val="Standaard"/>
    <w:link w:val="TekstopmerkingChar"/>
    <w:uiPriority w:val="99"/>
    <w:unhideWhenUsed/>
    <w:rsid w:val="00522AC3"/>
    <w:pPr>
      <w:spacing w:line="240" w:lineRule="auto"/>
    </w:pPr>
    <w:rPr>
      <w:sz w:val="20"/>
      <w:szCs w:val="20"/>
    </w:rPr>
  </w:style>
  <w:style w:type="character" w:customStyle="1" w:styleId="TekstopmerkingChar">
    <w:name w:val="Tekst opmerking Char"/>
    <w:basedOn w:val="Standaardalinea-lettertype"/>
    <w:link w:val="Tekstopmerking"/>
    <w:uiPriority w:val="99"/>
    <w:rsid w:val="00522AC3"/>
    <w:rPr>
      <w:kern w:val="2"/>
      <w:sz w:val="20"/>
      <w:szCs w:val="20"/>
    </w:rPr>
  </w:style>
  <w:style w:type="paragraph" w:styleId="Onderwerpvanopmerking">
    <w:name w:val="annotation subject"/>
    <w:basedOn w:val="Tekstopmerking"/>
    <w:next w:val="Tekstopmerking"/>
    <w:link w:val="OnderwerpvanopmerkingChar"/>
    <w:uiPriority w:val="99"/>
    <w:semiHidden/>
    <w:unhideWhenUsed/>
    <w:rsid w:val="00522AC3"/>
    <w:rPr>
      <w:b/>
      <w:bCs/>
    </w:rPr>
  </w:style>
  <w:style w:type="character" w:customStyle="1" w:styleId="OnderwerpvanopmerkingChar">
    <w:name w:val="Onderwerp van opmerking Char"/>
    <w:basedOn w:val="TekstopmerkingChar"/>
    <w:link w:val="Onderwerpvanopmerking"/>
    <w:uiPriority w:val="99"/>
    <w:semiHidden/>
    <w:rsid w:val="00522AC3"/>
    <w:rPr>
      <w:b/>
      <w:bCs/>
      <w:kern w:val="2"/>
      <w:sz w:val="20"/>
      <w:szCs w:val="20"/>
    </w:rPr>
  </w:style>
  <w:style w:type="paragraph" w:styleId="Kopvaninhoudsopgave">
    <w:name w:val="TOC Heading"/>
    <w:basedOn w:val="Kop1"/>
    <w:next w:val="Standaard"/>
    <w:uiPriority w:val="39"/>
    <w:unhideWhenUsed/>
    <w:qFormat/>
    <w:rsid w:val="00C020A7"/>
    <w:pPr>
      <w:spacing w:before="240" w:after="0" w:line="259" w:lineRule="auto"/>
      <w:outlineLvl w:val="9"/>
    </w:pPr>
    <w:rPr>
      <w:kern w:val="0"/>
      <w:sz w:val="32"/>
      <w:szCs w:val="32"/>
      <w14:ligatures w14:val="none"/>
    </w:rPr>
  </w:style>
  <w:style w:type="paragraph" w:styleId="Inhopg1">
    <w:name w:val="toc 1"/>
    <w:basedOn w:val="Standaard"/>
    <w:next w:val="Standaard"/>
    <w:autoRedefine/>
    <w:uiPriority w:val="39"/>
    <w:unhideWhenUsed/>
    <w:rsid w:val="00C020A7"/>
    <w:pPr>
      <w:spacing w:after="100"/>
    </w:pPr>
  </w:style>
  <w:style w:type="character" w:styleId="Hyperlink">
    <w:name w:val="Hyperlink"/>
    <w:basedOn w:val="Standaardalinea-lettertype"/>
    <w:uiPriority w:val="99"/>
    <w:unhideWhenUsed/>
    <w:rsid w:val="00C020A7"/>
    <w:rPr>
      <w:color w:val="0563C1" w:themeColor="hyperlink"/>
      <w:u w:val="single"/>
    </w:rPr>
  </w:style>
  <w:style w:type="paragraph" w:styleId="Revisie">
    <w:name w:val="Revision"/>
    <w:hidden/>
    <w:uiPriority w:val="99"/>
    <w:semiHidden/>
    <w:rsid w:val="00B85ED1"/>
    <w:pPr>
      <w:spacing w:after="0" w:line="240" w:lineRule="auto"/>
    </w:pPr>
    <w:rPr>
      <w:kern w:val="2"/>
    </w:rPr>
  </w:style>
  <w:style w:type="paragraph" w:styleId="Bijschrift">
    <w:name w:val="caption"/>
    <w:basedOn w:val="Standaard"/>
    <w:next w:val="Standaard"/>
    <w:uiPriority w:val="35"/>
    <w:unhideWhenUsed/>
    <w:qFormat/>
    <w:rsid w:val="00A21375"/>
    <w:pPr>
      <w:spacing w:after="200" w:line="240" w:lineRule="auto"/>
    </w:pPr>
    <w:rPr>
      <w:i/>
      <w:iCs/>
      <w:color w:val="44546A" w:themeColor="text2"/>
      <w:sz w:val="18"/>
      <w:szCs w:val="18"/>
    </w:rPr>
  </w:style>
  <w:style w:type="paragraph" w:customStyle="1" w:styleId="SuppFigTable">
    <w:name w:val="SuppFigTable"/>
    <w:basedOn w:val="Standaard"/>
    <w:link w:val="SuppFigTableChar"/>
    <w:qFormat/>
    <w:rsid w:val="00A21375"/>
    <w:pPr>
      <w:outlineLvl w:val="1"/>
    </w:pPr>
    <w:rPr>
      <w:b/>
      <w:bCs/>
    </w:rPr>
  </w:style>
  <w:style w:type="character" w:customStyle="1" w:styleId="SuppFigTableChar">
    <w:name w:val="SuppFigTable Char"/>
    <w:basedOn w:val="Standaardalinea-lettertype"/>
    <w:link w:val="SuppFigTable"/>
    <w:rsid w:val="00A21375"/>
    <w:rPr>
      <w:b/>
      <w:bCs/>
      <w:kern w:val="2"/>
    </w:rPr>
  </w:style>
  <w:style w:type="paragraph" w:styleId="Inhopg2">
    <w:name w:val="toc 2"/>
    <w:basedOn w:val="Standaard"/>
    <w:next w:val="Standaard"/>
    <w:autoRedefine/>
    <w:uiPriority w:val="39"/>
    <w:unhideWhenUsed/>
    <w:rsid w:val="00A21375"/>
    <w:pPr>
      <w:spacing w:after="100"/>
      <w:ind w:left="240"/>
    </w:pPr>
  </w:style>
  <w:style w:type="table" w:styleId="Tabelraster">
    <w:name w:val="Table Grid"/>
    <w:basedOn w:val="Standaardtabel"/>
    <w:uiPriority w:val="39"/>
    <w:rsid w:val="00D82C28"/>
    <w:pPr>
      <w:spacing w:after="0" w:line="240" w:lineRule="auto"/>
    </w:pPr>
    <w:rPr>
      <w:kern w:val="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e">
    <w:name w:val="Bibliography"/>
    <w:basedOn w:val="Standaard"/>
    <w:next w:val="Standaard"/>
    <w:uiPriority w:val="37"/>
    <w:unhideWhenUsed/>
    <w:rsid w:val="00D82C28"/>
  </w:style>
  <w:style w:type="paragraph" w:styleId="Inhopg3">
    <w:name w:val="toc 3"/>
    <w:basedOn w:val="Standaard"/>
    <w:next w:val="Standaard"/>
    <w:autoRedefine/>
    <w:uiPriority w:val="39"/>
    <w:unhideWhenUsed/>
    <w:rsid w:val="00D82C28"/>
    <w:pPr>
      <w:spacing w:after="100"/>
      <w:ind w:left="480"/>
    </w:pPr>
  </w:style>
  <w:style w:type="paragraph" w:styleId="Koptekst">
    <w:name w:val="header"/>
    <w:basedOn w:val="Standaard"/>
    <w:link w:val="KoptekstChar"/>
    <w:uiPriority w:val="99"/>
    <w:unhideWhenUsed/>
    <w:rsid w:val="002C1314"/>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2C1314"/>
    <w:rPr>
      <w:kern w:val="2"/>
    </w:rPr>
  </w:style>
  <w:style w:type="paragraph" w:styleId="Voettekst">
    <w:name w:val="footer"/>
    <w:basedOn w:val="Standaard"/>
    <w:link w:val="VoettekstChar"/>
    <w:uiPriority w:val="99"/>
    <w:unhideWhenUsed/>
    <w:rsid w:val="002C1314"/>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2C1314"/>
    <w:rPr>
      <w:kern w:val="2"/>
    </w:rPr>
  </w:style>
  <w:style w:type="character" w:styleId="Onopgelostemelding">
    <w:name w:val="Unresolved Mention"/>
    <w:basedOn w:val="Standaardalinea-lettertype"/>
    <w:uiPriority w:val="99"/>
    <w:semiHidden/>
    <w:unhideWhenUsed/>
    <w:rsid w:val="00602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48729">
      <w:bodyDiv w:val="1"/>
      <w:marLeft w:val="0"/>
      <w:marRight w:val="0"/>
      <w:marTop w:val="0"/>
      <w:marBottom w:val="0"/>
      <w:divBdr>
        <w:top w:val="none" w:sz="0" w:space="0" w:color="auto"/>
        <w:left w:val="none" w:sz="0" w:space="0" w:color="auto"/>
        <w:bottom w:val="none" w:sz="0" w:space="0" w:color="auto"/>
        <w:right w:val="none" w:sz="0" w:space="0" w:color="auto"/>
      </w:divBdr>
    </w:div>
    <w:div w:id="472911942">
      <w:bodyDiv w:val="1"/>
      <w:marLeft w:val="0"/>
      <w:marRight w:val="0"/>
      <w:marTop w:val="0"/>
      <w:marBottom w:val="0"/>
      <w:divBdr>
        <w:top w:val="none" w:sz="0" w:space="0" w:color="auto"/>
        <w:left w:val="none" w:sz="0" w:space="0" w:color="auto"/>
        <w:bottom w:val="none" w:sz="0" w:space="0" w:color="auto"/>
        <w:right w:val="none" w:sz="0" w:space="0" w:color="auto"/>
      </w:divBdr>
    </w:div>
    <w:div w:id="554128146">
      <w:bodyDiv w:val="1"/>
      <w:marLeft w:val="0"/>
      <w:marRight w:val="0"/>
      <w:marTop w:val="0"/>
      <w:marBottom w:val="0"/>
      <w:divBdr>
        <w:top w:val="none" w:sz="0" w:space="0" w:color="auto"/>
        <w:left w:val="none" w:sz="0" w:space="0" w:color="auto"/>
        <w:bottom w:val="none" w:sz="0" w:space="0" w:color="auto"/>
        <w:right w:val="none" w:sz="0" w:space="0" w:color="auto"/>
      </w:divBdr>
    </w:div>
    <w:div w:id="657080734">
      <w:bodyDiv w:val="1"/>
      <w:marLeft w:val="0"/>
      <w:marRight w:val="0"/>
      <w:marTop w:val="0"/>
      <w:marBottom w:val="0"/>
      <w:divBdr>
        <w:top w:val="none" w:sz="0" w:space="0" w:color="auto"/>
        <w:left w:val="none" w:sz="0" w:space="0" w:color="auto"/>
        <w:bottom w:val="none" w:sz="0" w:space="0" w:color="auto"/>
        <w:right w:val="none" w:sz="0" w:space="0" w:color="auto"/>
      </w:divBdr>
    </w:div>
    <w:div w:id="705102883">
      <w:bodyDiv w:val="1"/>
      <w:marLeft w:val="0"/>
      <w:marRight w:val="0"/>
      <w:marTop w:val="0"/>
      <w:marBottom w:val="0"/>
      <w:divBdr>
        <w:top w:val="none" w:sz="0" w:space="0" w:color="auto"/>
        <w:left w:val="none" w:sz="0" w:space="0" w:color="auto"/>
        <w:bottom w:val="none" w:sz="0" w:space="0" w:color="auto"/>
        <w:right w:val="none" w:sz="0" w:space="0" w:color="auto"/>
      </w:divBdr>
    </w:div>
    <w:div w:id="791440934">
      <w:bodyDiv w:val="1"/>
      <w:marLeft w:val="0"/>
      <w:marRight w:val="0"/>
      <w:marTop w:val="0"/>
      <w:marBottom w:val="0"/>
      <w:divBdr>
        <w:top w:val="none" w:sz="0" w:space="0" w:color="auto"/>
        <w:left w:val="none" w:sz="0" w:space="0" w:color="auto"/>
        <w:bottom w:val="none" w:sz="0" w:space="0" w:color="auto"/>
        <w:right w:val="none" w:sz="0" w:space="0" w:color="auto"/>
      </w:divBdr>
    </w:div>
    <w:div w:id="1482235618">
      <w:bodyDiv w:val="1"/>
      <w:marLeft w:val="0"/>
      <w:marRight w:val="0"/>
      <w:marTop w:val="0"/>
      <w:marBottom w:val="0"/>
      <w:divBdr>
        <w:top w:val="none" w:sz="0" w:space="0" w:color="auto"/>
        <w:left w:val="none" w:sz="0" w:space="0" w:color="auto"/>
        <w:bottom w:val="none" w:sz="0" w:space="0" w:color="auto"/>
        <w:right w:val="none" w:sz="0" w:space="0" w:color="auto"/>
      </w:divBdr>
    </w:div>
    <w:div w:id="1490318292">
      <w:bodyDiv w:val="1"/>
      <w:marLeft w:val="0"/>
      <w:marRight w:val="0"/>
      <w:marTop w:val="0"/>
      <w:marBottom w:val="0"/>
      <w:divBdr>
        <w:top w:val="none" w:sz="0" w:space="0" w:color="auto"/>
        <w:left w:val="none" w:sz="0" w:space="0" w:color="auto"/>
        <w:bottom w:val="none" w:sz="0" w:space="0" w:color="auto"/>
        <w:right w:val="none" w:sz="0" w:space="0" w:color="auto"/>
      </w:divBdr>
    </w:div>
    <w:div w:id="1511025596">
      <w:bodyDiv w:val="1"/>
      <w:marLeft w:val="0"/>
      <w:marRight w:val="0"/>
      <w:marTop w:val="0"/>
      <w:marBottom w:val="0"/>
      <w:divBdr>
        <w:top w:val="none" w:sz="0" w:space="0" w:color="auto"/>
        <w:left w:val="none" w:sz="0" w:space="0" w:color="auto"/>
        <w:bottom w:val="none" w:sz="0" w:space="0" w:color="auto"/>
        <w:right w:val="none" w:sz="0" w:space="0" w:color="auto"/>
      </w:divBdr>
    </w:div>
    <w:div w:id="1517957711">
      <w:bodyDiv w:val="1"/>
      <w:marLeft w:val="0"/>
      <w:marRight w:val="0"/>
      <w:marTop w:val="0"/>
      <w:marBottom w:val="0"/>
      <w:divBdr>
        <w:top w:val="none" w:sz="0" w:space="0" w:color="auto"/>
        <w:left w:val="none" w:sz="0" w:space="0" w:color="auto"/>
        <w:bottom w:val="none" w:sz="0" w:space="0" w:color="auto"/>
        <w:right w:val="none" w:sz="0" w:space="0" w:color="auto"/>
      </w:divBdr>
    </w:div>
    <w:div w:id="1785735987">
      <w:bodyDiv w:val="1"/>
      <w:marLeft w:val="0"/>
      <w:marRight w:val="0"/>
      <w:marTop w:val="0"/>
      <w:marBottom w:val="0"/>
      <w:divBdr>
        <w:top w:val="none" w:sz="0" w:space="0" w:color="auto"/>
        <w:left w:val="none" w:sz="0" w:space="0" w:color="auto"/>
        <w:bottom w:val="none" w:sz="0" w:space="0" w:color="auto"/>
        <w:right w:val="none" w:sz="0" w:space="0" w:color="auto"/>
      </w:divBdr>
    </w:div>
    <w:div w:id="1877696013">
      <w:bodyDiv w:val="1"/>
      <w:marLeft w:val="0"/>
      <w:marRight w:val="0"/>
      <w:marTop w:val="0"/>
      <w:marBottom w:val="0"/>
      <w:divBdr>
        <w:top w:val="none" w:sz="0" w:space="0" w:color="auto"/>
        <w:left w:val="none" w:sz="0" w:space="0" w:color="auto"/>
        <w:bottom w:val="none" w:sz="0" w:space="0" w:color="auto"/>
        <w:right w:val="none" w:sz="0" w:space="0" w:color="auto"/>
      </w:divBdr>
    </w:div>
    <w:div w:id="211081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00318ADBED644787D5A6AAFE79384B" ma:contentTypeVersion="16" ma:contentTypeDescription="Create a new document." ma:contentTypeScope="" ma:versionID="f27ddbad3bf5d96d55a46a3297b035c6">
  <xsd:schema xmlns:xsd="http://www.w3.org/2001/XMLSchema" xmlns:xs="http://www.w3.org/2001/XMLSchema" xmlns:p="http://schemas.microsoft.com/office/2006/metadata/properties" xmlns:ns2="e5a02ee0-6695-44c2-9fc5-1cfa8f1af8a8" xmlns:ns3="5f9a5d67-514a-4822-8bf3-7944ef2ab75e" targetNamespace="http://schemas.microsoft.com/office/2006/metadata/properties" ma:root="true" ma:fieldsID="d7d537ea006ed3ec71055603a1ec6580" ns2:_="" ns3:_="">
    <xsd:import namespace="e5a02ee0-6695-44c2-9fc5-1cfa8f1af8a8"/>
    <xsd:import namespace="5f9a5d67-514a-4822-8bf3-7944ef2ab75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02ee0-6695-44c2-9fc5-1cfa8f1af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9a5d67-514a-4822-8bf3-7944ef2ab75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f0ac897-3458-454e-894a-4fa7de106fa8}" ma:internalName="TaxCatchAll" ma:showField="CatchAllData" ma:web="5f9a5d67-514a-4822-8bf3-7944ef2ab75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a02ee0-6695-44c2-9fc5-1cfa8f1af8a8">
      <Terms xmlns="http://schemas.microsoft.com/office/infopath/2007/PartnerControls"/>
    </lcf76f155ced4ddcb4097134ff3c332f>
    <TaxCatchAll xmlns="5f9a5d67-514a-4822-8bf3-7944ef2ab75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6F4885F56A32D479CCEDBE75689D73C" ma:contentTypeVersion="18" ma:contentTypeDescription="Create a new document." ma:contentTypeScope="" ma:versionID="50e20375a06456bee01a559d029977d8">
  <xsd:schema xmlns:xsd="http://www.w3.org/2001/XMLSchema" xmlns:xs="http://www.w3.org/2001/XMLSchema" xmlns:p="http://schemas.microsoft.com/office/2006/metadata/properties" xmlns:ns3="49504a35-d530-4516-bf1a-a6bcb68287c9" xmlns:ns4="98599ae3-870e-4b78-a03c-aaf44807a648" targetNamespace="http://schemas.microsoft.com/office/2006/metadata/properties" ma:root="true" ma:fieldsID="a938db1ea4fb6c0be62c3e2a29c059f4" ns3:_="" ns4:_="">
    <xsd:import namespace="49504a35-d530-4516-bf1a-a6bcb68287c9"/>
    <xsd:import namespace="98599ae3-870e-4b78-a03c-aaf44807a6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04a35-d530-4516-bf1a-a6bcb6828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99ae3-870e-4b78-a03c-aaf44807a6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Vancouver.XSL" StyleName="Vancouver" Version="1">
  <b:Source>
    <b:Tag>Ger</b:Tag>
    <b:SourceType>Book</b:SourceType>
    <b:Guid>{81D8CE65-DDD4-42BA-ACB0-2D4F6530881B}</b:Guid>
    <b:Author>
      <b:Author>
        <b:NameList>
          <b:Person>
            <b:Last>Van der Auwera</b:Last>
            <b:First>GA.</b:First>
          </b:Person>
          <b:Person>
            <b:Last>O'Connor</b:Last>
            <b:First>BD</b:First>
          </b:Person>
        </b:NameList>
      </b:Author>
    </b:Author>
    <b:Title>Genomics in the Cloud: Using Docker, GATK, and WDL in Terra</b:Title>
    <b:Year>2020</b:Year>
    <b:Publisher>O'Reilly Media</b:Publisher>
    <b:Edition>1st</b:Edition>
    <b:RefOrder>1</b:RefOrder>
  </b:Source>
</b:Sources>
</file>

<file path=customXml/itemProps1.xml><?xml version="1.0" encoding="utf-8"?>
<ds:datastoreItem xmlns:ds="http://schemas.openxmlformats.org/officeDocument/2006/customXml" ds:itemID="{88E3D377-BF75-4B98-9087-1A8DEE306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02ee0-6695-44c2-9fc5-1cfa8f1af8a8"/>
    <ds:schemaRef ds:uri="5f9a5d67-514a-4822-8bf3-7944ef2ab7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BEB06B-AE72-4865-A0F9-79B3C09844AA}">
  <ds:schemaRefs>
    <ds:schemaRef ds:uri="http://schemas.microsoft.com/sharepoint/v3/contenttype/forms"/>
  </ds:schemaRefs>
</ds:datastoreItem>
</file>

<file path=customXml/itemProps3.xml><?xml version="1.0" encoding="utf-8"?>
<ds:datastoreItem xmlns:ds="http://schemas.openxmlformats.org/officeDocument/2006/customXml" ds:itemID="{255AD200-8D6A-4CD6-A4AA-DBA91CBF166A}">
  <ds:schemaRefs>
    <ds:schemaRef ds:uri="http://schemas.microsoft.com/office/2006/metadata/properties"/>
    <ds:schemaRef ds:uri="http://schemas.microsoft.com/office/infopath/2007/PartnerControls"/>
    <ds:schemaRef ds:uri="e5a02ee0-6695-44c2-9fc5-1cfa8f1af8a8"/>
    <ds:schemaRef ds:uri="5f9a5d67-514a-4822-8bf3-7944ef2ab75e"/>
  </ds:schemaRefs>
</ds:datastoreItem>
</file>

<file path=customXml/itemProps4.xml><?xml version="1.0" encoding="utf-8"?>
<ds:datastoreItem xmlns:ds="http://schemas.openxmlformats.org/officeDocument/2006/customXml" ds:itemID="{2ED3C462-3454-4572-BADE-ECD05F061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04a35-d530-4516-bf1a-a6bcb68287c9"/>
    <ds:schemaRef ds:uri="98599ae3-870e-4b78-a03c-aaf44807a6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667551A-A638-44EF-A544-A42085F11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2693</Words>
  <Characters>15356</Characters>
  <Application>Microsoft Office Word</Application>
  <DocSecurity>0</DocSecurity>
  <Lines>127</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Laurens S</dc:creator>
  <cp:keywords/>
  <dc:description/>
  <cp:lastModifiedBy>Veltmaat, N (onco)</cp:lastModifiedBy>
  <cp:revision>7</cp:revision>
  <dcterms:created xsi:type="dcterms:W3CDTF">2026-09-28T12:16:00Z</dcterms:created>
  <dcterms:modified xsi:type="dcterms:W3CDTF">2026-09-28T12:19:00Z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0x010100C500318ADBED644787D5A6AAFE79384B</vt:lpwstr>
  </property>
  <property fmtid="{D5CDD505-2E9C-101B-9397-08002B2CF9AE}" pid="3" name="MediaServiceImageTags">
    <vt:lpwstr/>
  </property>
</Properties>
</file>