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16FADC" w14:textId="77777777" w:rsidR="0057234A" w:rsidRPr="0058034C" w:rsidRDefault="0057234A" w:rsidP="0057234A">
      <w:pPr>
        <w:spacing w:line="480" w:lineRule="auto"/>
        <w:jc w:val="center"/>
        <w:rPr>
          <w:rFonts w:ascii="Times New Roman" w:hAnsi="Times New Roman" w:cs="Times New Roman"/>
          <w:sz w:val="24"/>
          <w:szCs w:val="24"/>
        </w:rPr>
      </w:pPr>
      <w:r w:rsidRPr="008F77DB">
        <w:rPr>
          <w:rFonts w:ascii="Times New Roman" w:eastAsia="Times New Roman" w:hAnsi="Times New Roman" w:cs="Times New Roman"/>
          <w:b/>
          <w:bCs/>
          <w:sz w:val="24"/>
          <w:szCs w:val="24"/>
          <w:lang w:val="en-US"/>
        </w:rPr>
        <w:t>Comparison of size distribution and (</w:t>
      </w:r>
      <w:bookmarkStart w:id="0" w:name="_Hlk45293590"/>
      <w:r>
        <w:rPr>
          <w:rFonts w:ascii="Times New Roman" w:eastAsia="Times New Roman" w:hAnsi="Times New Roman" w:cs="Times New Roman"/>
          <w:b/>
          <w:bCs/>
          <w:sz w:val="24"/>
          <w:szCs w:val="24"/>
          <w:lang w:val="en-US"/>
        </w:rPr>
        <w:t>Pro</w:t>
      </w:r>
      <w:r w:rsidRPr="008F77DB">
        <w:rPr>
          <w:rFonts w:ascii="Times New Roman" w:eastAsia="Times New Roman" w:hAnsi="Times New Roman" w:cs="Times New Roman"/>
          <w:b/>
          <w:bCs/>
          <w:sz w:val="24"/>
          <w:szCs w:val="24"/>
          <w:lang w:val="en-US"/>
        </w:rPr>
        <w:t>249-</w:t>
      </w:r>
      <w:r>
        <w:rPr>
          <w:rFonts w:ascii="Times New Roman" w:eastAsia="Times New Roman" w:hAnsi="Times New Roman" w:cs="Times New Roman"/>
          <w:b/>
          <w:bCs/>
          <w:sz w:val="24"/>
          <w:szCs w:val="24"/>
          <w:lang w:val="en-US"/>
        </w:rPr>
        <w:t>Ser</w:t>
      </w:r>
      <w:r w:rsidRPr="008F77DB">
        <w:rPr>
          <w:rFonts w:ascii="Times New Roman" w:eastAsia="Times New Roman" w:hAnsi="Times New Roman" w:cs="Times New Roman"/>
          <w:b/>
          <w:bCs/>
          <w:sz w:val="24"/>
          <w:szCs w:val="24"/>
          <w:lang w:val="en-US"/>
        </w:rPr>
        <w:t>258</w:t>
      </w:r>
      <w:bookmarkEnd w:id="0"/>
      <w:r w:rsidRPr="008F77DB">
        <w:rPr>
          <w:rFonts w:ascii="Times New Roman" w:eastAsia="Times New Roman" w:hAnsi="Times New Roman" w:cs="Times New Roman"/>
          <w:b/>
          <w:bCs/>
          <w:sz w:val="24"/>
          <w:szCs w:val="24"/>
          <w:lang w:val="en-US"/>
        </w:rPr>
        <w:t xml:space="preserve">) epitope exposure in </w:t>
      </w:r>
      <w:r w:rsidRPr="0042137C">
        <w:rPr>
          <w:rFonts w:ascii="Times New Roman" w:eastAsia="Times New Roman" w:hAnsi="Times New Roman" w:cs="Times New Roman"/>
          <w:b/>
          <w:bCs/>
          <w:i/>
          <w:iCs/>
          <w:sz w:val="24"/>
          <w:szCs w:val="24"/>
          <w:lang w:val="en-US"/>
        </w:rPr>
        <w:t>in vitro</w:t>
      </w:r>
      <w:r>
        <w:rPr>
          <w:rFonts w:ascii="Times New Roman" w:eastAsia="Times New Roman" w:hAnsi="Times New Roman" w:cs="Times New Roman"/>
          <w:b/>
          <w:bCs/>
          <w:sz w:val="24"/>
          <w:szCs w:val="24"/>
          <w:lang w:val="en-US"/>
        </w:rPr>
        <w:t xml:space="preserve"> and </w:t>
      </w:r>
      <w:r w:rsidRPr="0042137C">
        <w:rPr>
          <w:rFonts w:ascii="Times New Roman" w:eastAsia="Times New Roman" w:hAnsi="Times New Roman" w:cs="Times New Roman"/>
          <w:b/>
          <w:bCs/>
          <w:i/>
          <w:iCs/>
          <w:sz w:val="24"/>
          <w:szCs w:val="24"/>
          <w:lang w:val="en-US"/>
        </w:rPr>
        <w:t>in vivo</w:t>
      </w:r>
      <w:r>
        <w:rPr>
          <w:rFonts w:ascii="Times New Roman" w:eastAsia="Times New Roman" w:hAnsi="Times New Roman" w:cs="Times New Roman"/>
          <w:b/>
          <w:bCs/>
          <w:sz w:val="24"/>
          <w:szCs w:val="24"/>
          <w:lang w:val="en-US"/>
        </w:rPr>
        <w:t xml:space="preserve"> derived </w:t>
      </w:r>
      <w:r w:rsidRPr="008F77DB">
        <w:rPr>
          <w:rFonts w:ascii="Times New Roman" w:eastAsia="Times New Roman" w:hAnsi="Times New Roman" w:cs="Times New Roman"/>
          <w:b/>
          <w:bCs/>
          <w:sz w:val="24"/>
          <w:szCs w:val="24"/>
          <w:lang w:val="en-US"/>
        </w:rPr>
        <w:t>Tau fibrils</w:t>
      </w:r>
    </w:p>
    <w:p w14:paraId="27DD9B67" w14:textId="124788EF" w:rsidR="004B68F3" w:rsidRPr="0058034C" w:rsidRDefault="004B68F3" w:rsidP="004B68F3">
      <w:pPr>
        <w:spacing w:line="480" w:lineRule="auto"/>
        <w:jc w:val="both"/>
        <w:rPr>
          <w:rFonts w:ascii="Times New Roman" w:hAnsi="Times New Roman" w:cs="Times New Roman"/>
          <w:b/>
          <w:sz w:val="24"/>
          <w:szCs w:val="24"/>
          <w:vertAlign w:val="superscript"/>
          <w:lang w:val="pt-PT"/>
        </w:rPr>
      </w:pPr>
      <w:bookmarkStart w:id="1" w:name="_GoBack"/>
      <w:bookmarkEnd w:id="1"/>
      <w:r w:rsidRPr="0058034C">
        <w:rPr>
          <w:rFonts w:ascii="Times New Roman" w:hAnsi="Times New Roman" w:cs="Times New Roman"/>
          <w:b/>
          <w:sz w:val="24"/>
          <w:szCs w:val="24"/>
          <w:lang w:val="pt-PT"/>
        </w:rPr>
        <w:t>André Marreiro</w:t>
      </w:r>
      <w:r w:rsidRPr="0058034C">
        <w:rPr>
          <w:rFonts w:ascii="Times New Roman" w:hAnsi="Times New Roman" w:cs="Times New Roman"/>
          <w:b/>
          <w:sz w:val="24"/>
          <w:szCs w:val="24"/>
          <w:vertAlign w:val="superscript"/>
          <w:lang w:val="pt-PT"/>
        </w:rPr>
        <w:t>1,2</w:t>
      </w:r>
      <w:r w:rsidRPr="0058034C">
        <w:rPr>
          <w:rFonts w:ascii="Times New Roman" w:hAnsi="Times New Roman" w:cs="Times New Roman"/>
          <w:b/>
          <w:sz w:val="24"/>
          <w:szCs w:val="24"/>
          <w:lang w:val="pt-PT"/>
        </w:rPr>
        <w:t>, Kristof Van Kolen</w:t>
      </w:r>
      <w:r w:rsidRPr="0058034C">
        <w:rPr>
          <w:rFonts w:ascii="Times New Roman" w:hAnsi="Times New Roman" w:cs="Times New Roman"/>
          <w:b/>
          <w:sz w:val="24"/>
          <w:szCs w:val="24"/>
          <w:vertAlign w:val="superscript"/>
          <w:lang w:val="pt-PT"/>
        </w:rPr>
        <w:t>1</w:t>
      </w:r>
      <w:r w:rsidR="0058034C">
        <w:rPr>
          <w:rFonts w:ascii="Times New Roman" w:hAnsi="Times New Roman" w:cs="Times New Roman"/>
          <w:b/>
          <w:sz w:val="24"/>
          <w:szCs w:val="24"/>
          <w:vertAlign w:val="superscript"/>
          <w:lang w:val="pt-PT"/>
        </w:rPr>
        <w:t>,*</w:t>
      </w:r>
      <w:r w:rsidRPr="0058034C">
        <w:rPr>
          <w:rFonts w:ascii="Times New Roman" w:hAnsi="Times New Roman" w:cs="Times New Roman"/>
          <w:b/>
          <w:sz w:val="24"/>
          <w:szCs w:val="24"/>
          <w:lang w:val="pt-PT"/>
        </w:rPr>
        <w:t>, Cristiano Sousa</w:t>
      </w:r>
      <w:r w:rsidRPr="0058034C">
        <w:rPr>
          <w:rFonts w:ascii="Times New Roman" w:hAnsi="Times New Roman" w:cs="Times New Roman"/>
          <w:b/>
          <w:sz w:val="24"/>
          <w:szCs w:val="24"/>
          <w:vertAlign w:val="superscript"/>
          <w:lang w:val="pt-PT"/>
        </w:rPr>
        <w:t>1</w:t>
      </w:r>
      <w:r w:rsidRPr="0058034C">
        <w:rPr>
          <w:rFonts w:ascii="Times New Roman" w:hAnsi="Times New Roman" w:cs="Times New Roman"/>
          <w:b/>
          <w:sz w:val="24"/>
          <w:szCs w:val="24"/>
          <w:lang w:val="pt-PT"/>
        </w:rPr>
        <w:t>, Liesbet Temmerman</w:t>
      </w:r>
      <w:r w:rsidRPr="0058034C">
        <w:rPr>
          <w:rFonts w:ascii="Times New Roman" w:hAnsi="Times New Roman" w:cs="Times New Roman"/>
          <w:b/>
          <w:sz w:val="24"/>
          <w:szCs w:val="24"/>
          <w:vertAlign w:val="superscript"/>
          <w:lang w:val="pt-PT"/>
        </w:rPr>
        <w:t>2</w:t>
      </w:r>
      <w:r w:rsidRPr="0058034C">
        <w:rPr>
          <w:rFonts w:ascii="Times New Roman" w:hAnsi="Times New Roman" w:cs="Times New Roman"/>
          <w:b/>
          <w:sz w:val="24"/>
          <w:szCs w:val="24"/>
          <w:lang w:val="pt-PT"/>
        </w:rPr>
        <w:t>, Bruno Vasconcelos</w:t>
      </w:r>
      <w:r w:rsidRPr="0058034C">
        <w:rPr>
          <w:rFonts w:ascii="Times New Roman" w:hAnsi="Times New Roman" w:cs="Times New Roman"/>
          <w:b/>
          <w:sz w:val="24"/>
          <w:szCs w:val="24"/>
          <w:vertAlign w:val="superscript"/>
          <w:lang w:val="pt-PT"/>
        </w:rPr>
        <w:t>1</w:t>
      </w:r>
      <w:r w:rsidRPr="0058034C">
        <w:rPr>
          <w:rFonts w:ascii="Times New Roman" w:hAnsi="Times New Roman" w:cs="Times New Roman"/>
          <w:b/>
          <w:sz w:val="24"/>
          <w:szCs w:val="24"/>
          <w:lang w:val="pt-PT"/>
        </w:rPr>
        <w:t>, Rosa Crespo Rodriguez</w:t>
      </w:r>
      <w:r w:rsidRPr="0058034C">
        <w:rPr>
          <w:rFonts w:ascii="Times New Roman" w:hAnsi="Times New Roman" w:cs="Times New Roman"/>
          <w:b/>
          <w:sz w:val="24"/>
          <w:szCs w:val="24"/>
          <w:vertAlign w:val="superscript"/>
          <w:lang w:val="pt-PT"/>
        </w:rPr>
        <w:t>3</w:t>
      </w:r>
      <w:r w:rsidR="0058034C" w:rsidRPr="0058034C">
        <w:rPr>
          <w:rFonts w:ascii="Times New Roman" w:hAnsi="Times New Roman" w:cs="Times New Roman"/>
          <w:b/>
          <w:sz w:val="24"/>
          <w:szCs w:val="24"/>
          <w:vertAlign w:val="superscript"/>
          <w:lang w:val="pt-PT"/>
        </w:rPr>
        <w:t>, 4</w:t>
      </w:r>
      <w:r w:rsidRPr="0058034C">
        <w:rPr>
          <w:rFonts w:ascii="Times New Roman" w:hAnsi="Times New Roman" w:cs="Times New Roman"/>
          <w:b/>
          <w:sz w:val="24"/>
          <w:szCs w:val="24"/>
          <w:lang w:val="pt-PT"/>
        </w:rPr>
        <w:t xml:space="preserve">, </w:t>
      </w:r>
      <w:r w:rsidR="00D46487" w:rsidRPr="0058034C">
        <w:rPr>
          <w:rFonts w:ascii="Times New Roman" w:hAnsi="Times New Roman" w:cs="Times New Roman"/>
          <w:b/>
          <w:sz w:val="24"/>
          <w:szCs w:val="24"/>
          <w:lang w:val="pt-PT"/>
        </w:rPr>
        <w:t>Jan R.T. van Weering</w:t>
      </w:r>
      <w:r w:rsidR="0058034C" w:rsidRPr="0058034C">
        <w:rPr>
          <w:rFonts w:ascii="Times New Roman" w:hAnsi="Times New Roman" w:cs="Times New Roman"/>
          <w:b/>
          <w:sz w:val="24"/>
          <w:szCs w:val="24"/>
          <w:vertAlign w:val="superscript"/>
          <w:lang w:val="pt-PT"/>
        </w:rPr>
        <w:t>5</w:t>
      </w:r>
      <w:r w:rsidR="00D46487" w:rsidRPr="0058034C">
        <w:rPr>
          <w:rFonts w:ascii="Times New Roman" w:hAnsi="Times New Roman" w:cs="Times New Roman"/>
          <w:b/>
          <w:sz w:val="24"/>
          <w:szCs w:val="24"/>
          <w:lang w:val="pt-PT"/>
        </w:rPr>
        <w:t xml:space="preserve">, </w:t>
      </w:r>
      <w:r w:rsidRPr="0058034C">
        <w:rPr>
          <w:rFonts w:ascii="Times New Roman" w:hAnsi="Times New Roman" w:cs="Times New Roman"/>
          <w:b/>
          <w:sz w:val="24"/>
          <w:szCs w:val="24"/>
          <w:lang w:val="pt-PT"/>
        </w:rPr>
        <w:t>Debby Van Dam</w:t>
      </w:r>
      <w:r w:rsidR="0058034C" w:rsidRPr="0058034C">
        <w:rPr>
          <w:rFonts w:ascii="Times New Roman" w:hAnsi="Times New Roman" w:cs="Times New Roman"/>
          <w:b/>
          <w:sz w:val="24"/>
          <w:szCs w:val="24"/>
          <w:vertAlign w:val="superscript"/>
          <w:lang w:val="pt-PT"/>
        </w:rPr>
        <w:t>6</w:t>
      </w:r>
      <w:r w:rsidRPr="0058034C">
        <w:rPr>
          <w:rFonts w:ascii="Times New Roman" w:hAnsi="Times New Roman" w:cs="Times New Roman"/>
          <w:b/>
          <w:sz w:val="24"/>
          <w:szCs w:val="24"/>
          <w:lang w:val="pt-PT"/>
        </w:rPr>
        <w:t>, Peter P De Deyn</w:t>
      </w:r>
      <w:r w:rsidR="0058034C" w:rsidRPr="0058034C">
        <w:rPr>
          <w:rFonts w:ascii="Times New Roman" w:hAnsi="Times New Roman" w:cs="Times New Roman"/>
          <w:b/>
          <w:sz w:val="24"/>
          <w:szCs w:val="24"/>
          <w:vertAlign w:val="superscript"/>
          <w:lang w:val="pt-PT"/>
        </w:rPr>
        <w:t>6-9</w:t>
      </w:r>
      <w:r w:rsidRPr="0058034C">
        <w:rPr>
          <w:rFonts w:ascii="Times New Roman" w:hAnsi="Times New Roman" w:cs="Times New Roman"/>
          <w:b/>
          <w:sz w:val="24"/>
          <w:szCs w:val="24"/>
          <w:lang w:val="pt-PT"/>
        </w:rPr>
        <w:t>, Adrian Apetri</w:t>
      </w:r>
      <w:r w:rsidRPr="0058034C">
        <w:rPr>
          <w:rFonts w:ascii="Times New Roman" w:hAnsi="Times New Roman" w:cs="Times New Roman"/>
          <w:b/>
          <w:sz w:val="24"/>
          <w:szCs w:val="24"/>
          <w:vertAlign w:val="superscript"/>
          <w:lang w:val="pt-PT"/>
        </w:rPr>
        <w:t>3</w:t>
      </w:r>
      <w:r w:rsidRPr="0058034C">
        <w:rPr>
          <w:rFonts w:ascii="Times New Roman" w:hAnsi="Times New Roman" w:cs="Times New Roman"/>
          <w:b/>
          <w:sz w:val="24"/>
          <w:szCs w:val="24"/>
          <w:lang w:val="pt-PT"/>
        </w:rPr>
        <w:t>, Liliane Schoofs</w:t>
      </w:r>
      <w:r w:rsidRPr="0058034C">
        <w:rPr>
          <w:rFonts w:ascii="Times New Roman" w:hAnsi="Times New Roman" w:cs="Times New Roman"/>
          <w:b/>
          <w:sz w:val="24"/>
          <w:szCs w:val="24"/>
          <w:vertAlign w:val="superscript"/>
          <w:lang w:val="pt-PT"/>
        </w:rPr>
        <w:t>2</w:t>
      </w:r>
      <w:r w:rsidRPr="0058034C">
        <w:rPr>
          <w:rFonts w:ascii="Times New Roman" w:hAnsi="Times New Roman" w:cs="Times New Roman"/>
          <w:b/>
          <w:sz w:val="24"/>
          <w:szCs w:val="24"/>
          <w:lang w:val="pt-PT"/>
        </w:rPr>
        <w:t>, Marc Mercken</w:t>
      </w:r>
      <w:r w:rsidRPr="0058034C">
        <w:rPr>
          <w:rFonts w:ascii="Times New Roman" w:hAnsi="Times New Roman" w:cs="Times New Roman"/>
          <w:b/>
          <w:sz w:val="24"/>
          <w:szCs w:val="24"/>
          <w:vertAlign w:val="superscript"/>
          <w:lang w:val="pt-PT"/>
        </w:rPr>
        <w:t>1</w:t>
      </w:r>
    </w:p>
    <w:p w14:paraId="30AFFB0B" w14:textId="77777777" w:rsidR="004B68F3" w:rsidRPr="004B68F3" w:rsidRDefault="004B68F3" w:rsidP="005A1F9E">
      <w:pPr>
        <w:spacing w:line="240" w:lineRule="auto"/>
        <w:jc w:val="both"/>
        <w:rPr>
          <w:rFonts w:ascii="Times New Roman" w:hAnsi="Times New Roman" w:cs="Times New Roman"/>
          <w:sz w:val="24"/>
          <w:szCs w:val="24"/>
        </w:rPr>
      </w:pPr>
      <w:r w:rsidRPr="004B68F3">
        <w:rPr>
          <w:rFonts w:ascii="Times New Roman" w:hAnsi="Times New Roman" w:cs="Times New Roman"/>
          <w:sz w:val="24"/>
          <w:szCs w:val="24"/>
          <w:vertAlign w:val="superscript"/>
        </w:rPr>
        <w:t>1</w:t>
      </w:r>
      <w:r w:rsidRPr="004B68F3">
        <w:rPr>
          <w:rFonts w:ascii="Times New Roman" w:hAnsi="Times New Roman" w:cs="Times New Roman"/>
          <w:sz w:val="24"/>
          <w:szCs w:val="24"/>
        </w:rPr>
        <w:t xml:space="preserve"> Neuroscience department, Janssen Pharmaceutical Companies of Johnson and Johnson, 2340 Beerse, Belgium</w:t>
      </w:r>
    </w:p>
    <w:p w14:paraId="6A3EA325" w14:textId="3FBBD45C" w:rsidR="004B68F3" w:rsidRPr="004B68F3" w:rsidRDefault="004B68F3" w:rsidP="005A1F9E">
      <w:pPr>
        <w:pStyle w:val="NormalWeb"/>
        <w:shd w:val="clear" w:color="auto" w:fill="FFFFFF"/>
        <w:spacing w:before="0" w:beforeAutospacing="0" w:after="0"/>
      </w:pPr>
      <w:r w:rsidRPr="004B68F3">
        <w:rPr>
          <w:vertAlign w:val="superscript"/>
        </w:rPr>
        <w:t>2</w:t>
      </w:r>
      <w:r w:rsidRPr="004B68F3">
        <w:t xml:space="preserve"> Animal Physiology and Neurobiology,</w:t>
      </w:r>
      <w:r w:rsidRPr="004B68F3">
        <w:rPr>
          <w:lang w:val="en-US"/>
        </w:rPr>
        <w:t xml:space="preserve"> </w:t>
      </w:r>
      <w:proofErr w:type="spellStart"/>
      <w:r w:rsidRPr="004B68F3">
        <w:rPr>
          <w:lang w:val="en-US"/>
        </w:rPr>
        <w:t>KULeuven</w:t>
      </w:r>
      <w:proofErr w:type="spellEnd"/>
      <w:r>
        <w:rPr>
          <w:lang w:val="en-US"/>
        </w:rPr>
        <w:t>.</w:t>
      </w:r>
      <w:r w:rsidRPr="004B68F3">
        <w:t xml:space="preserve"> </w:t>
      </w:r>
      <w:proofErr w:type="spellStart"/>
      <w:r w:rsidRPr="004B68F3">
        <w:t>Naamsestraat</w:t>
      </w:r>
      <w:proofErr w:type="spellEnd"/>
      <w:r w:rsidRPr="004B68F3">
        <w:t xml:space="preserve"> 59</w:t>
      </w:r>
      <w:r w:rsidRPr="004B68F3">
        <w:rPr>
          <w:lang w:val="en-US"/>
        </w:rPr>
        <w:t>, 3</w:t>
      </w:r>
      <w:r w:rsidRPr="004B68F3">
        <w:t>000 Leuven</w:t>
      </w:r>
      <w:r w:rsidRPr="004B68F3">
        <w:rPr>
          <w:lang w:val="en-US"/>
        </w:rPr>
        <w:t xml:space="preserve">, </w:t>
      </w:r>
      <w:r w:rsidRPr="004B68F3">
        <w:t>Belgium</w:t>
      </w:r>
      <w:r w:rsidRPr="004B68F3">
        <w:rPr>
          <w:lang w:val="en-US"/>
        </w:rPr>
        <w:t xml:space="preserve">. </w:t>
      </w:r>
    </w:p>
    <w:p w14:paraId="0005AD98" w14:textId="68001370" w:rsidR="004B68F3" w:rsidRDefault="004B68F3" w:rsidP="005A1F9E">
      <w:pPr>
        <w:spacing w:line="240" w:lineRule="auto"/>
        <w:jc w:val="both"/>
        <w:rPr>
          <w:rFonts w:ascii="Times New Roman" w:hAnsi="Times New Roman" w:cs="Times New Roman"/>
          <w:sz w:val="24"/>
          <w:szCs w:val="24"/>
        </w:rPr>
      </w:pPr>
      <w:r w:rsidRPr="004B68F3">
        <w:rPr>
          <w:rFonts w:ascii="Times New Roman" w:hAnsi="Times New Roman" w:cs="Times New Roman"/>
          <w:sz w:val="24"/>
          <w:szCs w:val="24"/>
          <w:vertAlign w:val="superscript"/>
        </w:rPr>
        <w:t>3</w:t>
      </w:r>
      <w:r w:rsidRPr="004B68F3">
        <w:rPr>
          <w:rFonts w:ascii="Times New Roman" w:hAnsi="Times New Roman" w:cs="Times New Roman"/>
          <w:sz w:val="24"/>
          <w:szCs w:val="24"/>
        </w:rPr>
        <w:t xml:space="preserve"> Janssen Prevention Center, Janssen Pharmaceutical Companies of Johnson &amp; Johnson, </w:t>
      </w:r>
      <w:proofErr w:type="spellStart"/>
      <w:r w:rsidRPr="004B68F3">
        <w:rPr>
          <w:rFonts w:ascii="Times New Roman" w:hAnsi="Times New Roman" w:cs="Times New Roman"/>
          <w:sz w:val="24"/>
          <w:szCs w:val="24"/>
        </w:rPr>
        <w:t>Archimedesweg</w:t>
      </w:r>
      <w:proofErr w:type="spellEnd"/>
      <w:r w:rsidRPr="004B68F3">
        <w:rPr>
          <w:rFonts w:ascii="Times New Roman" w:hAnsi="Times New Roman" w:cs="Times New Roman"/>
          <w:sz w:val="24"/>
          <w:szCs w:val="24"/>
        </w:rPr>
        <w:t xml:space="preserve"> 6, 2333 CN, Leiden, The Netherlands.</w:t>
      </w:r>
    </w:p>
    <w:p w14:paraId="65F6942A" w14:textId="33CB34FA" w:rsidR="0058034C" w:rsidRDefault="0058034C" w:rsidP="005A1F9E">
      <w:pPr>
        <w:spacing w:line="240" w:lineRule="auto"/>
        <w:jc w:val="both"/>
        <w:rPr>
          <w:rFonts w:ascii="Times New Roman" w:hAnsi="Times New Roman" w:cs="Times New Roman"/>
          <w:sz w:val="24"/>
          <w:szCs w:val="24"/>
        </w:rPr>
      </w:pPr>
      <w:r w:rsidRPr="0058034C">
        <w:rPr>
          <w:rFonts w:ascii="Times New Roman" w:hAnsi="Times New Roman" w:cs="Times New Roman"/>
          <w:sz w:val="24"/>
          <w:szCs w:val="24"/>
          <w:vertAlign w:val="superscript"/>
          <w:lang w:val="en-US"/>
        </w:rPr>
        <w:t>4</w:t>
      </w:r>
      <w:r>
        <w:rPr>
          <w:rFonts w:ascii="Times New Roman" w:hAnsi="Times New Roman" w:cs="Times New Roman"/>
          <w:sz w:val="24"/>
          <w:szCs w:val="24"/>
          <w:lang w:val="en-US"/>
        </w:rPr>
        <w:t xml:space="preserve"> </w:t>
      </w:r>
      <w:r w:rsidRPr="0058034C">
        <w:rPr>
          <w:rFonts w:ascii="Times New Roman" w:hAnsi="Times New Roman" w:cs="Times New Roman"/>
          <w:sz w:val="24"/>
          <w:szCs w:val="24"/>
        </w:rPr>
        <w:t>Neurochemistry Lab, Clinical Chemistry department of the Amsterdam UMC</w:t>
      </w:r>
    </w:p>
    <w:p w14:paraId="0BADED1A" w14:textId="52176EBC" w:rsidR="0058034C" w:rsidRPr="004B68F3" w:rsidRDefault="0058034C" w:rsidP="005A1F9E">
      <w:pPr>
        <w:spacing w:line="240" w:lineRule="auto"/>
        <w:jc w:val="both"/>
        <w:rPr>
          <w:rFonts w:ascii="Times New Roman" w:hAnsi="Times New Roman" w:cs="Times New Roman"/>
          <w:sz w:val="24"/>
          <w:szCs w:val="24"/>
        </w:rPr>
      </w:pPr>
      <w:r w:rsidRPr="0058034C">
        <w:rPr>
          <w:rFonts w:ascii="Times New Roman" w:hAnsi="Times New Roman" w:cs="Times New Roman"/>
          <w:sz w:val="24"/>
          <w:szCs w:val="24"/>
          <w:vertAlign w:val="superscript"/>
          <w:lang w:val="en-US"/>
        </w:rPr>
        <w:t>5</w:t>
      </w:r>
      <w:r>
        <w:rPr>
          <w:rFonts w:ascii="Times New Roman" w:hAnsi="Times New Roman" w:cs="Times New Roman"/>
          <w:sz w:val="24"/>
          <w:szCs w:val="24"/>
          <w:lang w:val="en-US"/>
        </w:rPr>
        <w:t xml:space="preserve"> </w:t>
      </w:r>
      <w:r w:rsidRPr="0058034C">
        <w:rPr>
          <w:rFonts w:ascii="Times New Roman" w:hAnsi="Times New Roman" w:cs="Times New Roman"/>
          <w:sz w:val="24"/>
          <w:szCs w:val="24"/>
        </w:rPr>
        <w:t xml:space="preserve">Dept. of Clinical Genetics, Center for </w:t>
      </w:r>
      <w:proofErr w:type="spellStart"/>
      <w:r w:rsidRPr="0058034C">
        <w:rPr>
          <w:rFonts w:ascii="Times New Roman" w:hAnsi="Times New Roman" w:cs="Times New Roman"/>
          <w:sz w:val="24"/>
          <w:szCs w:val="24"/>
        </w:rPr>
        <w:t>Neurogenomics</w:t>
      </w:r>
      <w:proofErr w:type="spellEnd"/>
      <w:r w:rsidRPr="0058034C">
        <w:rPr>
          <w:rFonts w:ascii="Times New Roman" w:hAnsi="Times New Roman" w:cs="Times New Roman"/>
          <w:sz w:val="24"/>
          <w:szCs w:val="24"/>
        </w:rPr>
        <w:t xml:space="preserve"> and Cognitive Research (CNCR), Amsterdam UMC</w:t>
      </w:r>
    </w:p>
    <w:p w14:paraId="5B62BD7A" w14:textId="77A445C2" w:rsidR="00AB463E" w:rsidRDefault="0058034C" w:rsidP="005A1F9E">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lang w:val="en-US"/>
        </w:rPr>
        <w:t>6</w:t>
      </w:r>
      <w:r w:rsidR="004B68F3" w:rsidRPr="004B68F3">
        <w:rPr>
          <w:rFonts w:ascii="Times New Roman" w:hAnsi="Times New Roman" w:cs="Times New Roman"/>
          <w:sz w:val="24"/>
          <w:szCs w:val="24"/>
          <w:vertAlign w:val="superscript"/>
        </w:rPr>
        <w:t xml:space="preserve"> </w:t>
      </w:r>
      <w:r w:rsidR="004B68F3" w:rsidRPr="004B68F3">
        <w:rPr>
          <w:rFonts w:ascii="Times New Roman" w:hAnsi="Times New Roman" w:cs="Times New Roman"/>
          <w:sz w:val="24"/>
          <w:szCs w:val="24"/>
        </w:rPr>
        <w:t xml:space="preserve">Laboratory of Neurochemistry and </w:t>
      </w:r>
      <w:proofErr w:type="spellStart"/>
      <w:r w:rsidR="004B68F3" w:rsidRPr="004B68F3">
        <w:rPr>
          <w:rFonts w:ascii="Times New Roman" w:hAnsi="Times New Roman" w:cs="Times New Roman"/>
          <w:sz w:val="24"/>
          <w:szCs w:val="24"/>
        </w:rPr>
        <w:t>Behavior</w:t>
      </w:r>
      <w:proofErr w:type="spellEnd"/>
      <w:r w:rsidR="004B68F3" w:rsidRPr="004B68F3">
        <w:rPr>
          <w:rFonts w:ascii="Times New Roman" w:hAnsi="Times New Roman" w:cs="Times New Roman"/>
          <w:sz w:val="24"/>
          <w:szCs w:val="24"/>
        </w:rPr>
        <w:t xml:space="preserve">, </w:t>
      </w:r>
      <w:r w:rsidR="00AB463E" w:rsidRPr="004B68F3">
        <w:rPr>
          <w:rFonts w:ascii="Times New Roman" w:hAnsi="Times New Roman" w:cs="Times New Roman"/>
          <w:sz w:val="24"/>
          <w:szCs w:val="24"/>
        </w:rPr>
        <w:t xml:space="preserve">University of Antwerp, </w:t>
      </w:r>
      <w:proofErr w:type="spellStart"/>
      <w:r w:rsidR="00AB463E" w:rsidRPr="004B68F3">
        <w:rPr>
          <w:rFonts w:ascii="Times New Roman" w:hAnsi="Times New Roman" w:cs="Times New Roman"/>
          <w:sz w:val="24"/>
          <w:szCs w:val="24"/>
        </w:rPr>
        <w:t>Universiteitsplein</w:t>
      </w:r>
      <w:proofErr w:type="spellEnd"/>
      <w:r w:rsidR="00AB463E" w:rsidRPr="004B68F3">
        <w:rPr>
          <w:rFonts w:ascii="Times New Roman" w:hAnsi="Times New Roman" w:cs="Times New Roman"/>
          <w:sz w:val="24"/>
          <w:szCs w:val="24"/>
        </w:rPr>
        <w:t xml:space="preserve"> 1, 2610 Antwerp, Belgium</w:t>
      </w:r>
    </w:p>
    <w:p w14:paraId="01DEF627" w14:textId="39CEDF66" w:rsidR="004B68F3" w:rsidRPr="004B68F3" w:rsidRDefault="00AB463E" w:rsidP="005A1F9E">
      <w:pPr>
        <w:spacing w:line="240" w:lineRule="auto"/>
        <w:jc w:val="both"/>
        <w:rPr>
          <w:rFonts w:ascii="Times New Roman" w:hAnsi="Times New Roman" w:cs="Times New Roman"/>
          <w:sz w:val="24"/>
          <w:szCs w:val="24"/>
        </w:rPr>
      </w:pPr>
      <w:r w:rsidRPr="00AB463E">
        <w:rPr>
          <w:rFonts w:ascii="Times New Roman" w:hAnsi="Times New Roman" w:cs="Times New Roman"/>
          <w:sz w:val="24"/>
          <w:szCs w:val="24"/>
          <w:vertAlign w:val="superscript"/>
        </w:rPr>
        <w:t>7</w:t>
      </w:r>
      <w:r w:rsidR="004B68F3" w:rsidRPr="004B68F3">
        <w:rPr>
          <w:rFonts w:ascii="Times New Roman" w:hAnsi="Times New Roman" w:cs="Times New Roman"/>
          <w:sz w:val="24"/>
          <w:szCs w:val="24"/>
        </w:rPr>
        <w:t xml:space="preserve">Department of Neurology and Alzheimer Center Groningen, University Medical Center Groningen (UMCG), </w:t>
      </w:r>
      <w:proofErr w:type="spellStart"/>
      <w:r w:rsidR="004B68F3" w:rsidRPr="004B68F3">
        <w:rPr>
          <w:rFonts w:ascii="Times New Roman" w:hAnsi="Times New Roman" w:cs="Times New Roman"/>
          <w:sz w:val="24"/>
          <w:szCs w:val="24"/>
        </w:rPr>
        <w:t>Hanzeplein</w:t>
      </w:r>
      <w:proofErr w:type="spellEnd"/>
      <w:r w:rsidR="004B68F3" w:rsidRPr="004B68F3">
        <w:rPr>
          <w:rFonts w:ascii="Times New Roman" w:hAnsi="Times New Roman" w:cs="Times New Roman"/>
          <w:sz w:val="24"/>
          <w:szCs w:val="24"/>
        </w:rPr>
        <w:t xml:space="preserve"> 1, 9713 GZ Groningen, The Netherlands</w:t>
      </w:r>
    </w:p>
    <w:p w14:paraId="6195F5C8" w14:textId="1E27EF06" w:rsidR="004B68F3" w:rsidRPr="004B68F3" w:rsidRDefault="00AB463E" w:rsidP="005A1F9E">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lang w:val="en-US"/>
        </w:rPr>
        <w:t>8</w:t>
      </w:r>
      <w:r w:rsidR="004B68F3" w:rsidRPr="004B68F3">
        <w:rPr>
          <w:rFonts w:ascii="Times New Roman" w:hAnsi="Times New Roman" w:cs="Times New Roman"/>
          <w:sz w:val="24"/>
          <w:szCs w:val="24"/>
        </w:rPr>
        <w:t xml:space="preserve"> Department of Neurology and Memory Clinic, Hospital Network Antwerp (ZNA) </w:t>
      </w:r>
      <w:proofErr w:type="spellStart"/>
      <w:r w:rsidR="004B68F3" w:rsidRPr="004B68F3">
        <w:rPr>
          <w:rFonts w:ascii="Times New Roman" w:hAnsi="Times New Roman" w:cs="Times New Roman"/>
          <w:sz w:val="24"/>
          <w:szCs w:val="24"/>
        </w:rPr>
        <w:t>Middelheim</w:t>
      </w:r>
      <w:proofErr w:type="spellEnd"/>
      <w:r w:rsidR="004B68F3" w:rsidRPr="004B68F3">
        <w:rPr>
          <w:rFonts w:ascii="Times New Roman" w:hAnsi="Times New Roman" w:cs="Times New Roman"/>
          <w:sz w:val="24"/>
          <w:szCs w:val="24"/>
        </w:rPr>
        <w:t xml:space="preserve"> and Hoge </w:t>
      </w:r>
      <w:proofErr w:type="spellStart"/>
      <w:r w:rsidR="004B68F3" w:rsidRPr="004B68F3">
        <w:rPr>
          <w:rFonts w:ascii="Times New Roman" w:hAnsi="Times New Roman" w:cs="Times New Roman"/>
          <w:sz w:val="24"/>
          <w:szCs w:val="24"/>
        </w:rPr>
        <w:t>Beuken</w:t>
      </w:r>
      <w:proofErr w:type="spellEnd"/>
      <w:r w:rsidR="004B68F3" w:rsidRPr="004B68F3">
        <w:rPr>
          <w:rFonts w:ascii="Times New Roman" w:hAnsi="Times New Roman" w:cs="Times New Roman"/>
          <w:sz w:val="24"/>
          <w:szCs w:val="24"/>
        </w:rPr>
        <w:t xml:space="preserve">, </w:t>
      </w:r>
      <w:proofErr w:type="spellStart"/>
      <w:r w:rsidR="004B68F3" w:rsidRPr="004B68F3">
        <w:rPr>
          <w:rFonts w:ascii="Times New Roman" w:hAnsi="Times New Roman" w:cs="Times New Roman"/>
          <w:sz w:val="24"/>
          <w:szCs w:val="24"/>
        </w:rPr>
        <w:t>Lindendreef</w:t>
      </w:r>
      <w:proofErr w:type="spellEnd"/>
      <w:r w:rsidR="004B68F3" w:rsidRPr="004B68F3">
        <w:rPr>
          <w:rFonts w:ascii="Times New Roman" w:hAnsi="Times New Roman" w:cs="Times New Roman"/>
          <w:sz w:val="24"/>
          <w:szCs w:val="24"/>
        </w:rPr>
        <w:t xml:space="preserve"> 1, 2020 Antwerp, Belgium</w:t>
      </w:r>
    </w:p>
    <w:p w14:paraId="5102DBAA" w14:textId="70BF167D" w:rsidR="004B68F3" w:rsidRPr="004B68F3" w:rsidRDefault="00AB463E" w:rsidP="005A1F9E">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lang w:val="en-US"/>
        </w:rPr>
        <w:t>9</w:t>
      </w:r>
      <w:r w:rsidR="004B68F3" w:rsidRPr="004B68F3">
        <w:rPr>
          <w:rFonts w:ascii="Times New Roman" w:hAnsi="Times New Roman" w:cs="Times New Roman"/>
          <w:sz w:val="24"/>
          <w:szCs w:val="24"/>
        </w:rPr>
        <w:t xml:space="preserve"> Biobank, Institute Born-Bunge, University of Antwerp, </w:t>
      </w:r>
      <w:proofErr w:type="spellStart"/>
      <w:r w:rsidR="004B68F3" w:rsidRPr="004B68F3">
        <w:rPr>
          <w:rFonts w:ascii="Times New Roman" w:hAnsi="Times New Roman" w:cs="Times New Roman"/>
          <w:sz w:val="24"/>
          <w:szCs w:val="24"/>
        </w:rPr>
        <w:t>Universiteitsplein</w:t>
      </w:r>
      <w:proofErr w:type="spellEnd"/>
      <w:r w:rsidR="004B68F3" w:rsidRPr="004B68F3">
        <w:rPr>
          <w:rFonts w:ascii="Times New Roman" w:hAnsi="Times New Roman" w:cs="Times New Roman"/>
          <w:sz w:val="24"/>
          <w:szCs w:val="24"/>
        </w:rPr>
        <w:t xml:space="preserve"> 1, 2610 Antwerp, Belgium</w:t>
      </w:r>
    </w:p>
    <w:p w14:paraId="586C978D" w14:textId="4875D6B5" w:rsidR="00C7093F" w:rsidRDefault="0058034C">
      <w:pPr>
        <w:rPr>
          <w:rStyle w:val="Strong"/>
          <w:rFonts w:ascii="Times New Roman" w:hAnsi="Times New Roman" w:cs="Times New Roman"/>
          <w:b w:val="0"/>
          <w:sz w:val="24"/>
          <w:szCs w:val="24"/>
          <w:shd w:val="clear" w:color="auto" w:fill="FFFFFF"/>
        </w:rPr>
      </w:pPr>
      <w:r>
        <w:rPr>
          <w:rFonts w:ascii="Times New Roman" w:hAnsi="Times New Roman" w:cs="Times New Roman"/>
          <w:b/>
          <w:sz w:val="24"/>
          <w:szCs w:val="24"/>
          <w:shd w:val="clear" w:color="auto" w:fill="FFFFFF"/>
          <w:lang w:val="en-US"/>
        </w:rPr>
        <w:t xml:space="preserve">* </w:t>
      </w:r>
      <w:r w:rsidR="004B68F3" w:rsidRPr="0058034C">
        <w:rPr>
          <w:rStyle w:val="Strong"/>
          <w:rFonts w:ascii="Times New Roman" w:hAnsi="Times New Roman" w:cs="Times New Roman"/>
          <w:b w:val="0"/>
          <w:sz w:val="24"/>
          <w:szCs w:val="24"/>
          <w:shd w:val="clear" w:color="auto" w:fill="FFFFFF"/>
        </w:rPr>
        <w:t>Corresponding author</w:t>
      </w:r>
    </w:p>
    <w:p w14:paraId="3B9B2E47" w14:textId="77777777" w:rsidR="005A1F9E" w:rsidRDefault="005A1F9E" w:rsidP="005A1F9E">
      <w:pPr>
        <w:spacing w:line="480" w:lineRule="auto"/>
        <w:jc w:val="both"/>
        <w:rPr>
          <w:rFonts w:ascii="Times New Roman" w:hAnsi="Times New Roman" w:cs="Times New Roman"/>
          <w:b/>
          <w:bCs/>
          <w:sz w:val="24"/>
          <w:szCs w:val="24"/>
        </w:rPr>
      </w:pPr>
    </w:p>
    <w:p w14:paraId="1FFFD467" w14:textId="77777777" w:rsidR="005A1F9E" w:rsidRDefault="005A1F9E" w:rsidP="005A1F9E">
      <w:pPr>
        <w:spacing w:line="480" w:lineRule="auto"/>
        <w:jc w:val="both"/>
        <w:rPr>
          <w:rFonts w:ascii="Times New Roman" w:hAnsi="Times New Roman" w:cs="Times New Roman"/>
          <w:b/>
          <w:bCs/>
          <w:sz w:val="24"/>
          <w:szCs w:val="24"/>
        </w:rPr>
      </w:pPr>
    </w:p>
    <w:p w14:paraId="5124BF34" w14:textId="77777777" w:rsidR="005A1F9E" w:rsidRDefault="005A1F9E" w:rsidP="005A1F9E">
      <w:pPr>
        <w:spacing w:line="480" w:lineRule="auto"/>
        <w:jc w:val="both"/>
        <w:rPr>
          <w:rFonts w:ascii="Times New Roman" w:hAnsi="Times New Roman" w:cs="Times New Roman"/>
          <w:b/>
          <w:bCs/>
          <w:sz w:val="24"/>
          <w:szCs w:val="24"/>
        </w:rPr>
      </w:pPr>
    </w:p>
    <w:p w14:paraId="585C33EF" w14:textId="77777777" w:rsidR="005A1F9E" w:rsidRDefault="005A1F9E" w:rsidP="005A1F9E">
      <w:pPr>
        <w:spacing w:line="480" w:lineRule="auto"/>
        <w:jc w:val="both"/>
        <w:rPr>
          <w:rFonts w:ascii="Times New Roman" w:hAnsi="Times New Roman" w:cs="Times New Roman"/>
          <w:b/>
          <w:bCs/>
          <w:sz w:val="24"/>
          <w:szCs w:val="24"/>
        </w:rPr>
      </w:pPr>
    </w:p>
    <w:p w14:paraId="364E7F15" w14:textId="77777777" w:rsidR="005A1F9E" w:rsidRDefault="005A1F9E" w:rsidP="005A1F9E">
      <w:pPr>
        <w:spacing w:line="480" w:lineRule="auto"/>
        <w:jc w:val="both"/>
        <w:rPr>
          <w:rFonts w:ascii="Times New Roman" w:hAnsi="Times New Roman" w:cs="Times New Roman"/>
          <w:b/>
          <w:bCs/>
          <w:sz w:val="24"/>
          <w:szCs w:val="24"/>
        </w:rPr>
      </w:pPr>
    </w:p>
    <w:p w14:paraId="0D48E90C" w14:textId="64414059" w:rsidR="005A1F9E" w:rsidRDefault="005A1F9E" w:rsidP="005A1F9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w:t>
      </w:r>
      <w:r w:rsidRPr="00ED7263">
        <w:rPr>
          <w:rFonts w:ascii="Times New Roman" w:hAnsi="Times New Roman" w:cs="Times New Roman"/>
          <w:b/>
          <w:bCs/>
          <w:sz w:val="24"/>
          <w:szCs w:val="24"/>
        </w:rPr>
        <w:t xml:space="preserve">S1 Fig- ELISA analysis of a K18 P301L Tau fibril preparation supernatant fraction. </w:t>
      </w:r>
    </w:p>
    <w:p w14:paraId="3166000D" w14:textId="2FCAAC83" w:rsidR="005A1F9E" w:rsidRPr="00ED7263" w:rsidRDefault="005A1F9E" w:rsidP="005A1F9E">
      <w:pPr>
        <w:spacing w:line="480" w:lineRule="auto"/>
        <w:jc w:val="both"/>
        <w:rPr>
          <w:rFonts w:ascii="Times New Roman" w:hAnsi="Times New Roman" w:cs="Times New Roman"/>
          <w:sz w:val="24"/>
          <w:szCs w:val="24"/>
        </w:rPr>
      </w:pPr>
      <w:r w:rsidRPr="00ED7263">
        <w:rPr>
          <w:rFonts w:ascii="Times New Roman" w:hAnsi="Times New Roman" w:cs="Times New Roman"/>
          <w:sz w:val="24"/>
          <w:szCs w:val="24"/>
        </w:rPr>
        <w:t xml:space="preserve">K18 (P301L) tau (1 mg/mL) is </w:t>
      </w:r>
      <w:proofErr w:type="spellStart"/>
      <w:r w:rsidRPr="00ED7263">
        <w:rPr>
          <w:rFonts w:ascii="Times New Roman" w:hAnsi="Times New Roman" w:cs="Times New Roman"/>
          <w:sz w:val="24"/>
          <w:szCs w:val="24"/>
        </w:rPr>
        <w:t>fibrillized</w:t>
      </w:r>
      <w:proofErr w:type="spellEnd"/>
      <w:r w:rsidRPr="00ED7263">
        <w:rPr>
          <w:rFonts w:ascii="Times New Roman" w:hAnsi="Times New Roman" w:cs="Times New Roman"/>
          <w:sz w:val="24"/>
          <w:szCs w:val="24"/>
        </w:rPr>
        <w:t xml:space="preserve"> and after the ultracentrifugation, the supernatant fraction was kept for analysis of remaining K18 monomers. This was measured by a MYC/PT76-HRPO sandwich ELISA on different dilutions of supernatant (SN, blue curve) compared to different amounts of monomeric K18 (green curve) as calibrant. Plates were coated with mouse anti-MYC (produced in house). After washing and blocking using 0.1 % casein, wells were incubated with indicated dilutions of SN or monomeric K18 (a). Panel (b) shows the conversion into concentration of monomeric K18. Immunocaptured K18 was detected using HRP-labelled PT76 and a TMB peroxidase EIA substrate kit (</w:t>
      </w:r>
      <w:proofErr w:type="spellStart"/>
      <w:r w:rsidRPr="00ED7263">
        <w:rPr>
          <w:rFonts w:ascii="Times New Roman" w:hAnsi="Times New Roman" w:cs="Times New Roman"/>
          <w:sz w:val="24"/>
          <w:szCs w:val="24"/>
        </w:rPr>
        <w:t>BioRad</w:t>
      </w:r>
      <w:proofErr w:type="spellEnd"/>
      <w:r w:rsidRPr="00ED7263">
        <w:rPr>
          <w:rFonts w:ascii="Times New Roman" w:hAnsi="Times New Roman" w:cs="Times New Roman"/>
          <w:sz w:val="24"/>
          <w:szCs w:val="24"/>
        </w:rPr>
        <w:t>) according to the manufacturers’ instructions. Data are expressed as signal – background (n=2) from a representative experiment. The background value is determined by the signal obtained in the absence of K18. From graphs in panel (a) it can be observed that signals in SN were only measured in low-diluted samples. Calculation using the calibration curve in panel (b) revealed that from the 1mg/mL K18 applied in the reaction, only 20.9 (± 7.68) µg/mL (about 2%) remained in the supernatant.</w:t>
      </w:r>
    </w:p>
    <w:p w14:paraId="6BBAAB4D" w14:textId="79E12FFC" w:rsidR="005A1F9E" w:rsidRDefault="005A1F9E">
      <w:pPr>
        <w:rPr>
          <w:rStyle w:val="Strong"/>
          <w:rFonts w:ascii="Times New Roman" w:hAnsi="Times New Roman" w:cs="Times New Roman"/>
          <w:b w:val="0"/>
          <w:sz w:val="24"/>
          <w:szCs w:val="24"/>
          <w:shd w:val="clear" w:color="auto" w:fill="FFFFFF"/>
        </w:rPr>
      </w:pPr>
      <w:r>
        <w:rPr>
          <w:noProof/>
        </w:rPr>
        <w:drawing>
          <wp:inline distT="0" distB="0" distL="0" distR="0" wp14:anchorId="1A46B10E" wp14:editId="3413E0CD">
            <wp:extent cx="5731510" cy="2235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235835"/>
                    </a:xfrm>
                    <a:prstGeom prst="rect">
                      <a:avLst/>
                    </a:prstGeom>
                    <a:noFill/>
                    <a:ln>
                      <a:noFill/>
                    </a:ln>
                  </pic:spPr>
                </pic:pic>
              </a:graphicData>
            </a:graphic>
          </wp:inline>
        </w:drawing>
      </w:r>
    </w:p>
    <w:p w14:paraId="1246154D" w14:textId="5D1BF4E2" w:rsidR="005A1F9E" w:rsidRDefault="005A1F9E">
      <w:pPr>
        <w:rPr>
          <w:rFonts w:ascii="Times New Roman" w:hAnsi="Times New Roman" w:cs="Times New Roman"/>
          <w:b/>
          <w:sz w:val="24"/>
          <w:szCs w:val="24"/>
        </w:rPr>
      </w:pPr>
    </w:p>
    <w:p w14:paraId="148E5FEA" w14:textId="3502575F" w:rsidR="004B7DAE" w:rsidRDefault="004B7DAE">
      <w:pPr>
        <w:rPr>
          <w:rFonts w:ascii="Times New Roman" w:hAnsi="Times New Roman" w:cs="Times New Roman"/>
          <w:b/>
          <w:sz w:val="24"/>
          <w:szCs w:val="24"/>
        </w:rPr>
      </w:pPr>
    </w:p>
    <w:p w14:paraId="5756E143" w14:textId="151EA920" w:rsidR="004B7DAE" w:rsidRDefault="004B7DAE" w:rsidP="004B7DAE">
      <w:pPr>
        <w:spacing w:line="480" w:lineRule="auto"/>
        <w:rPr>
          <w:rFonts w:ascii="Times New Roman" w:hAnsi="Times New Roman" w:cs="Times New Roman"/>
          <w:b/>
          <w:sz w:val="24"/>
          <w:szCs w:val="24"/>
        </w:rPr>
      </w:pPr>
      <w:r w:rsidRPr="004B7DAE">
        <w:rPr>
          <w:rFonts w:ascii="Times New Roman" w:hAnsi="Times New Roman" w:cs="Times New Roman"/>
          <w:b/>
          <w:sz w:val="24"/>
          <w:szCs w:val="24"/>
        </w:rPr>
        <w:lastRenderedPageBreak/>
        <w:t xml:space="preserve">Figure </w:t>
      </w:r>
      <w:r>
        <w:rPr>
          <w:rFonts w:ascii="Times New Roman" w:hAnsi="Times New Roman" w:cs="Times New Roman"/>
          <w:b/>
          <w:sz w:val="24"/>
          <w:szCs w:val="24"/>
        </w:rPr>
        <w:t>S2</w:t>
      </w:r>
      <w:r w:rsidRPr="004B7DAE">
        <w:rPr>
          <w:rFonts w:ascii="Times New Roman" w:hAnsi="Times New Roman" w:cs="Times New Roman"/>
          <w:b/>
          <w:sz w:val="24"/>
          <w:szCs w:val="24"/>
        </w:rPr>
        <w:t xml:space="preserve"> – Comparison of </w:t>
      </w:r>
      <w:proofErr w:type="spellStart"/>
      <w:r w:rsidRPr="004B7DAE">
        <w:rPr>
          <w:rFonts w:ascii="Times New Roman" w:hAnsi="Times New Roman" w:cs="Times New Roman"/>
          <w:b/>
          <w:sz w:val="24"/>
          <w:szCs w:val="24"/>
        </w:rPr>
        <w:t>Tg</w:t>
      </w:r>
      <w:proofErr w:type="spellEnd"/>
      <w:r w:rsidRPr="004B7DAE">
        <w:rPr>
          <w:rFonts w:ascii="Times New Roman" w:hAnsi="Times New Roman" w:cs="Times New Roman"/>
          <w:b/>
          <w:sz w:val="24"/>
          <w:szCs w:val="24"/>
        </w:rPr>
        <w:t xml:space="preserve"> P301S mouse seeds and human AD-brain seeds detection in Western blotting </w:t>
      </w:r>
      <w:r>
        <w:rPr>
          <w:rFonts w:ascii="Times New Roman" w:hAnsi="Times New Roman" w:cs="Times New Roman"/>
          <w:b/>
          <w:sz w:val="24"/>
          <w:szCs w:val="24"/>
        </w:rPr>
        <w:t xml:space="preserve">quantified by recombinant </w:t>
      </w:r>
      <w:r w:rsidRPr="004B7DAE">
        <w:rPr>
          <w:rFonts w:ascii="Times New Roman" w:hAnsi="Times New Roman" w:cs="Times New Roman"/>
          <w:b/>
          <w:sz w:val="24"/>
          <w:szCs w:val="24"/>
        </w:rPr>
        <w:t>tau loading control</w:t>
      </w:r>
      <w:r>
        <w:rPr>
          <w:rFonts w:ascii="Times New Roman" w:hAnsi="Times New Roman" w:cs="Times New Roman"/>
          <w:b/>
          <w:sz w:val="24"/>
          <w:szCs w:val="24"/>
        </w:rPr>
        <w:t xml:space="preserve"> (2N4R tau).</w:t>
      </w:r>
    </w:p>
    <w:p w14:paraId="712DF53F" w14:textId="503006A3" w:rsidR="004B7DAE" w:rsidRDefault="00C90688" w:rsidP="00E70F58">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(A) </w:t>
      </w:r>
      <w:r w:rsidR="004B7DAE" w:rsidRPr="004B7DAE">
        <w:rPr>
          <w:rFonts w:ascii="Times New Roman" w:hAnsi="Times New Roman" w:cs="Times New Roman"/>
          <w:bCs/>
          <w:sz w:val="24"/>
          <w:szCs w:val="24"/>
        </w:rPr>
        <w:t xml:space="preserve">Fluorescent hTau10 - Alexa 555 (represented with green fluorescence) Western Blot total tau quantification of tau seeds derived from P301S tau </w:t>
      </w:r>
      <w:proofErr w:type="spellStart"/>
      <w:r w:rsidR="004B7DAE" w:rsidRPr="004B7DAE">
        <w:rPr>
          <w:rFonts w:ascii="Times New Roman" w:hAnsi="Times New Roman" w:cs="Times New Roman"/>
          <w:bCs/>
          <w:sz w:val="24"/>
          <w:szCs w:val="24"/>
        </w:rPr>
        <w:t>Tg</w:t>
      </w:r>
      <w:proofErr w:type="spellEnd"/>
      <w:r w:rsidR="004B7DAE" w:rsidRPr="004B7DAE">
        <w:rPr>
          <w:rFonts w:ascii="Times New Roman" w:hAnsi="Times New Roman" w:cs="Times New Roman"/>
          <w:bCs/>
          <w:sz w:val="24"/>
          <w:szCs w:val="24"/>
        </w:rPr>
        <w:t xml:space="preserve"> mouse brainstem (3.83 µL (1) or 0.96 µL (2)) and spinal cord (3.93 µL (3, 5) or 0.96 µL (4)) or from human AD-brain (3.83 µL (6) or 0.96 µL (7)). Indicated amounts of 2N4R tau are used as calibration curve. Extracts 3/4 and 5 are from different pools of spinal cords. </w:t>
      </w:r>
      <w:r w:rsidR="0083246F">
        <w:rPr>
          <w:rFonts w:ascii="Times New Roman" w:hAnsi="Times New Roman" w:cs="Times New Roman"/>
          <w:bCs/>
          <w:sz w:val="24"/>
          <w:szCs w:val="24"/>
        </w:rPr>
        <w:t xml:space="preserve">Bands indicated with a, b and </w:t>
      </w:r>
      <w:proofErr w:type="spellStart"/>
      <w:r w:rsidR="0083246F">
        <w:rPr>
          <w:rFonts w:ascii="Times New Roman" w:hAnsi="Times New Roman" w:cs="Times New Roman"/>
          <w:bCs/>
          <w:sz w:val="24"/>
          <w:szCs w:val="24"/>
        </w:rPr>
        <w:t>c,d,e</w:t>
      </w:r>
      <w:proofErr w:type="spellEnd"/>
      <w:r w:rsidR="0083246F">
        <w:rPr>
          <w:rFonts w:ascii="Times New Roman" w:hAnsi="Times New Roman" w:cs="Times New Roman"/>
          <w:bCs/>
          <w:sz w:val="24"/>
          <w:szCs w:val="24"/>
        </w:rPr>
        <w:t xml:space="preserve"> are indicative for an equal amount of tau present in the different aggregate preps. </w:t>
      </w:r>
      <w:r>
        <w:rPr>
          <w:rFonts w:ascii="Times New Roman" w:hAnsi="Times New Roman" w:cs="Times New Roman"/>
          <w:bCs/>
          <w:sz w:val="24"/>
          <w:szCs w:val="24"/>
        </w:rPr>
        <w:t>(B) This is confirmed by</w:t>
      </w:r>
      <w:r w:rsidR="0083246F">
        <w:rPr>
          <w:rFonts w:ascii="Times New Roman" w:hAnsi="Times New Roman" w:cs="Times New Roman"/>
          <w:bCs/>
          <w:sz w:val="24"/>
          <w:szCs w:val="24"/>
        </w:rPr>
        <w:t xml:space="preserve"> </w:t>
      </w:r>
      <w:r>
        <w:rPr>
          <w:rFonts w:ascii="Times New Roman" w:hAnsi="Times New Roman" w:cs="Times New Roman"/>
          <w:bCs/>
          <w:sz w:val="24"/>
          <w:szCs w:val="24"/>
        </w:rPr>
        <w:t>analysing different dilutions of P301S Tau and AD brain-derived PHFs with the aggregation selective PT51/PT51 MSD assay.</w:t>
      </w:r>
    </w:p>
    <w:p w14:paraId="67CC96A3" w14:textId="5DE834CC" w:rsidR="00C90688" w:rsidRDefault="00C90688" w:rsidP="004B7DAE">
      <w:pPr>
        <w:spacing w:line="480" w:lineRule="auto"/>
        <w:rPr>
          <w:rFonts w:ascii="Times New Roman" w:hAnsi="Times New Roman" w:cs="Times New Roman"/>
          <w:bCs/>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14:anchorId="37C70653" wp14:editId="60B54D1F">
            <wp:simplePos x="0" y="0"/>
            <wp:positionH relativeFrom="margin">
              <wp:posOffset>349250</wp:posOffset>
            </wp:positionH>
            <wp:positionV relativeFrom="paragraph">
              <wp:posOffset>158750</wp:posOffset>
            </wp:positionV>
            <wp:extent cx="5612765" cy="2018030"/>
            <wp:effectExtent l="0" t="0" r="0" b="0"/>
            <wp:wrapSquare wrapText="bothSides"/>
            <wp:docPr id="256" name="Picture 256" descr="cid:image001.png@01D40C8D.1AA4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cid:image001.png@01D40C8D.1AA46350"/>
                    <pic:cNvPicPr>
                      <a:picLocks noChangeAspect="1"/>
                    </pic:cNvPicPr>
                  </pic:nvPicPr>
                  <pic:blipFill rotWithShape="1">
                    <a:blip r:embed="rId8" r:link="rId9">
                      <a:extLst>
                        <a:ext uri="{28A0092B-C50C-407E-A947-70E740481C1C}">
                          <a14:useLocalDpi xmlns:a14="http://schemas.microsoft.com/office/drawing/2010/main" val="0"/>
                        </a:ext>
                      </a:extLst>
                    </a:blip>
                    <a:srcRect l="5443" t="767" b="72605"/>
                    <a:stretch/>
                  </pic:blipFill>
                  <pic:spPr bwMode="auto">
                    <a:xfrm>
                      <a:off x="0" y="0"/>
                      <a:ext cx="5612765" cy="2018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4"/>
          <w:szCs w:val="24"/>
        </w:rPr>
        <w:t>A)</w:t>
      </w:r>
    </w:p>
    <w:p w14:paraId="58C542CA" w14:textId="7036A017" w:rsidR="00C90688" w:rsidRDefault="00C90688" w:rsidP="004B7DAE">
      <w:pPr>
        <w:spacing w:line="480" w:lineRule="auto"/>
        <w:rPr>
          <w:rFonts w:ascii="Times New Roman" w:hAnsi="Times New Roman" w:cs="Times New Roman"/>
          <w:bCs/>
          <w:sz w:val="24"/>
          <w:szCs w:val="24"/>
        </w:rPr>
      </w:pPr>
    </w:p>
    <w:p w14:paraId="50BF2307" w14:textId="4FAFB19D" w:rsidR="00C90688" w:rsidRDefault="00C90688" w:rsidP="004B7DAE">
      <w:pPr>
        <w:spacing w:line="480" w:lineRule="auto"/>
        <w:rPr>
          <w:rFonts w:ascii="Times New Roman" w:hAnsi="Times New Roman" w:cs="Times New Roman"/>
          <w:bCs/>
          <w:sz w:val="24"/>
          <w:szCs w:val="24"/>
        </w:rPr>
      </w:pPr>
    </w:p>
    <w:p w14:paraId="223DA75C" w14:textId="324A274D" w:rsidR="00C90688" w:rsidRDefault="00C90688" w:rsidP="004B7DAE">
      <w:pPr>
        <w:spacing w:line="480" w:lineRule="auto"/>
        <w:rPr>
          <w:rFonts w:ascii="Times New Roman" w:hAnsi="Times New Roman" w:cs="Times New Roman"/>
          <w:bCs/>
          <w:sz w:val="24"/>
          <w:szCs w:val="24"/>
        </w:rPr>
      </w:pPr>
    </w:p>
    <w:p w14:paraId="61D27542" w14:textId="3FF0A04C" w:rsidR="00C90688" w:rsidRDefault="00C90688" w:rsidP="004B7DAE">
      <w:pPr>
        <w:spacing w:line="480" w:lineRule="auto"/>
        <w:rPr>
          <w:rFonts w:ascii="Times New Roman" w:hAnsi="Times New Roman" w:cs="Times New Roman"/>
          <w:bCs/>
          <w:sz w:val="24"/>
          <w:szCs w:val="24"/>
        </w:rPr>
      </w:pPr>
    </w:p>
    <w:p w14:paraId="74E1A240" w14:textId="738B950B" w:rsidR="00C90688" w:rsidRDefault="00C90688" w:rsidP="004B7DAE">
      <w:pPr>
        <w:spacing w:line="480" w:lineRule="auto"/>
        <w:rPr>
          <w:rFonts w:ascii="Times New Roman" w:hAnsi="Times New Roman" w:cs="Times New Roman"/>
          <w:bCs/>
          <w:sz w:val="24"/>
          <w:szCs w:val="24"/>
        </w:rPr>
      </w:pPr>
      <w:r w:rsidRPr="0083246F">
        <w:rPr>
          <w:noProof/>
        </w:rPr>
        <w:drawing>
          <wp:anchor distT="0" distB="0" distL="114300" distR="114300" simplePos="0" relativeHeight="251659264" behindDoc="0" locked="0" layoutInCell="1" allowOverlap="1" wp14:anchorId="16444733" wp14:editId="265C7DB9">
            <wp:simplePos x="0" y="0"/>
            <wp:positionH relativeFrom="column">
              <wp:posOffset>1320800</wp:posOffset>
            </wp:positionH>
            <wp:positionV relativeFrom="paragraph">
              <wp:posOffset>64135</wp:posOffset>
            </wp:positionV>
            <wp:extent cx="3954780" cy="23387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54780" cy="2338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4"/>
          <w:szCs w:val="24"/>
        </w:rPr>
        <w:t>B)</w:t>
      </w:r>
    </w:p>
    <w:p w14:paraId="4CE1C3E7" w14:textId="0C2546F8" w:rsidR="00E70F58" w:rsidRDefault="00E70F58" w:rsidP="004B7DAE">
      <w:pPr>
        <w:spacing w:line="480" w:lineRule="auto"/>
        <w:rPr>
          <w:rFonts w:ascii="Times New Roman" w:hAnsi="Times New Roman" w:cs="Times New Roman"/>
          <w:bCs/>
          <w:sz w:val="24"/>
          <w:szCs w:val="24"/>
        </w:rPr>
      </w:pPr>
    </w:p>
    <w:p w14:paraId="0D20479A" w14:textId="2A679891" w:rsidR="00E70F58" w:rsidRDefault="00E70F58" w:rsidP="004B7DAE">
      <w:pPr>
        <w:spacing w:line="480" w:lineRule="auto"/>
        <w:rPr>
          <w:rFonts w:ascii="Times New Roman" w:hAnsi="Times New Roman" w:cs="Times New Roman"/>
          <w:bCs/>
          <w:sz w:val="24"/>
          <w:szCs w:val="24"/>
        </w:rPr>
      </w:pPr>
    </w:p>
    <w:p w14:paraId="6354C04D" w14:textId="45622AB4" w:rsidR="00E70F58" w:rsidRDefault="00E70F58" w:rsidP="004B7DAE">
      <w:pPr>
        <w:spacing w:line="480" w:lineRule="auto"/>
        <w:rPr>
          <w:rFonts w:ascii="Times New Roman" w:hAnsi="Times New Roman" w:cs="Times New Roman"/>
          <w:bCs/>
          <w:sz w:val="24"/>
          <w:szCs w:val="24"/>
        </w:rPr>
      </w:pPr>
    </w:p>
    <w:p w14:paraId="620D2856" w14:textId="2DD14921" w:rsidR="00E70F58" w:rsidRDefault="00E70F58" w:rsidP="004B7DAE">
      <w:pPr>
        <w:spacing w:line="480" w:lineRule="auto"/>
        <w:rPr>
          <w:rFonts w:ascii="Times New Roman" w:hAnsi="Times New Roman" w:cs="Times New Roman"/>
          <w:bCs/>
          <w:sz w:val="24"/>
          <w:szCs w:val="24"/>
        </w:rPr>
      </w:pPr>
    </w:p>
    <w:p w14:paraId="50EF4151" w14:textId="05A9A176" w:rsidR="00E70F58" w:rsidRDefault="00E70F58" w:rsidP="004B7DAE">
      <w:pPr>
        <w:spacing w:line="480" w:lineRule="auto"/>
        <w:rPr>
          <w:rFonts w:ascii="Times New Roman" w:hAnsi="Times New Roman" w:cs="Times New Roman"/>
          <w:bCs/>
          <w:sz w:val="24"/>
          <w:szCs w:val="24"/>
        </w:rPr>
      </w:pPr>
    </w:p>
    <w:p w14:paraId="57A3E7F5" w14:textId="460695C5" w:rsidR="00E70F58" w:rsidRDefault="00E70F58" w:rsidP="004B7DAE">
      <w:pPr>
        <w:spacing w:line="480" w:lineRule="auto"/>
        <w:rPr>
          <w:rFonts w:ascii="Times New Roman" w:hAnsi="Times New Roman" w:cs="Times New Roman"/>
          <w:bCs/>
          <w:sz w:val="24"/>
          <w:szCs w:val="24"/>
        </w:rPr>
      </w:pPr>
    </w:p>
    <w:p w14:paraId="05AC7266" w14:textId="7FBD5FC5" w:rsidR="00E70F58" w:rsidRDefault="00E70F58" w:rsidP="004B7DAE">
      <w:pPr>
        <w:spacing w:line="480" w:lineRule="auto"/>
        <w:rPr>
          <w:rFonts w:ascii="Times New Roman" w:hAnsi="Times New Roman" w:cs="Times New Roman"/>
          <w:b/>
          <w:i/>
          <w:iCs/>
          <w:sz w:val="24"/>
          <w:szCs w:val="24"/>
        </w:rPr>
      </w:pPr>
      <w:r w:rsidRPr="00E70F58">
        <w:rPr>
          <w:rFonts w:ascii="Times New Roman" w:hAnsi="Times New Roman" w:cs="Times New Roman"/>
          <w:b/>
          <w:sz w:val="24"/>
          <w:szCs w:val="24"/>
        </w:rPr>
        <w:lastRenderedPageBreak/>
        <w:t xml:space="preserve">Fig S3 Effect of sonication on seeding efficiency </w:t>
      </w:r>
      <w:r w:rsidRPr="00E70F58">
        <w:rPr>
          <w:rFonts w:ascii="Times New Roman" w:hAnsi="Times New Roman" w:cs="Times New Roman"/>
          <w:b/>
          <w:i/>
          <w:iCs/>
          <w:sz w:val="24"/>
          <w:szCs w:val="24"/>
        </w:rPr>
        <w:t>in vitro</w:t>
      </w:r>
    </w:p>
    <w:p w14:paraId="0E550C1E" w14:textId="3CABEF75" w:rsidR="00E70F58" w:rsidRPr="0095399C" w:rsidRDefault="00E70F58" w:rsidP="00E70F58">
      <w:pPr>
        <w:spacing w:before="100" w:beforeAutospacing="1" w:after="100" w:afterAutospacing="1" w:line="480" w:lineRule="auto"/>
        <w:jc w:val="both"/>
        <w:rPr>
          <w:rFonts w:ascii="Times New Roman" w:hAnsi="Times New Roman" w:cs="Times New Roman"/>
        </w:rPr>
      </w:pPr>
      <w:r>
        <w:rPr>
          <w:rFonts w:ascii="Times New Roman" w:hAnsi="Times New Roman" w:cs="Times New Roman"/>
          <w:bCs/>
          <w:sz w:val="24"/>
          <w:szCs w:val="24"/>
        </w:rPr>
        <w:t xml:space="preserve">Analysis of in vitro aggregation of recombinant full length tau in the absence (black curve) or presence of pre-formed tau fibrils (different colours indicate the percentage) was performed as described in </w:t>
      </w:r>
      <w:hyperlink r:id="rId11" w:tgtFrame="_blank" w:history="1">
        <w:r w:rsidRPr="0095399C">
          <w:rPr>
            <w:rStyle w:val="Hyperlink"/>
            <w:rFonts w:ascii="Times New Roman" w:hAnsi="Times New Roman" w:cs="Times New Roman"/>
          </w:rPr>
          <w:t>https://www.jove.com/t/58570/in-vitro-assay-for-studying-aggregation-tau-protein-drug</w:t>
        </w:r>
      </w:hyperlink>
      <w:r w:rsidRPr="0095399C">
        <w:rPr>
          <w:rFonts w:ascii="Times New Roman" w:hAnsi="Times New Roman" w:cs="Times New Roman"/>
        </w:rPr>
        <w:t xml:space="preserve">. </w:t>
      </w:r>
      <w:r w:rsidR="0095399C">
        <w:rPr>
          <w:rFonts w:ascii="Times New Roman" w:hAnsi="Times New Roman" w:cs="Times New Roman"/>
        </w:rPr>
        <w:t>Graphs A and B show the real-time measurements in without or with sonication respectively. From these curves, it can be observed that in the presence of 2.5 % of tau seeds (dark blue curve, panel A) fluorescence intensity reached a maximum after 5h while after sonication</w:t>
      </w:r>
      <w:r w:rsidR="00A87465">
        <w:rPr>
          <w:rFonts w:ascii="Times New Roman" w:hAnsi="Times New Roman" w:cs="Times New Roman"/>
        </w:rPr>
        <w:t xml:space="preserve"> this can be reached in the same timeframe in the presence of 0.16% or tau seeds.</w:t>
      </w:r>
      <w:r w:rsidR="0095399C">
        <w:rPr>
          <w:rFonts w:ascii="Times New Roman" w:hAnsi="Times New Roman" w:cs="Times New Roman"/>
        </w:rPr>
        <w:t xml:space="preserve">  </w:t>
      </w:r>
    </w:p>
    <w:p w14:paraId="77D75B46" w14:textId="3505687A" w:rsidR="00E70F58" w:rsidRDefault="00E70F58" w:rsidP="004B7DAE">
      <w:pPr>
        <w:spacing w:line="480" w:lineRule="auto"/>
        <w:rPr>
          <w:rFonts w:ascii="Times New Roman" w:hAnsi="Times New Roman" w:cs="Times New Roman"/>
          <w:b/>
          <w:i/>
          <w:iCs/>
          <w:sz w:val="24"/>
          <w:szCs w:val="24"/>
        </w:rPr>
      </w:pPr>
      <w:r>
        <w:rPr>
          <w:rFonts w:ascii="Times New Roman" w:hAnsi="Times New Roman" w:cs="Times New Roman"/>
          <w:bCs/>
          <w:sz w:val="24"/>
          <w:szCs w:val="24"/>
        </w:rPr>
        <w:t xml:space="preserve"> </w:t>
      </w:r>
    </w:p>
    <w:p w14:paraId="1F0FF66A" w14:textId="7660B880" w:rsidR="00E70F58" w:rsidRPr="0095399C" w:rsidRDefault="0095399C" w:rsidP="0095399C">
      <w:pPr>
        <w:pStyle w:val="ListParagraph"/>
        <w:numPr>
          <w:ilvl w:val="0"/>
          <w:numId w:val="3"/>
        </w:num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ab/>
        <w:t>B)</w:t>
      </w:r>
    </w:p>
    <w:p w14:paraId="6A824914" w14:textId="64D4C6D7" w:rsidR="00E70F58" w:rsidRPr="00E70F58" w:rsidRDefault="00A87465" w:rsidP="004B7DA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1DD0171" wp14:editId="56D0DCD3">
            <wp:extent cx="6219487" cy="17805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22906" cy="1781519"/>
                    </a:xfrm>
                    <a:prstGeom prst="rect">
                      <a:avLst/>
                    </a:prstGeom>
                    <a:noFill/>
                  </pic:spPr>
                </pic:pic>
              </a:graphicData>
            </a:graphic>
          </wp:inline>
        </w:drawing>
      </w:r>
    </w:p>
    <w:sectPr w:rsidR="00E70F58" w:rsidRPr="00E70F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A7553" w14:textId="77777777" w:rsidR="004B68F3" w:rsidRDefault="004B68F3" w:rsidP="004B68F3">
      <w:pPr>
        <w:spacing w:after="0" w:line="240" w:lineRule="auto"/>
      </w:pPr>
      <w:r>
        <w:separator/>
      </w:r>
    </w:p>
  </w:endnote>
  <w:endnote w:type="continuationSeparator" w:id="0">
    <w:p w14:paraId="47AB8B2B" w14:textId="77777777" w:rsidR="004B68F3" w:rsidRDefault="004B68F3" w:rsidP="004B6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5695C" w14:textId="77777777" w:rsidR="004B68F3" w:rsidRDefault="004B68F3" w:rsidP="004B68F3">
      <w:pPr>
        <w:spacing w:after="0" w:line="240" w:lineRule="auto"/>
      </w:pPr>
      <w:r>
        <w:separator/>
      </w:r>
    </w:p>
  </w:footnote>
  <w:footnote w:type="continuationSeparator" w:id="0">
    <w:p w14:paraId="78323856" w14:textId="77777777" w:rsidR="004B68F3" w:rsidRDefault="004B68F3" w:rsidP="004B68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60F9"/>
    <w:multiLevelType w:val="hybridMultilevel"/>
    <w:tmpl w:val="60FE6FF6"/>
    <w:lvl w:ilvl="0" w:tplc="0C090015">
      <w:start w:val="1"/>
      <w:numFmt w:val="upp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1" w15:restartNumberingAfterBreak="0">
    <w:nsid w:val="465A2608"/>
    <w:multiLevelType w:val="hybridMultilevel"/>
    <w:tmpl w:val="2AF20F52"/>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7AD92403"/>
    <w:multiLevelType w:val="hybridMultilevel"/>
    <w:tmpl w:val="63065DD8"/>
    <w:lvl w:ilvl="0" w:tplc="E990CA1E">
      <w:start w:val="1"/>
      <w:numFmt w:val="upperLetter"/>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0MDAzNzUyMDcyNTFQ0lEKTi0uzszPAykwrAUACFR6rywAAAA="/>
  </w:docVars>
  <w:rsids>
    <w:rsidRoot w:val="004B68F3"/>
    <w:rsid w:val="004B68F3"/>
    <w:rsid w:val="004B7DAE"/>
    <w:rsid w:val="0057234A"/>
    <w:rsid w:val="0058034C"/>
    <w:rsid w:val="005A1F9E"/>
    <w:rsid w:val="00792816"/>
    <w:rsid w:val="0083246F"/>
    <w:rsid w:val="008F77DB"/>
    <w:rsid w:val="0095399C"/>
    <w:rsid w:val="00A87465"/>
    <w:rsid w:val="00AB463E"/>
    <w:rsid w:val="00C619AC"/>
    <w:rsid w:val="00C90688"/>
    <w:rsid w:val="00C974F9"/>
    <w:rsid w:val="00CA1BE4"/>
    <w:rsid w:val="00D46487"/>
    <w:rsid w:val="00D83E2E"/>
    <w:rsid w:val="00DF4A1C"/>
    <w:rsid w:val="00E70F58"/>
    <w:rsid w:val="00FA734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819C1"/>
  <w15:chartTrackingRefBased/>
  <w15:docId w15:val="{60A41BC8-7F78-47AE-83C6-17AE0189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68F3"/>
    <w:rPr>
      <w:b/>
      <w:bCs/>
    </w:rPr>
  </w:style>
  <w:style w:type="paragraph" w:styleId="Header">
    <w:name w:val="header"/>
    <w:basedOn w:val="Normal"/>
    <w:link w:val="HeaderChar"/>
    <w:uiPriority w:val="99"/>
    <w:unhideWhenUsed/>
    <w:rsid w:val="004B68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8F3"/>
  </w:style>
  <w:style w:type="paragraph" w:styleId="Footer">
    <w:name w:val="footer"/>
    <w:basedOn w:val="Normal"/>
    <w:link w:val="FooterChar"/>
    <w:uiPriority w:val="99"/>
    <w:unhideWhenUsed/>
    <w:rsid w:val="004B68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8F3"/>
  </w:style>
  <w:style w:type="paragraph" w:styleId="BalloonText">
    <w:name w:val="Balloon Text"/>
    <w:basedOn w:val="Normal"/>
    <w:link w:val="BalloonTextChar"/>
    <w:uiPriority w:val="99"/>
    <w:semiHidden/>
    <w:unhideWhenUsed/>
    <w:rsid w:val="004B6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8F3"/>
    <w:rPr>
      <w:rFonts w:ascii="Segoe UI" w:hAnsi="Segoe UI" w:cs="Segoe UI"/>
      <w:sz w:val="18"/>
      <w:szCs w:val="18"/>
    </w:rPr>
  </w:style>
  <w:style w:type="paragraph" w:styleId="NormalWeb">
    <w:name w:val="Normal (Web)"/>
    <w:basedOn w:val="Normal"/>
    <w:uiPriority w:val="99"/>
    <w:unhideWhenUsed/>
    <w:rsid w:val="004B68F3"/>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4B7DAE"/>
    <w:pPr>
      <w:spacing w:after="200" w:line="240" w:lineRule="auto"/>
    </w:pPr>
    <w:rPr>
      <w:i/>
      <w:iCs/>
      <w:color w:val="44546A" w:themeColor="text2"/>
      <w:sz w:val="18"/>
      <w:szCs w:val="18"/>
      <w:lang w:val="en-GB"/>
    </w:rPr>
  </w:style>
  <w:style w:type="character" w:styleId="Hyperlink">
    <w:name w:val="Hyperlink"/>
    <w:basedOn w:val="DefaultParagraphFont"/>
    <w:uiPriority w:val="99"/>
    <w:semiHidden/>
    <w:unhideWhenUsed/>
    <w:rsid w:val="00E70F58"/>
    <w:rPr>
      <w:color w:val="0000FF"/>
      <w:u w:val="single"/>
    </w:rPr>
  </w:style>
  <w:style w:type="paragraph" w:styleId="ListParagraph">
    <w:name w:val="List Paragraph"/>
    <w:basedOn w:val="Normal"/>
    <w:uiPriority w:val="34"/>
    <w:qFormat/>
    <w:rsid w:val="00E70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86377">
      <w:bodyDiv w:val="1"/>
      <w:marLeft w:val="0"/>
      <w:marRight w:val="0"/>
      <w:marTop w:val="0"/>
      <w:marBottom w:val="0"/>
      <w:divBdr>
        <w:top w:val="none" w:sz="0" w:space="0" w:color="auto"/>
        <w:left w:val="none" w:sz="0" w:space="0" w:color="auto"/>
        <w:bottom w:val="none" w:sz="0" w:space="0" w:color="auto"/>
        <w:right w:val="none" w:sz="0" w:space="0" w:color="auto"/>
      </w:divBdr>
    </w:div>
    <w:div w:id="615217670">
      <w:bodyDiv w:val="1"/>
      <w:marLeft w:val="0"/>
      <w:marRight w:val="0"/>
      <w:marTop w:val="0"/>
      <w:marBottom w:val="0"/>
      <w:divBdr>
        <w:top w:val="none" w:sz="0" w:space="0" w:color="auto"/>
        <w:left w:val="none" w:sz="0" w:space="0" w:color="auto"/>
        <w:bottom w:val="none" w:sz="0" w:space="0" w:color="auto"/>
        <w:right w:val="none" w:sz="0" w:space="0" w:color="auto"/>
      </w:divBdr>
    </w:div>
    <w:div w:id="2119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ve.com/t/58570/in-vitro-assay-for-studying-aggregation-tau-protein-drug" TargetMode="Externa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cid:image001.png@01D40C8D.1AA463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4</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Marreiro</dc:creator>
  <cp:keywords/>
  <dc:description/>
  <cp:lastModifiedBy>Van Kolen, Kristof [JRDBE]</cp:lastModifiedBy>
  <cp:revision>11</cp:revision>
  <dcterms:created xsi:type="dcterms:W3CDTF">2019-12-29T13:44:00Z</dcterms:created>
  <dcterms:modified xsi:type="dcterms:W3CDTF">2020-08-06T09:09:00Z</dcterms:modified>
</cp:coreProperties>
</file>