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D80" w:rsidRPr="005B79C0" w:rsidRDefault="00185D80" w:rsidP="00185D80">
      <w:pPr>
        <w:rPr>
          <w:b/>
          <w:color w:val="70AD47" w:themeColor="accent6"/>
        </w:rPr>
      </w:pPr>
      <w:r w:rsidRPr="007F5E84">
        <w:rPr>
          <w:b/>
        </w:rPr>
        <w:t xml:space="preserve">Figure </w:t>
      </w:r>
      <w:r>
        <w:rPr>
          <w:b/>
        </w:rPr>
        <w:t>S1</w:t>
      </w:r>
    </w:p>
    <w:p w:rsidR="00185D80" w:rsidRDefault="00181AFC" w:rsidP="00185D80">
      <w:pPr>
        <w:jc w:val="center"/>
        <w:rPr>
          <w:lang w:val="de-DE"/>
        </w:rPr>
      </w:pPr>
      <w:r>
        <w:rPr>
          <w:noProof/>
        </w:rPr>
        <w:drawing>
          <wp:inline distT="0" distB="0" distL="0" distR="0" wp14:anchorId="5F22C9F4">
            <wp:extent cx="5676900" cy="3876147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995" cy="3891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4A7" w:rsidRDefault="00185D80" w:rsidP="00185D80">
      <w:pPr>
        <w:rPr>
          <w:sz w:val="22"/>
        </w:rPr>
      </w:pPr>
      <w:proofErr w:type="spellStart"/>
      <w:r w:rsidRPr="00383D24">
        <w:rPr>
          <w:b/>
          <w:sz w:val="22"/>
        </w:rPr>
        <w:t>Bioinformatic</w:t>
      </w:r>
      <w:proofErr w:type="spellEnd"/>
      <w:r w:rsidRPr="00383D24">
        <w:rPr>
          <w:b/>
          <w:sz w:val="22"/>
        </w:rPr>
        <w:t xml:space="preserve"> analysis of KDM6A tetratricopeptide repeats</w:t>
      </w:r>
      <w:r w:rsidRPr="00383D24">
        <w:rPr>
          <w:sz w:val="22"/>
        </w:rPr>
        <w:t xml:space="preserve">. </w:t>
      </w:r>
      <w:r w:rsidRPr="00383D24">
        <w:rPr>
          <w:b/>
          <w:sz w:val="22"/>
        </w:rPr>
        <w:t>A.</w:t>
      </w:r>
      <w:r w:rsidRPr="00383D24">
        <w:rPr>
          <w:sz w:val="22"/>
        </w:rPr>
        <w:t xml:space="preserve"> Alignment of annotated KDM6A TPRs using the </w:t>
      </w:r>
      <w:proofErr w:type="spellStart"/>
      <w:r w:rsidRPr="00FA16D1">
        <w:rPr>
          <w:i/>
          <w:sz w:val="22"/>
        </w:rPr>
        <w:t>TPRprediction</w:t>
      </w:r>
      <w:proofErr w:type="spellEnd"/>
      <w:r w:rsidRPr="00FA16D1">
        <w:rPr>
          <w:i/>
          <w:sz w:val="22"/>
        </w:rPr>
        <w:t xml:space="preserve"> and alignment tool</w:t>
      </w:r>
      <w:r w:rsidRPr="00383D24">
        <w:rPr>
          <w:sz w:val="22"/>
        </w:rPr>
        <w:t xml:space="preserve"> published in </w:t>
      </w:r>
      <w:r w:rsidRPr="00383D24">
        <w:rPr>
          <w:sz w:val="22"/>
        </w:rPr>
        <w:fldChar w:fldCharType="begin"/>
      </w:r>
      <w:r w:rsidRPr="00383D24">
        <w:rPr>
          <w:sz w:val="22"/>
        </w:rPr>
        <w:instrText xml:space="preserve"> ADDIN EN.CITE &lt;EndNote&gt;&lt;Cite&gt;&lt;Author&gt;Karpenahalli&lt;/Author&gt;&lt;Year&gt;2007&lt;/Year&gt;&lt;RecNum&gt;22&lt;/RecNum&gt;&lt;DisplayText&gt;[1]&lt;/DisplayText&gt;&lt;record&gt;&lt;rec-number&gt;22&lt;/rec-number&gt;&lt;foreign-keys&gt;&lt;key app="EN" db-id="2rzpsetz4avzsoeft5qvvtvrpsd0dwvztw9r" timestamp="1604309405"&gt;22&lt;/key&gt;&lt;/foreign-keys&gt;&lt;ref-type name="Journal Article"&gt;17&lt;/ref-type&gt;&lt;contributors&gt;&lt;authors&gt;&lt;author&gt;Karpenahalli, Manjunatha R.&lt;/author&gt;&lt;author&gt;Lupas, Andrei N.&lt;/author&gt;&lt;author&gt;Soeding, Johannes&lt;/author&gt;&lt;/authors&gt;&lt;/contributors&gt;&lt;titles&gt;&lt;title&gt;TPRpred: a tool for prediction of TPR-, PPR- and SELI-like repeats from protein sequences&lt;/title&gt;&lt;secondary-title&gt;Bmc Bioinformatics&lt;/secondary-title&gt;&lt;/titles&gt;&lt;periodical&gt;&lt;full-title&gt;Bmc Bioinformatics&lt;/full-title&gt;&lt;/periodical&gt;&lt;volume&gt;8&lt;/volume&gt;&lt;dates&gt;&lt;year&gt;2007&lt;/year&gt;&lt;pub-dates&gt;&lt;date&gt;Jan 3&lt;/date&gt;&lt;/pub-dates&gt;&lt;/dates&gt;&lt;isbn&gt;1471-2105&lt;/isbn&gt;&lt;accession-num&gt;WOS:000243652500001&lt;/accession-num&gt;&lt;urls&gt;&lt;related-urls&gt;&lt;url&gt;&amp;lt;Go to ISI&amp;gt;://WOS:000243652500001&lt;/url&gt;&lt;/related-urls&gt;&lt;/urls&gt;&lt;custom7&gt;2&lt;/custom7&gt;&lt;electronic-resource-num&gt;10.1186/1471-2105-8-2&lt;/electronic-resource-num&gt;&lt;/record&gt;&lt;/Cite&gt;&lt;/EndNote&gt;</w:instrText>
      </w:r>
      <w:r w:rsidRPr="00383D24">
        <w:rPr>
          <w:sz w:val="22"/>
        </w:rPr>
        <w:fldChar w:fldCharType="separate"/>
      </w:r>
      <w:r w:rsidRPr="00383D24">
        <w:rPr>
          <w:noProof/>
          <w:sz w:val="22"/>
        </w:rPr>
        <w:t>[1]</w:t>
      </w:r>
      <w:r w:rsidRPr="00383D24">
        <w:rPr>
          <w:sz w:val="22"/>
        </w:rPr>
        <w:fldChar w:fldCharType="end"/>
      </w:r>
      <w:r w:rsidRPr="00383D24">
        <w:rPr>
          <w:sz w:val="22"/>
        </w:rPr>
        <w:t>. All annotated KDM6A TPRs with the given amino acid range (see label) were compared for their TPR conservation</w:t>
      </w:r>
      <w:r w:rsidR="00181AFC" w:rsidRPr="00181AFC">
        <w:rPr>
          <w:sz w:val="22"/>
        </w:rPr>
        <w:t xml:space="preserve"> </w:t>
      </w:r>
      <w:r w:rsidR="00181AFC">
        <w:rPr>
          <w:sz w:val="22"/>
        </w:rPr>
        <w:t>to the</w:t>
      </w:r>
      <w:r w:rsidR="00181AFC" w:rsidRPr="00383D24">
        <w:rPr>
          <w:sz w:val="22"/>
        </w:rPr>
        <w:t xml:space="preserve"> consensus sequence as published in </w:t>
      </w:r>
      <w:r w:rsidR="00181AFC" w:rsidRPr="00383D24">
        <w:rPr>
          <w:sz w:val="22"/>
        </w:rPr>
        <w:fldChar w:fldCharType="begin"/>
      </w:r>
      <w:r w:rsidR="00181AFC">
        <w:rPr>
          <w:sz w:val="22"/>
        </w:rPr>
        <w:instrText xml:space="preserve"> ADDIN EN.CITE &lt;EndNote&gt;&lt;Cite&gt;&lt;Author&gt;Main&lt;/Author&gt;&lt;Year&gt;2003&lt;/Year&gt;&lt;RecNum&gt;21&lt;/RecNum&gt;&lt;DisplayText&gt;[4]&lt;/DisplayText&gt;&lt;record&gt;&lt;rec-number&gt;21&lt;/rec-number&gt;&lt;foreign-keys&gt;&lt;key app="EN" db-id="2rzpsetz4avzsoeft5qvvtvrpsd0dwvztw9r" timestamp="1604309236"&gt;21&lt;/key&gt;&lt;/foreign-keys&gt;&lt;ref-type name="Journal Article"&gt;17&lt;/ref-type&gt;&lt;contributors&gt;&lt;authors&gt;&lt;author&gt;Main, E. R. G.&lt;/author&gt;&lt;author&gt;Xiong, Y.&lt;/author&gt;&lt;author&gt;Cocco, M. J.&lt;/author&gt;&lt;author&gt;D&amp;apos;Andrea, L.&lt;/author&gt;&lt;author&gt;Regan, L.&lt;/author&gt;&lt;/authors&gt;&lt;/contributors&gt;&lt;titles&gt;&lt;title&gt;Design of stable alpha-helical arrays from an idealized TPR motif&lt;/title&gt;&lt;secondary-title&gt;Structure&lt;/secondary-title&gt;&lt;/titles&gt;&lt;periodical&gt;&lt;full-title&gt;Structure&lt;/full-title&gt;&lt;/periodical&gt;&lt;pages&gt;497-508&lt;/pages&gt;&lt;volume&gt;11&lt;/volume&gt;&lt;number&gt;5&lt;/number&gt;&lt;dates&gt;&lt;year&gt;2003&lt;/year&gt;&lt;pub-dates&gt;&lt;date&gt;May&lt;/date&gt;&lt;/pub-dates&gt;&lt;/dates&gt;&lt;isbn&gt;0969-2126&lt;/isbn&gt;&lt;accession-num&gt;WOS:000182838900006&lt;/accession-num&gt;&lt;urls&gt;&lt;related-urls&gt;&lt;url&gt;&amp;lt;Go to ISI&amp;gt;://WOS:000182838900006&lt;/url&gt;&lt;/related-urls&gt;&lt;/urls&gt;&lt;electronic-resource-num&gt;10.1016/s0969-2126(03)00076-5&lt;/electronic-resource-num&gt;&lt;/record&gt;&lt;/Cite&gt;&lt;/EndNote&gt;</w:instrText>
      </w:r>
      <w:r w:rsidR="00181AFC" w:rsidRPr="00383D24">
        <w:rPr>
          <w:sz w:val="22"/>
        </w:rPr>
        <w:fldChar w:fldCharType="separate"/>
      </w:r>
      <w:r w:rsidR="00181AFC">
        <w:rPr>
          <w:noProof/>
          <w:sz w:val="22"/>
        </w:rPr>
        <w:t>[4]</w:t>
      </w:r>
      <w:r w:rsidR="00181AFC" w:rsidRPr="00383D24">
        <w:rPr>
          <w:sz w:val="22"/>
        </w:rPr>
        <w:fldChar w:fldCharType="end"/>
      </w:r>
      <w:r w:rsidR="00181AFC">
        <w:rPr>
          <w:sz w:val="22"/>
        </w:rPr>
        <w:t xml:space="preserve"> with the</w:t>
      </w:r>
      <w:r w:rsidR="00181AFC" w:rsidRPr="00383D24">
        <w:rPr>
          <w:sz w:val="22"/>
        </w:rPr>
        <w:t xml:space="preserve"> most conserved amino acids </w:t>
      </w:r>
      <w:proofErr w:type="spellStart"/>
      <w:r w:rsidR="00181AFC" w:rsidRPr="00383D24">
        <w:rPr>
          <w:sz w:val="22"/>
        </w:rPr>
        <w:t>W4</w:t>
      </w:r>
      <w:proofErr w:type="spellEnd"/>
      <w:r w:rsidR="00181AFC" w:rsidRPr="00383D24">
        <w:rPr>
          <w:sz w:val="22"/>
        </w:rPr>
        <w:t xml:space="preserve">, </w:t>
      </w:r>
      <w:proofErr w:type="spellStart"/>
      <w:r w:rsidR="00181AFC" w:rsidRPr="00383D24">
        <w:rPr>
          <w:sz w:val="22"/>
        </w:rPr>
        <w:t>L7</w:t>
      </w:r>
      <w:proofErr w:type="spellEnd"/>
      <w:r w:rsidR="00181AFC" w:rsidRPr="00383D24">
        <w:rPr>
          <w:sz w:val="22"/>
        </w:rPr>
        <w:t xml:space="preserve">, </w:t>
      </w:r>
      <w:proofErr w:type="spellStart"/>
      <w:r w:rsidR="00181AFC" w:rsidRPr="00383D24">
        <w:rPr>
          <w:sz w:val="22"/>
        </w:rPr>
        <w:t>G8</w:t>
      </w:r>
      <w:proofErr w:type="spellEnd"/>
      <w:r w:rsidR="00181AFC" w:rsidRPr="00383D24">
        <w:rPr>
          <w:sz w:val="22"/>
        </w:rPr>
        <w:t xml:space="preserve">, </w:t>
      </w:r>
      <w:proofErr w:type="spellStart"/>
      <w:r w:rsidR="00181AFC" w:rsidRPr="00383D24">
        <w:rPr>
          <w:sz w:val="22"/>
        </w:rPr>
        <w:t>Y11</w:t>
      </w:r>
      <w:proofErr w:type="spellEnd"/>
      <w:r w:rsidR="00181AFC" w:rsidRPr="00383D24">
        <w:rPr>
          <w:sz w:val="22"/>
        </w:rPr>
        <w:t xml:space="preserve">, </w:t>
      </w:r>
      <w:proofErr w:type="spellStart"/>
      <w:r w:rsidR="00181AFC" w:rsidRPr="00383D24">
        <w:rPr>
          <w:sz w:val="22"/>
        </w:rPr>
        <w:t>A20</w:t>
      </w:r>
      <w:proofErr w:type="spellEnd"/>
      <w:r w:rsidR="00181AFC" w:rsidRPr="00383D24">
        <w:rPr>
          <w:sz w:val="22"/>
        </w:rPr>
        <w:t xml:space="preserve">, </w:t>
      </w:r>
      <w:proofErr w:type="spellStart"/>
      <w:r w:rsidR="00181AFC" w:rsidRPr="00383D24">
        <w:rPr>
          <w:sz w:val="22"/>
        </w:rPr>
        <w:t>Y24</w:t>
      </w:r>
      <w:proofErr w:type="spellEnd"/>
      <w:r w:rsidR="00181AFC" w:rsidRPr="00383D24">
        <w:rPr>
          <w:sz w:val="22"/>
        </w:rPr>
        <w:t xml:space="preserve">, </w:t>
      </w:r>
      <w:proofErr w:type="spellStart"/>
      <w:r w:rsidR="00181AFC" w:rsidRPr="00383D24">
        <w:rPr>
          <w:sz w:val="22"/>
        </w:rPr>
        <w:t>A27</w:t>
      </w:r>
      <w:proofErr w:type="spellEnd"/>
      <w:r w:rsidR="00181AFC" w:rsidRPr="00383D24">
        <w:rPr>
          <w:sz w:val="22"/>
        </w:rPr>
        <w:t xml:space="preserve"> and </w:t>
      </w:r>
      <w:proofErr w:type="spellStart"/>
      <w:r w:rsidR="00181AFC" w:rsidRPr="00383D24">
        <w:rPr>
          <w:sz w:val="22"/>
        </w:rPr>
        <w:t>P30</w:t>
      </w:r>
      <w:proofErr w:type="spellEnd"/>
      <w:r w:rsidR="00181AFC">
        <w:rPr>
          <w:sz w:val="22"/>
        </w:rPr>
        <w:t xml:space="preserve">. Identity and p-values </w:t>
      </w:r>
      <w:proofErr w:type="gramStart"/>
      <w:r w:rsidR="00181AFC">
        <w:rPr>
          <w:sz w:val="22"/>
        </w:rPr>
        <w:t>are shown</w:t>
      </w:r>
      <w:proofErr w:type="gramEnd"/>
      <w:r w:rsidR="00181AFC">
        <w:rPr>
          <w:sz w:val="22"/>
        </w:rPr>
        <w:t xml:space="preserve"> on the </w:t>
      </w:r>
      <w:r w:rsidR="009E529E">
        <w:rPr>
          <w:sz w:val="22"/>
        </w:rPr>
        <w:t>right</w:t>
      </w:r>
      <w:r w:rsidR="00181AFC">
        <w:rPr>
          <w:sz w:val="22"/>
        </w:rPr>
        <w:t xml:space="preserve"> </w:t>
      </w:r>
      <w:r w:rsidR="00BC503C">
        <w:rPr>
          <w:sz w:val="22"/>
        </w:rPr>
        <w:t>hand</w:t>
      </w:r>
      <w:r w:rsidRPr="00383D24">
        <w:rPr>
          <w:sz w:val="22"/>
        </w:rPr>
        <w:t>. The 34 amino acid TPR motif could not be identified for TPR 3 (</w:t>
      </w:r>
      <w:proofErr w:type="gramStart"/>
      <w:r>
        <w:rPr>
          <w:sz w:val="22"/>
        </w:rPr>
        <w:t>aa</w:t>
      </w:r>
      <w:proofErr w:type="gramEnd"/>
      <w:r>
        <w:rPr>
          <w:sz w:val="22"/>
        </w:rPr>
        <w:t xml:space="preserve"> </w:t>
      </w:r>
      <w:r w:rsidRPr="00383D24">
        <w:rPr>
          <w:sz w:val="22"/>
        </w:rPr>
        <w:t xml:space="preserve">170-199). Color coding according to CLUSTAL W alignment. </w:t>
      </w:r>
      <w:r w:rsidRPr="00383D24">
        <w:rPr>
          <w:b/>
          <w:sz w:val="22"/>
        </w:rPr>
        <w:t>B</w:t>
      </w:r>
      <w:r w:rsidRPr="00383D24">
        <w:rPr>
          <w:sz w:val="22"/>
        </w:rPr>
        <w:t xml:space="preserve">. secondary structure prediction of TPR3 using the Quick2D on the MPI Bioinformatics toolkit server </w:t>
      </w:r>
      <w:r w:rsidRPr="00383D24">
        <w:rPr>
          <w:sz w:val="22"/>
        </w:rPr>
        <w:fldChar w:fldCharType="begin">
          <w:fldData xml:space="preserve">PEVuZE5vdGU+PENpdGU+PEF1dGhvcj5NY0d1ZmZpbjwvQXV0aG9yPjxZZWFyPjIwMDA8L1llYXI+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</w:fldData>
        </w:fldChar>
      </w:r>
      <w:r w:rsidRPr="00383D24">
        <w:rPr>
          <w:sz w:val="22"/>
        </w:rPr>
        <w:instrText xml:space="preserve"> ADDIN EN.CITE </w:instrText>
      </w:r>
      <w:r w:rsidRPr="00383D24">
        <w:rPr>
          <w:sz w:val="22"/>
        </w:rPr>
        <w:fldChar w:fldCharType="begin">
          <w:fldData xml:space="preserve">PEVuZE5vdGU+PENpdGU+PEF1dGhvcj5NY0d1ZmZpbjwvQXV0aG9yPjxZZWFyPjIwMDA8L1llYXI+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</w:fldData>
        </w:fldChar>
      </w:r>
      <w:r w:rsidRPr="00383D24">
        <w:rPr>
          <w:sz w:val="22"/>
        </w:rPr>
        <w:instrText xml:space="preserve"> ADDIN EN.CITE.DATA </w:instrText>
      </w:r>
      <w:r w:rsidRPr="00383D24">
        <w:rPr>
          <w:sz w:val="22"/>
        </w:rPr>
      </w:r>
      <w:r w:rsidRPr="00383D24">
        <w:rPr>
          <w:sz w:val="22"/>
        </w:rPr>
        <w:fldChar w:fldCharType="end"/>
      </w:r>
      <w:r w:rsidRPr="00383D24">
        <w:rPr>
          <w:sz w:val="22"/>
        </w:rPr>
      </w:r>
      <w:r w:rsidRPr="00383D24">
        <w:rPr>
          <w:sz w:val="22"/>
        </w:rPr>
        <w:fldChar w:fldCharType="separate"/>
      </w:r>
      <w:r w:rsidRPr="00383D24">
        <w:rPr>
          <w:noProof/>
          <w:sz w:val="22"/>
        </w:rPr>
        <w:t>[2, 3]</w:t>
      </w:r>
      <w:r w:rsidRPr="00383D24">
        <w:rPr>
          <w:sz w:val="22"/>
        </w:rPr>
        <w:fldChar w:fldCharType="end"/>
      </w:r>
      <w:r w:rsidRPr="00383D24">
        <w:rPr>
          <w:sz w:val="22"/>
        </w:rPr>
        <w:t xml:space="preserve"> indicated a high probabilit</w:t>
      </w:r>
      <w:r w:rsidR="007F4209">
        <w:rPr>
          <w:sz w:val="22"/>
        </w:rPr>
        <w:t>y for aa 14-26 to form a</w:t>
      </w:r>
      <w:r w:rsidR="007F4209" w:rsidRPr="007F4209">
        <w:rPr>
          <w:rFonts w:cs="Arial"/>
          <w:sz w:val="22"/>
        </w:rPr>
        <w:t>n α</w:t>
      </w:r>
      <w:r w:rsidRPr="007F4209">
        <w:rPr>
          <w:rFonts w:cs="Arial"/>
          <w:sz w:val="22"/>
        </w:rPr>
        <w:t xml:space="preserve">-helix, but aa 1-10 tend to form either an </w:t>
      </w:r>
      <w:r w:rsidR="007F4209" w:rsidRPr="007F4209">
        <w:rPr>
          <w:rFonts w:cs="Arial"/>
          <w:sz w:val="22"/>
        </w:rPr>
        <w:t>α</w:t>
      </w:r>
      <w:r w:rsidRPr="007F4209">
        <w:rPr>
          <w:rFonts w:cs="Arial"/>
          <w:sz w:val="22"/>
        </w:rPr>
        <w:t xml:space="preserve">-helix or a </w:t>
      </w:r>
      <w:r w:rsidR="007F4209" w:rsidRPr="007F4209">
        <w:rPr>
          <w:rFonts w:cs="Arial"/>
          <w:sz w:val="22"/>
        </w:rPr>
        <w:t>β</w:t>
      </w:r>
      <w:r w:rsidRPr="007F4209">
        <w:rPr>
          <w:rFonts w:cs="Arial"/>
          <w:sz w:val="22"/>
        </w:rPr>
        <w:t xml:space="preserve">-strand. </w:t>
      </w:r>
      <w:r w:rsidRPr="00383D24">
        <w:rPr>
          <w:sz w:val="22"/>
        </w:rPr>
        <w:t xml:space="preserve">Of note, the canonical 34 aa TPR repeating unit forms </w:t>
      </w:r>
      <w:r w:rsidR="00BC503C">
        <w:rPr>
          <w:sz w:val="22"/>
        </w:rPr>
        <w:t>the crucial</w:t>
      </w:r>
      <w:bookmarkStart w:id="0" w:name="_GoBack"/>
      <w:bookmarkEnd w:id="0"/>
      <w:r w:rsidRPr="00383D24">
        <w:rPr>
          <w:sz w:val="22"/>
        </w:rPr>
        <w:t xml:space="preserve"> helix-turn-helix motif </w:t>
      </w:r>
      <w:r w:rsidRPr="00383D24">
        <w:rPr>
          <w:sz w:val="22"/>
        </w:rPr>
        <w:fldChar w:fldCharType="begin"/>
      </w:r>
      <w:r w:rsidRPr="00383D24">
        <w:rPr>
          <w:sz w:val="22"/>
        </w:rPr>
        <w:instrText xml:space="preserve"> ADDIN EN.CITE &lt;EndNote&gt;&lt;Cite&gt;&lt;Author&gt;Main&lt;/Author&gt;&lt;Year&gt;2003&lt;/Year&gt;&lt;RecNum&gt;21&lt;/RecNum&gt;&lt;DisplayText&gt;[4]&lt;/DisplayText&gt;&lt;record&gt;&lt;rec-number&gt;21&lt;/rec-number&gt;&lt;foreign-keys&gt;&lt;key app="EN" db-id="2rzpsetz4avzsoeft5qvvtvrpsd0dwvztw9r" timestamp="1604309236"&gt;21&lt;/key&gt;&lt;/foreign-keys&gt;&lt;ref-type name="Journal Article"&gt;17&lt;/ref-type&gt;&lt;contributors&gt;&lt;authors&gt;&lt;author&gt;Main, E. R. G.&lt;/author&gt;&lt;author&gt;Xiong, Y.&lt;/author&gt;&lt;author&gt;Cocco, M. J.&lt;/author&gt;&lt;author&gt;D&amp;apos;Andrea, L.&lt;/author&gt;&lt;author&gt;Regan, L.&lt;/author&gt;&lt;/authors&gt;&lt;/contributors&gt;&lt;titles&gt;&lt;title&gt;Design of stable alpha-helical arrays from an idealized TPR motif&lt;/title&gt;&lt;secondary-title&gt;Structure&lt;/secondary-title&gt;&lt;/titles&gt;&lt;periodical&gt;&lt;full-title&gt;Structure&lt;/full-title&gt;&lt;/periodical&gt;&lt;pages&gt;497-508&lt;/pages&gt;&lt;volume&gt;11&lt;/volume&gt;&lt;number&gt;5&lt;/number&gt;&lt;dates&gt;&lt;year&gt;2003&lt;/year&gt;&lt;pub-dates&gt;&lt;date&gt;May&lt;/date&gt;&lt;/pub-dates&gt;&lt;/dates&gt;&lt;isbn&gt;0969-2126&lt;/isbn&gt;&lt;accession-num&gt;WOS:000182838900006&lt;/accession-num&gt;&lt;urls&gt;&lt;related-urls&gt;&lt;url&gt;&amp;lt;Go to ISI&amp;gt;://WOS:000182838900006&lt;/url&gt;&lt;/related-urls&gt;&lt;/urls&gt;&lt;electronic-resource-num&gt;10.1016/s0969-2126(03)00076-5&lt;/electronic-resource-num&gt;&lt;/record&gt;&lt;/Cite&gt;&lt;/EndNote&gt;</w:instrText>
      </w:r>
      <w:r w:rsidRPr="00383D24">
        <w:rPr>
          <w:sz w:val="22"/>
        </w:rPr>
        <w:fldChar w:fldCharType="separate"/>
      </w:r>
      <w:r w:rsidRPr="00383D24">
        <w:rPr>
          <w:noProof/>
          <w:sz w:val="22"/>
        </w:rPr>
        <w:t>[4]</w:t>
      </w:r>
      <w:r w:rsidRPr="00383D24">
        <w:rPr>
          <w:sz w:val="22"/>
        </w:rPr>
        <w:fldChar w:fldCharType="end"/>
      </w:r>
      <w:r w:rsidRPr="00383D24">
        <w:rPr>
          <w:sz w:val="22"/>
        </w:rPr>
        <w:t>.</w:t>
      </w:r>
      <w:r>
        <w:rPr>
          <w:sz w:val="22"/>
        </w:rPr>
        <w:t xml:space="preserve"> </w:t>
      </w:r>
      <w:r w:rsidR="00181AFC" w:rsidRPr="00383D24">
        <w:rPr>
          <w:sz w:val="22"/>
        </w:rPr>
        <w:t>In general, the N-terminal TPRs 1-4 show less strict conservation towards the canonical TPR sequence compared to the C-terminal TPRs 6-8.</w:t>
      </w:r>
    </w:p>
    <w:p w:rsidR="00181AFC" w:rsidRDefault="00181AFC" w:rsidP="00185D80">
      <w:pPr>
        <w:rPr>
          <w:sz w:val="22"/>
        </w:rPr>
      </w:pPr>
    </w:p>
    <w:p w:rsidR="00181AFC" w:rsidRPr="00181AFC" w:rsidRDefault="00181AFC" w:rsidP="00185D80">
      <w:pPr>
        <w:rPr>
          <w:sz w:val="22"/>
        </w:rPr>
      </w:pPr>
    </w:p>
    <w:p w:rsidR="00181AFC" w:rsidRPr="00181AFC" w:rsidRDefault="002724A7" w:rsidP="00181AFC">
      <w:pPr>
        <w:pStyle w:val="EndNoteBibliography"/>
        <w:spacing w:after="0"/>
        <w:ind w:left="720" w:hanging="720"/>
      </w:pPr>
      <w:r w:rsidRPr="00D65BC8">
        <w:rPr>
          <w:sz w:val="22"/>
          <w:lang w:val="de-DE"/>
        </w:rPr>
        <w:lastRenderedPageBreak/>
        <w:fldChar w:fldCharType="begin"/>
      </w:r>
      <w:r w:rsidRPr="00D65BC8">
        <w:rPr>
          <w:sz w:val="22"/>
        </w:rPr>
        <w:instrText xml:space="preserve"> ADDIN EN.REFLIST </w:instrText>
      </w:r>
      <w:r w:rsidRPr="00D65BC8">
        <w:rPr>
          <w:sz w:val="22"/>
          <w:lang w:val="de-DE"/>
        </w:rPr>
        <w:fldChar w:fldCharType="separate"/>
      </w:r>
      <w:r w:rsidR="00181AFC" w:rsidRPr="00181AFC">
        <w:t>1.</w:t>
      </w:r>
      <w:r w:rsidR="00181AFC" w:rsidRPr="00181AFC">
        <w:tab/>
        <w:t xml:space="preserve">Karpenahalli, M.R., A.N. Lupas, and J. Soeding, </w:t>
      </w:r>
      <w:r w:rsidR="00181AFC" w:rsidRPr="00181AFC">
        <w:rPr>
          <w:i/>
        </w:rPr>
        <w:t>TPRpred: a tool for prediction of TPR-, PPR- and SELI-like repeats from protein sequences.</w:t>
      </w:r>
      <w:r w:rsidR="00181AFC" w:rsidRPr="00181AFC">
        <w:t xml:space="preserve"> Bmc Bioinformatics, 2007. </w:t>
      </w:r>
      <w:r w:rsidR="00181AFC" w:rsidRPr="00181AFC">
        <w:rPr>
          <w:b/>
        </w:rPr>
        <w:t>8</w:t>
      </w:r>
      <w:r w:rsidR="00181AFC" w:rsidRPr="00181AFC">
        <w:t>.</w:t>
      </w:r>
    </w:p>
    <w:p w:rsidR="00181AFC" w:rsidRPr="00181AFC" w:rsidRDefault="00181AFC" w:rsidP="00181AFC">
      <w:pPr>
        <w:pStyle w:val="EndNoteBibliography"/>
        <w:spacing w:after="0"/>
        <w:ind w:left="720" w:hanging="720"/>
      </w:pPr>
      <w:r w:rsidRPr="00181AFC">
        <w:t>2.</w:t>
      </w:r>
      <w:r w:rsidRPr="00181AFC">
        <w:tab/>
        <w:t xml:space="preserve">McGuffin, L.J., K. Bryson, and D.T. Jones, </w:t>
      </w:r>
      <w:r w:rsidRPr="00181AFC">
        <w:rPr>
          <w:i/>
        </w:rPr>
        <w:t>The PSIPRED protein structure prediction server.</w:t>
      </w:r>
      <w:r w:rsidRPr="00181AFC">
        <w:t xml:space="preserve"> Bioinformatics, 2000. </w:t>
      </w:r>
      <w:r w:rsidRPr="00181AFC">
        <w:rPr>
          <w:b/>
        </w:rPr>
        <w:t>16</w:t>
      </w:r>
      <w:r w:rsidRPr="00181AFC">
        <w:t>(4): p. 404-405.</w:t>
      </w:r>
    </w:p>
    <w:p w:rsidR="00181AFC" w:rsidRPr="00181AFC" w:rsidRDefault="00181AFC" w:rsidP="00181AFC">
      <w:pPr>
        <w:pStyle w:val="EndNoteBibliography"/>
        <w:spacing w:after="0"/>
        <w:ind w:left="720" w:hanging="720"/>
      </w:pPr>
      <w:r w:rsidRPr="00181AFC">
        <w:t>3.</w:t>
      </w:r>
      <w:r w:rsidRPr="00181AFC">
        <w:tab/>
        <w:t xml:space="preserve">Zimmermann, L., et al., </w:t>
      </w:r>
      <w:r w:rsidRPr="00181AFC">
        <w:rPr>
          <w:i/>
        </w:rPr>
        <w:t>A Completely Reimplemented MPI Bioinformatics Toolkit with a New HHpred Server at its Core.</w:t>
      </w:r>
      <w:r w:rsidRPr="00181AFC">
        <w:t xml:space="preserve"> Journal of Molecular Biology, 2018. </w:t>
      </w:r>
      <w:r w:rsidRPr="00181AFC">
        <w:rPr>
          <w:b/>
        </w:rPr>
        <w:t>430</w:t>
      </w:r>
      <w:r w:rsidRPr="00181AFC">
        <w:t>(15): p. 2237-2243.</w:t>
      </w:r>
    </w:p>
    <w:p w:rsidR="00181AFC" w:rsidRPr="00181AFC" w:rsidRDefault="00181AFC" w:rsidP="00181AFC">
      <w:pPr>
        <w:pStyle w:val="EndNoteBibliography"/>
        <w:ind w:left="720" w:hanging="720"/>
      </w:pPr>
      <w:r w:rsidRPr="00181AFC">
        <w:t>4.</w:t>
      </w:r>
      <w:r w:rsidRPr="00181AFC">
        <w:tab/>
        <w:t xml:space="preserve">Main, E.R.G., et al., </w:t>
      </w:r>
      <w:r w:rsidRPr="00181AFC">
        <w:rPr>
          <w:i/>
        </w:rPr>
        <w:t>Design of stable alpha-helical arrays from an idealized TPR motif.</w:t>
      </w:r>
      <w:r w:rsidRPr="00181AFC">
        <w:t xml:space="preserve"> Structure, 2003. </w:t>
      </w:r>
      <w:r w:rsidRPr="00181AFC">
        <w:rPr>
          <w:b/>
        </w:rPr>
        <w:t>11</w:t>
      </w:r>
      <w:r w:rsidRPr="00181AFC">
        <w:t>(5): p. 497-508.</w:t>
      </w:r>
    </w:p>
    <w:p w:rsidR="00F10FE2" w:rsidRPr="00185D80" w:rsidRDefault="002724A7" w:rsidP="00185D80">
      <w:pPr>
        <w:rPr>
          <w:lang w:val="de-DE"/>
        </w:rPr>
      </w:pPr>
      <w:r w:rsidRPr="00D65BC8">
        <w:rPr>
          <w:sz w:val="22"/>
          <w:lang w:val="de-DE"/>
        </w:rPr>
        <w:fldChar w:fldCharType="end"/>
      </w:r>
    </w:p>
    <w:sectPr w:rsidR="00F10FE2" w:rsidRPr="00185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umbered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zpsetz4avzsoeft5qvvtvrpsd0dwvztw9r&quot;&gt;EndNote KDM6A 2020&lt;record-ids&gt;&lt;item&gt;21&lt;/item&gt;&lt;item&gt;22&lt;/item&gt;&lt;item&gt;23&lt;/item&gt;&lt;item&gt;24&lt;/item&gt;&lt;/record-ids&gt;&lt;/item&gt;&lt;/Libraries&gt;"/>
  </w:docVars>
  <w:rsids>
    <w:rsidRoot w:val="00185D80"/>
    <w:rsid w:val="00181AFC"/>
    <w:rsid w:val="00185D80"/>
    <w:rsid w:val="002724A7"/>
    <w:rsid w:val="007F4209"/>
    <w:rsid w:val="009E529E"/>
    <w:rsid w:val="009F3111"/>
    <w:rsid w:val="00BB121F"/>
    <w:rsid w:val="00BC503C"/>
    <w:rsid w:val="00D65BC8"/>
    <w:rsid w:val="00F10FE2"/>
    <w:rsid w:val="00FA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FEDF7"/>
  <w15:chartTrackingRefBased/>
  <w15:docId w15:val="{0A830F5F-A07A-4466-BA44-17D90C73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5D80"/>
    <w:pPr>
      <w:spacing w:line="360" w:lineRule="auto"/>
      <w:jc w:val="both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link w:val="EndNoteBibliographyTitleZchn"/>
    <w:rsid w:val="002724A7"/>
    <w:pPr>
      <w:spacing w:after="0"/>
      <w:jc w:val="center"/>
    </w:pPr>
    <w:rPr>
      <w:rFonts w:cs="Arial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2724A7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Standard"/>
    <w:link w:val="EndNoteBibliographyZchn"/>
    <w:rsid w:val="002724A7"/>
    <w:pPr>
      <w:spacing w:line="240" w:lineRule="auto"/>
    </w:pPr>
    <w:rPr>
      <w:rFonts w:cs="Arial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2724A7"/>
    <w:rPr>
      <w:rFonts w:ascii="Arial" w:hAnsi="Arial" w:cs="Arial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Greife, Annemarie</dc:creator>
  <cp:keywords/>
  <dc:description/>
  <cp:lastModifiedBy>Greife, Annemarie</cp:lastModifiedBy>
  <cp:revision>4</cp:revision>
  <dcterms:created xsi:type="dcterms:W3CDTF">2021-05-21T10:34:00Z</dcterms:created>
  <dcterms:modified xsi:type="dcterms:W3CDTF">2021-06-11T09:26:00Z</dcterms:modified>
</cp:coreProperties>
</file>