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E09C6" w14:textId="54AE78EE" w:rsidR="004E61D6" w:rsidRDefault="004E61D6" w:rsidP="004E61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1D6">
        <w:rPr>
          <w:rFonts w:ascii="Times New Roman" w:hAnsi="Times New Roman" w:cs="Times New Roman"/>
          <w:b/>
          <w:sz w:val="24"/>
          <w:szCs w:val="24"/>
        </w:rPr>
        <w:t>Research Hightlights</w:t>
      </w:r>
    </w:p>
    <w:p w14:paraId="44622418" w14:textId="77777777" w:rsidR="004E61D6" w:rsidRPr="004E61D6" w:rsidRDefault="004E61D6" w:rsidP="004E61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AD7F" w14:textId="77777777" w:rsidR="003A3597" w:rsidRPr="003A3597" w:rsidRDefault="003A3597" w:rsidP="003A3597">
      <w:pPr>
        <w:pStyle w:val="a7"/>
        <w:numPr>
          <w:ilvl w:val="0"/>
          <w:numId w:val="1"/>
        </w:numPr>
        <w:spacing w:line="480" w:lineRule="auto"/>
        <w:ind w:firstLineChars="0"/>
        <w:rPr>
          <w:rFonts w:ascii="Times New Roman" w:eastAsia="宋体" w:hAnsi="Times New Roman" w:cs="Times New Roman"/>
          <w:bCs/>
          <w:sz w:val="24"/>
        </w:rPr>
      </w:pPr>
      <w:r w:rsidRPr="003A3597">
        <w:rPr>
          <w:rFonts w:ascii="Times New Roman" w:eastAsia="宋体" w:hAnsi="Times New Roman" w:cs="Times New Roman"/>
          <w:bCs/>
          <w:sz w:val="24"/>
        </w:rPr>
        <w:t>BMP9 promoted HTR-8/SVneo cell proliferation, migration and invasion</w:t>
      </w:r>
    </w:p>
    <w:p w14:paraId="58EB162C" w14:textId="77777777" w:rsidR="003A3597" w:rsidRPr="003A3597" w:rsidRDefault="003A3597" w:rsidP="003A3597">
      <w:pPr>
        <w:pStyle w:val="a7"/>
        <w:numPr>
          <w:ilvl w:val="0"/>
          <w:numId w:val="1"/>
        </w:numPr>
        <w:spacing w:line="480" w:lineRule="auto"/>
        <w:ind w:firstLineChars="0"/>
        <w:rPr>
          <w:rFonts w:ascii="Times New Roman" w:eastAsia="宋体" w:hAnsi="Times New Roman" w:cs="Times New Roman"/>
          <w:bCs/>
          <w:sz w:val="24"/>
        </w:rPr>
      </w:pPr>
      <w:r w:rsidRPr="003A3597">
        <w:rPr>
          <w:rFonts w:ascii="Times New Roman" w:eastAsia="宋体" w:hAnsi="Times New Roman" w:cs="Times New Roman"/>
          <w:bCs/>
          <w:sz w:val="24"/>
        </w:rPr>
        <w:t>BMP9 inhibited apoptosis of HTR-8/SVneo cells</w:t>
      </w:r>
    </w:p>
    <w:p w14:paraId="7086E2D3" w14:textId="77777777" w:rsidR="003A3597" w:rsidRPr="003A3597" w:rsidRDefault="003A3597" w:rsidP="003A3597">
      <w:pPr>
        <w:pStyle w:val="a7"/>
        <w:numPr>
          <w:ilvl w:val="0"/>
          <w:numId w:val="1"/>
        </w:numPr>
        <w:spacing w:line="480" w:lineRule="auto"/>
        <w:ind w:firstLineChars="0"/>
        <w:rPr>
          <w:rFonts w:ascii="Times New Roman" w:eastAsia="宋体" w:hAnsi="Times New Roman" w:cs="Times New Roman"/>
          <w:bCs/>
          <w:sz w:val="24"/>
        </w:rPr>
      </w:pPr>
      <w:r w:rsidRPr="003A3597">
        <w:rPr>
          <w:rFonts w:ascii="Times New Roman" w:eastAsia="宋体" w:hAnsi="Times New Roman" w:cs="Times New Roman"/>
          <w:bCs/>
          <w:sz w:val="24"/>
        </w:rPr>
        <w:t>BMP9 positively regulated the expression of SDF1 and CXCR4</w:t>
      </w:r>
    </w:p>
    <w:p w14:paraId="6E9FFF19" w14:textId="42148D5E" w:rsidR="00F125E4" w:rsidRPr="003A3597" w:rsidRDefault="003A3597" w:rsidP="003A3597">
      <w:pPr>
        <w:pStyle w:val="a7"/>
        <w:numPr>
          <w:ilvl w:val="0"/>
          <w:numId w:val="1"/>
        </w:numPr>
        <w:spacing w:line="480" w:lineRule="auto"/>
        <w:ind w:firstLineChars="0"/>
        <w:rPr>
          <w:rFonts w:ascii="Times New Roman" w:eastAsia="宋体" w:hAnsi="Times New Roman" w:cs="Times New Roman" w:hint="eastAsia"/>
          <w:bCs/>
          <w:sz w:val="24"/>
        </w:rPr>
      </w:pPr>
      <w:r w:rsidRPr="003A3597">
        <w:rPr>
          <w:rFonts w:ascii="Times New Roman" w:eastAsia="宋体" w:hAnsi="Times New Roman" w:cs="Times New Roman"/>
          <w:bCs/>
          <w:sz w:val="24"/>
        </w:rPr>
        <w:t>BMP9 regulate</w:t>
      </w:r>
      <w:r w:rsidRPr="003A3597">
        <w:rPr>
          <w:rFonts w:ascii="Times New Roman" w:eastAsia="宋体" w:hAnsi="Times New Roman" w:cs="Times New Roman"/>
          <w:bCs/>
          <w:sz w:val="24"/>
        </w:rPr>
        <w:t>d</w:t>
      </w:r>
      <w:r w:rsidRPr="003A3597">
        <w:rPr>
          <w:rFonts w:ascii="Times New Roman" w:eastAsia="宋体" w:hAnsi="Times New Roman" w:cs="Times New Roman"/>
          <w:bCs/>
          <w:sz w:val="24"/>
        </w:rPr>
        <w:t xml:space="preserve"> cellular phenotype and apoptosis through the SDF1/CXCR4 pathway.</w:t>
      </w:r>
    </w:p>
    <w:sectPr w:rsidR="00F125E4" w:rsidRPr="003A359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F5C0C" w14:textId="77777777" w:rsidR="003745B8" w:rsidRDefault="003745B8" w:rsidP="00F125E4">
      <w:r>
        <w:separator/>
      </w:r>
    </w:p>
  </w:endnote>
  <w:endnote w:type="continuationSeparator" w:id="0">
    <w:p w14:paraId="2F776088" w14:textId="77777777" w:rsidR="003745B8" w:rsidRDefault="003745B8" w:rsidP="00F12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IX-Regular">
    <w:altName w:val="Cambria"/>
    <w:panose1 w:val="00000000000000000000"/>
    <w:charset w:val="00"/>
    <w:family w:val="roman"/>
    <w:notTrueType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0CB3A" w14:textId="77777777" w:rsidR="003745B8" w:rsidRDefault="003745B8" w:rsidP="00F125E4">
      <w:r>
        <w:separator/>
      </w:r>
    </w:p>
  </w:footnote>
  <w:footnote w:type="continuationSeparator" w:id="0">
    <w:p w14:paraId="098EFCEC" w14:textId="77777777" w:rsidR="003745B8" w:rsidRDefault="003745B8" w:rsidP="00F12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B02F5"/>
    <w:multiLevelType w:val="hybridMultilevel"/>
    <w:tmpl w:val="44C6F6C6"/>
    <w:lvl w:ilvl="0" w:tplc="DEC48D12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885367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C20"/>
    <w:rsid w:val="00046800"/>
    <w:rsid w:val="00107C02"/>
    <w:rsid w:val="00204818"/>
    <w:rsid w:val="003745B8"/>
    <w:rsid w:val="003A3597"/>
    <w:rsid w:val="003C7848"/>
    <w:rsid w:val="004E61D6"/>
    <w:rsid w:val="0074558C"/>
    <w:rsid w:val="009227EE"/>
    <w:rsid w:val="00B90C20"/>
    <w:rsid w:val="00CE68E9"/>
    <w:rsid w:val="00D07995"/>
    <w:rsid w:val="00DB75F3"/>
    <w:rsid w:val="00E117EE"/>
    <w:rsid w:val="00E50A50"/>
    <w:rsid w:val="00F0776D"/>
    <w:rsid w:val="00F125E4"/>
    <w:rsid w:val="00F34DD6"/>
    <w:rsid w:val="00F7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FAC62D"/>
  <w15:chartTrackingRefBased/>
  <w15:docId w15:val="{16BB2366-0873-493A-A6B3-B87709E4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C20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046800"/>
    <w:rPr>
      <w:rFonts w:ascii="STIX-Regular" w:hAnsi="STIX-Regular" w:hint="default"/>
      <w:b w:val="0"/>
      <w:bCs w:val="0"/>
      <w:i w:val="0"/>
      <w:iCs w:val="0"/>
      <w:color w:val="00000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F125E4"/>
    <w:pPr>
      <w:pBdr>
        <w:bottom w:val="single" w:sz="6" w:space="1" w:color="auto"/>
      </w:pBdr>
      <w:tabs>
        <w:tab w:val="center" w:pos="4320"/>
        <w:tab w:val="right" w:pos="8640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25E4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25E4"/>
    <w:pPr>
      <w:tabs>
        <w:tab w:val="center" w:pos="4320"/>
        <w:tab w:val="right" w:pos="8640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25E4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4E61D6"/>
    <w:pPr>
      <w:ind w:firstLineChars="200" w:firstLine="420"/>
    </w:pPr>
  </w:style>
  <w:style w:type="paragraph" w:customStyle="1" w:styleId="EndNoteBibliography">
    <w:name w:val="EndNote Bibliography"/>
    <w:basedOn w:val="a"/>
    <w:link w:val="EndNoteBibliography0"/>
    <w:qFormat/>
    <w:rsid w:val="004E61D6"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sid w:val="004E61D6"/>
    <w:rPr>
      <w:rFonts w:ascii="等线" w:eastAsia="等线" w:hAnsi="等线"/>
      <w:kern w:val="2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zhenzhen</dc:creator>
  <cp:keywords/>
  <dc:description/>
  <cp:lastModifiedBy>wang zhenzhen</cp:lastModifiedBy>
  <cp:revision>11</cp:revision>
  <dcterms:created xsi:type="dcterms:W3CDTF">2021-09-01T01:35:00Z</dcterms:created>
  <dcterms:modified xsi:type="dcterms:W3CDTF">2022-06-10T01:30:00Z</dcterms:modified>
</cp:coreProperties>
</file>