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cs="Times New Roman"/>
          <w:b/>
          <w:bCs/>
          <w:szCs w:val="21"/>
        </w:rPr>
      </w:pPr>
      <w:r>
        <w:rPr>
          <w:rFonts w:hint="eastAsia" w:ascii="Times New Roman" w:hAnsi="Times New Roman" w:cs="Times New Roman"/>
          <w:b/>
          <w:bCs/>
          <w:szCs w:val="21"/>
        </w:rPr>
        <w:t>Supplementary Fig. S1</w:t>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274310" cy="7010400"/>
            <wp:effectExtent l="0" t="0" r="2540" b="0"/>
            <wp:docPr id="11161777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77706"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7010400"/>
                    </a:xfrm>
                    <a:prstGeom prst="rect">
                      <a:avLst/>
                    </a:prstGeom>
                  </pic:spPr>
                </pic:pic>
              </a:graphicData>
            </a:graphic>
          </wp:inline>
        </w:drawing>
      </w:r>
    </w:p>
    <w:p>
      <w:pPr>
        <w:spacing w:line="360" w:lineRule="auto"/>
        <w:rPr>
          <w:rFonts w:ascii="Times New Roman" w:hAnsi="Times New Roman" w:cs="Times New Roman"/>
          <w:szCs w:val="21"/>
        </w:rPr>
      </w:pPr>
    </w:p>
    <w:p>
      <w:pPr>
        <w:spacing w:line="360" w:lineRule="auto"/>
        <w:rPr>
          <w:rFonts w:ascii="Times New Roman" w:hAnsi="Times New Roman" w:cs="Times New Roman"/>
          <w:szCs w:val="21"/>
        </w:rPr>
      </w:pPr>
    </w:p>
    <w:p>
      <w:pPr>
        <w:spacing w:line="360" w:lineRule="auto"/>
        <w:rPr>
          <w:rFonts w:ascii="Times New Roman" w:hAnsi="Times New Roman" w:cs="Times New Roman"/>
          <w:szCs w:val="21"/>
        </w:rPr>
      </w:pPr>
    </w:p>
    <w:p>
      <w:pPr>
        <w:spacing w:line="360" w:lineRule="auto"/>
        <w:rPr>
          <w:rFonts w:ascii="Times New Roman" w:hAnsi="Times New Roman" w:cs="Times New Roman"/>
          <w:szCs w:val="21"/>
        </w:rPr>
      </w:pPr>
    </w:p>
    <w:p>
      <w:pPr>
        <w:spacing w:line="360" w:lineRule="auto"/>
        <w:rPr>
          <w:rFonts w:ascii="Times New Roman" w:hAnsi="Times New Roman" w:cs="Times New Roman"/>
          <w:szCs w:val="21"/>
        </w:rPr>
      </w:pPr>
    </w:p>
    <w:p>
      <w:pPr>
        <w:spacing w:line="360" w:lineRule="auto"/>
        <w:rPr>
          <w:rFonts w:ascii="Times New Roman" w:hAnsi="Times New Roman" w:cs="Times New Roman"/>
          <w:szCs w:val="21"/>
        </w:rPr>
      </w:pPr>
      <w:r>
        <w:rPr>
          <w:rFonts w:hint="eastAsia" w:ascii="Times New Roman" w:hAnsi="Times New Roman" w:cs="Times New Roman"/>
          <w:b/>
          <w:bCs/>
          <w:szCs w:val="21"/>
        </w:rPr>
        <w:t>Supplementary Fig. S2</w:t>
      </w:r>
    </w:p>
    <w:p>
      <w:pPr>
        <w:rPr>
          <w:szCs w:val="21"/>
        </w:rPr>
      </w:pPr>
      <w:r>
        <w:rPr>
          <w:szCs w:val="21"/>
        </w:rPr>
        <w:drawing>
          <wp:inline distT="0" distB="0" distL="0" distR="0">
            <wp:extent cx="5274310" cy="5546725"/>
            <wp:effectExtent l="0" t="0" r="2540" b="0"/>
            <wp:docPr id="10211988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98895"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5546725"/>
                    </a:xfrm>
                    <a:prstGeom prst="rect">
                      <a:avLst/>
                    </a:prstGeom>
                  </pic:spPr>
                </pic:pic>
              </a:graphicData>
            </a:graphic>
          </wp:inline>
        </w:drawing>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spacing w:line="360" w:lineRule="auto"/>
        <w:rPr>
          <w:szCs w:val="21"/>
        </w:rPr>
      </w:pPr>
      <w:r>
        <w:rPr>
          <w:rFonts w:hint="eastAsia" w:ascii="Times New Roman" w:hAnsi="Times New Roman" w:cs="Times New Roman"/>
          <w:b/>
          <w:bCs/>
          <w:szCs w:val="21"/>
        </w:rPr>
        <w:t>Supplementary Fig. S3</w:t>
      </w:r>
    </w:p>
    <w:p>
      <w:pPr>
        <w:rPr>
          <w:szCs w:val="21"/>
        </w:rPr>
      </w:pPr>
      <w:r>
        <w:rPr>
          <w:szCs w:val="21"/>
        </w:rPr>
        <w:drawing>
          <wp:inline distT="0" distB="0" distL="0" distR="0">
            <wp:extent cx="5274310" cy="5888990"/>
            <wp:effectExtent l="0" t="0" r="2540" b="0"/>
            <wp:docPr id="14672720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72055"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5888990"/>
                    </a:xfrm>
                    <a:prstGeom prst="rect">
                      <a:avLst/>
                    </a:prstGeom>
                  </pic:spPr>
                </pic:pic>
              </a:graphicData>
            </a:graphic>
          </wp:inline>
        </w:drawing>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spacing w:line="360" w:lineRule="auto"/>
        <w:rPr>
          <w:szCs w:val="21"/>
        </w:rPr>
      </w:pPr>
      <w:bookmarkStart w:id="0" w:name="OLE_LINK1"/>
      <w:r>
        <w:rPr>
          <w:rFonts w:hint="eastAsia" w:ascii="Times New Roman" w:hAnsi="Times New Roman" w:cs="Times New Roman"/>
          <w:b/>
          <w:bCs/>
          <w:szCs w:val="21"/>
        </w:rPr>
        <w:t>Supplementary Fig. S4</w:t>
      </w:r>
      <w:bookmarkEnd w:id="0"/>
    </w:p>
    <w:p>
      <w:pPr>
        <w:rPr>
          <w:szCs w:val="21"/>
        </w:rPr>
      </w:pPr>
      <w:r>
        <w:rPr>
          <w:szCs w:val="21"/>
        </w:rPr>
        <w:drawing>
          <wp:inline distT="0" distB="0" distL="0" distR="0">
            <wp:extent cx="5274310" cy="6981825"/>
            <wp:effectExtent l="0" t="0" r="2540" b="9525"/>
            <wp:docPr id="4740192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19218" name="图片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6981825"/>
                    </a:xfrm>
                    <a:prstGeom prst="rect">
                      <a:avLst/>
                    </a:prstGeom>
                  </pic:spPr>
                </pic:pic>
              </a:graphicData>
            </a:graphic>
          </wp:inline>
        </w:drawing>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spacing w:line="360" w:lineRule="auto"/>
        <w:rPr>
          <w:szCs w:val="21"/>
        </w:rPr>
      </w:pPr>
      <w:r>
        <w:rPr>
          <w:rFonts w:hint="eastAsia" w:ascii="Times New Roman" w:hAnsi="Times New Roman" w:cs="Times New Roman"/>
          <w:b/>
          <w:bCs/>
          <w:szCs w:val="21"/>
        </w:rPr>
        <w:t xml:space="preserve">Supplementary </w:t>
      </w:r>
      <w:bookmarkStart w:id="1" w:name="OLE_LINK5"/>
      <w:bookmarkStart w:id="5" w:name="_GoBack"/>
      <w:r>
        <w:rPr>
          <w:rFonts w:hint="eastAsia" w:ascii="Times New Roman" w:hAnsi="Times New Roman" w:cs="Times New Roman"/>
          <w:b/>
          <w:bCs/>
          <w:szCs w:val="21"/>
        </w:rPr>
        <w:t>Fig. S5</w:t>
      </w:r>
      <w:bookmarkEnd w:id="1"/>
      <w:bookmarkEnd w:id="5"/>
    </w:p>
    <w:p>
      <w:pPr>
        <w:spacing w:line="360" w:lineRule="auto"/>
        <w:rPr>
          <w:szCs w:val="21"/>
        </w:rPr>
      </w:pPr>
      <w:r>
        <w:rPr>
          <w:szCs w:val="21"/>
        </w:rPr>
        <w:drawing>
          <wp:inline distT="0" distB="0" distL="0" distR="0">
            <wp:extent cx="5274310" cy="5114925"/>
            <wp:effectExtent l="0" t="0" r="2540" b="9525"/>
            <wp:docPr id="144888327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83276" name="图片 5"/>
                    <pic:cNvPicPr>
                      <a:picLocks noChangeAspect="1"/>
                    </pic:cNvPicPr>
                  </pic:nvPicPr>
                  <pic:blipFill>
                    <a:blip r:embed="rId8" cstate="print">
                      <a:extLst>
                        <a:ext uri="{28A0092B-C50C-407E-A947-70E740481C1C}">
                          <a14:useLocalDpi xmlns:a14="http://schemas.microsoft.com/office/drawing/2010/main" val="0"/>
                        </a:ext>
                      </a:extLst>
                    </a:blip>
                    <a:srcRect b="31911"/>
                    <a:stretch>
                      <a:fillRect/>
                    </a:stretch>
                  </pic:blipFill>
                  <pic:spPr>
                    <a:xfrm>
                      <a:off x="0" y="0"/>
                      <a:ext cx="5274310" cy="5114925"/>
                    </a:xfrm>
                    <a:prstGeom prst="rect">
                      <a:avLst/>
                    </a:prstGeom>
                    <a:ln>
                      <a:noFill/>
                    </a:ln>
                  </pic:spPr>
                </pic:pic>
              </a:graphicData>
            </a:graphic>
          </wp:inline>
        </w:drawing>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spacing w:line="360" w:lineRule="auto"/>
        <w:rPr>
          <w:szCs w:val="21"/>
        </w:rPr>
      </w:pPr>
      <w:r>
        <w:rPr>
          <w:rFonts w:hint="eastAsia" w:ascii="Times New Roman" w:hAnsi="Times New Roman" w:cs="Times New Roman"/>
          <w:b/>
          <w:bCs/>
          <w:szCs w:val="21"/>
        </w:rPr>
        <w:t>Supplementary Fig. S6</w:t>
      </w:r>
    </w:p>
    <w:p>
      <w:pPr>
        <w:rPr>
          <w:szCs w:val="21"/>
        </w:rPr>
      </w:pPr>
      <w:r>
        <w:rPr>
          <w:szCs w:val="21"/>
        </w:rPr>
        <w:drawing>
          <wp:inline distT="0" distB="0" distL="0" distR="0">
            <wp:extent cx="5274310" cy="6443980"/>
            <wp:effectExtent l="0" t="0" r="2540" b="0"/>
            <wp:docPr id="25639544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95445" name="图片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6443980"/>
                    </a:xfrm>
                    <a:prstGeom prst="rect">
                      <a:avLst/>
                    </a:prstGeom>
                  </pic:spPr>
                </pic:pic>
              </a:graphicData>
            </a:graphic>
          </wp:inline>
        </w:drawing>
      </w:r>
    </w:p>
    <w:p>
      <w:pPr>
        <w:spacing w:line="360" w:lineRule="auto"/>
        <w:rPr>
          <w:rFonts w:ascii="Times New Roman" w:hAnsi="Times New Roman" w:eastAsia="宋体" w:cs="Times New Roman"/>
          <w:b/>
          <w:bCs/>
          <w:szCs w:val="21"/>
        </w:rPr>
      </w:pPr>
    </w:p>
    <w:p>
      <w:pPr>
        <w:widowControl/>
        <w:jc w:val="left"/>
        <w:rPr>
          <w:rFonts w:ascii="Times New Roman" w:hAnsi="Times New Roman" w:eastAsia="宋体" w:cs="Times New Roman"/>
          <w:b/>
          <w:bCs/>
          <w:szCs w:val="21"/>
          <w:highlight w:val="yellow"/>
        </w:rPr>
      </w:pPr>
      <w:r>
        <w:rPr>
          <w:rFonts w:ascii="Times New Roman" w:hAnsi="Times New Roman" w:eastAsia="宋体" w:cs="Times New Roman"/>
          <w:b/>
          <w:bCs/>
          <w:szCs w:val="21"/>
          <w:highlight w:val="yellow"/>
        </w:rPr>
        <w:br w:type="page"/>
      </w:r>
    </w:p>
    <w:p>
      <w:pPr>
        <w:spacing w:line="360" w:lineRule="auto"/>
        <w:rPr>
          <w:rFonts w:ascii="Times New Roman" w:hAnsi="Times New Roman" w:eastAsia="宋体" w:cs="Times New Roman"/>
          <w:b/>
          <w:bCs/>
          <w:szCs w:val="21"/>
          <w:highlight w:val="yellow"/>
        </w:rPr>
      </w:pPr>
      <w:r>
        <w:rPr>
          <w:rFonts w:hint="eastAsia" w:ascii="Times New Roman" w:hAnsi="Times New Roman" w:eastAsia="宋体" w:cs="Times New Roman"/>
          <w:b/>
          <w:bCs/>
          <w:szCs w:val="21"/>
          <w:highlight w:val="yellow"/>
        </w:rPr>
        <w:t>Supplementary Table S1. Summary of software, databases, and tools</w:t>
      </w:r>
    </w:p>
    <w:tbl>
      <w:tblPr>
        <w:tblStyle w:val="4"/>
        <w:tblW w:w="8429" w:type="dxa"/>
        <w:tblInd w:w="93" w:type="dxa"/>
        <w:tblLayout w:type="fixed"/>
        <w:tblCellMar>
          <w:top w:w="0" w:type="dxa"/>
          <w:left w:w="108" w:type="dxa"/>
          <w:bottom w:w="0" w:type="dxa"/>
          <w:right w:w="108" w:type="dxa"/>
        </w:tblCellMar>
      </w:tblPr>
      <w:tblGrid>
        <w:gridCol w:w="1470"/>
        <w:gridCol w:w="1407"/>
        <w:gridCol w:w="1720"/>
        <w:gridCol w:w="3832"/>
      </w:tblGrid>
      <w:tr>
        <w:tblPrEx>
          <w:tblCellMar>
            <w:top w:w="0" w:type="dxa"/>
            <w:left w:w="108" w:type="dxa"/>
            <w:bottom w:w="0" w:type="dxa"/>
            <w:right w:w="108" w:type="dxa"/>
          </w:tblCellMar>
        </w:tblPrEx>
        <w:trPr>
          <w:trHeight w:val="855" w:hRule="atLeast"/>
        </w:trPr>
        <w:tc>
          <w:tcPr>
            <w:tcW w:w="1470" w:type="dxa"/>
            <w:tcBorders>
              <w:top w:val="single" w:color="000000" w:sz="4" w:space="0"/>
              <w:left w:val="single" w:color="000000" w:sz="4" w:space="0"/>
              <w:bottom w:val="single" w:color="000000" w:sz="4" w:space="0"/>
              <w:right w:val="single" w:color="000000" w:sz="4" w:space="0"/>
            </w:tcBorders>
          </w:tcPr>
          <w:p>
            <w:pPr>
              <w:widowControl/>
              <w:jc w:val="center"/>
              <w:textAlignment w:val="top"/>
              <w:rPr>
                <w:rFonts w:ascii="Times New Roman" w:hAnsi="Times New Roman" w:eastAsia="宋体" w:cs="Times New Roman"/>
                <w:b/>
                <w:bCs/>
                <w:color w:val="000000"/>
                <w:sz w:val="22"/>
                <w:szCs w:val="22"/>
                <w:highlight w:val="yellow"/>
              </w:rPr>
            </w:pPr>
            <w:r>
              <w:rPr>
                <w:rFonts w:ascii="Times New Roman" w:hAnsi="Times New Roman" w:eastAsia="宋体" w:cs="Times New Roman"/>
                <w:b/>
                <w:bCs/>
                <w:color w:val="000000"/>
                <w:kern w:val="0"/>
                <w:sz w:val="22"/>
                <w:szCs w:val="22"/>
                <w:highlight w:val="yellow"/>
                <w:lang w:bidi="ar"/>
              </w:rPr>
              <w:t>Method / Software / Database</w:t>
            </w:r>
          </w:p>
        </w:tc>
        <w:tc>
          <w:tcPr>
            <w:tcW w:w="1407" w:type="dxa"/>
            <w:tcBorders>
              <w:top w:val="single" w:color="000000" w:sz="4" w:space="0"/>
              <w:left w:val="single" w:color="000000" w:sz="4" w:space="0"/>
              <w:bottom w:val="single" w:color="000000" w:sz="4" w:space="0"/>
              <w:right w:val="single" w:color="000000" w:sz="4" w:space="0"/>
            </w:tcBorders>
          </w:tcPr>
          <w:p>
            <w:pPr>
              <w:widowControl/>
              <w:jc w:val="center"/>
              <w:textAlignment w:val="top"/>
              <w:rPr>
                <w:rFonts w:ascii="Times New Roman" w:hAnsi="Times New Roman" w:eastAsia="宋体" w:cs="Times New Roman"/>
                <w:b/>
                <w:bCs/>
                <w:color w:val="000000"/>
                <w:sz w:val="22"/>
                <w:szCs w:val="22"/>
                <w:highlight w:val="yellow"/>
              </w:rPr>
            </w:pPr>
            <w:r>
              <w:rPr>
                <w:rFonts w:ascii="Times New Roman" w:hAnsi="Times New Roman" w:eastAsia="宋体" w:cs="Times New Roman"/>
                <w:b/>
                <w:bCs/>
                <w:color w:val="000000"/>
                <w:kern w:val="0"/>
                <w:sz w:val="22"/>
                <w:szCs w:val="22"/>
                <w:highlight w:val="yellow"/>
                <w:lang w:bidi="ar"/>
              </w:rPr>
              <w:t>Version</w:t>
            </w:r>
          </w:p>
        </w:tc>
        <w:tc>
          <w:tcPr>
            <w:tcW w:w="1720" w:type="dxa"/>
            <w:tcBorders>
              <w:top w:val="single" w:color="000000" w:sz="4" w:space="0"/>
              <w:left w:val="single" w:color="000000" w:sz="4" w:space="0"/>
              <w:bottom w:val="single" w:color="000000" w:sz="4" w:space="0"/>
              <w:right w:val="single" w:color="000000" w:sz="4" w:space="0"/>
            </w:tcBorders>
          </w:tcPr>
          <w:p>
            <w:pPr>
              <w:widowControl/>
              <w:jc w:val="center"/>
              <w:textAlignment w:val="top"/>
              <w:rPr>
                <w:rFonts w:ascii="Times New Roman" w:hAnsi="Times New Roman" w:eastAsia="宋体" w:cs="Times New Roman"/>
                <w:b/>
                <w:bCs/>
                <w:color w:val="000000"/>
                <w:sz w:val="22"/>
                <w:szCs w:val="22"/>
                <w:highlight w:val="yellow"/>
              </w:rPr>
            </w:pPr>
            <w:r>
              <w:rPr>
                <w:rFonts w:ascii="Times New Roman" w:hAnsi="Times New Roman" w:eastAsia="宋体" w:cs="Times New Roman"/>
                <w:b/>
                <w:bCs/>
                <w:color w:val="000000"/>
                <w:kern w:val="0"/>
                <w:sz w:val="22"/>
                <w:szCs w:val="22"/>
                <w:highlight w:val="yellow"/>
                <w:lang w:bidi="ar"/>
              </w:rPr>
              <w:t>Function / Purpose</w:t>
            </w:r>
          </w:p>
        </w:tc>
        <w:tc>
          <w:tcPr>
            <w:tcW w:w="3832" w:type="dxa"/>
            <w:tcBorders>
              <w:top w:val="single" w:color="000000" w:sz="4" w:space="0"/>
              <w:left w:val="single" w:color="000000" w:sz="4" w:space="0"/>
              <w:bottom w:val="single" w:color="000000" w:sz="4" w:space="0"/>
              <w:right w:val="single" w:color="000000" w:sz="4" w:space="0"/>
            </w:tcBorders>
          </w:tcPr>
          <w:p>
            <w:pPr>
              <w:widowControl/>
              <w:jc w:val="center"/>
              <w:textAlignment w:val="top"/>
              <w:rPr>
                <w:rFonts w:ascii="Times New Roman" w:hAnsi="Times New Roman" w:eastAsia="宋体" w:cs="Times New Roman"/>
                <w:b/>
                <w:bCs/>
                <w:color w:val="000000"/>
                <w:sz w:val="22"/>
                <w:szCs w:val="22"/>
                <w:highlight w:val="yellow"/>
              </w:rPr>
            </w:pPr>
            <w:r>
              <w:rPr>
                <w:rFonts w:ascii="Times New Roman" w:hAnsi="Times New Roman" w:eastAsia="宋体" w:cs="Times New Roman"/>
                <w:b/>
                <w:bCs/>
                <w:color w:val="000000"/>
                <w:kern w:val="0"/>
                <w:sz w:val="22"/>
                <w:szCs w:val="22"/>
                <w:highlight w:val="yellow"/>
                <w:lang w:bidi="ar"/>
              </w:rPr>
              <w:t>Official URL</w:t>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Cell Ranger</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v3.0.x / v3.1.0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Generate single-cell gene expression matrices</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"https://www.10xgenomics.com" </w:instrText>
            </w:r>
            <w:r>
              <w:fldChar w:fldCharType="separate"/>
            </w:r>
            <w:r>
              <w:rPr>
                <w:rStyle w:val="8"/>
                <w:rFonts w:ascii="Times New Roman" w:hAnsi="Times New Roman" w:eastAsia="宋体" w:cs="Times New Roman"/>
                <w:sz w:val="22"/>
                <w:szCs w:val="22"/>
                <w:highlight w:val="yellow"/>
              </w:rPr>
              <w:t>https://www.10xgenomics.com</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12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Cell Ranger ATAC</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v1.2.0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Processing scATAC-seq (single-cell ATAC sequencing) data</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800080"/>
                <w:sz w:val="22"/>
                <w:szCs w:val="22"/>
                <w:highlight w:val="yellow"/>
                <w:u w:val="single"/>
              </w:rPr>
            </w:pPr>
            <w:r>
              <w:fldChar w:fldCharType="begin"/>
            </w:r>
            <w:r>
              <w:instrText xml:space="preserve"> HYPERLINK "https://support.10xgenomics.com/single-cell-atac/software/overview/welcome" </w:instrText>
            </w:r>
            <w:r>
              <w:fldChar w:fldCharType="separate"/>
            </w:r>
            <w:r>
              <w:rPr>
                <w:rStyle w:val="8"/>
                <w:rFonts w:ascii="Times New Roman" w:hAnsi="Times New Roman" w:eastAsia="宋体" w:cs="Times New Roman"/>
                <w:sz w:val="22"/>
                <w:szCs w:val="22"/>
                <w:highlight w:val="yellow"/>
              </w:rPr>
              <w:t>https://support.10xgenomics.com/single-cell-atac/software/overview/welcome</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STAR aligner</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v2.7.3a</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RNA-seq read alignment</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"https://github.com/alexdobin/STAR" </w:instrText>
            </w:r>
            <w:r>
              <w:fldChar w:fldCharType="separate"/>
            </w:r>
            <w:r>
              <w:rPr>
                <w:rStyle w:val="8"/>
                <w:rFonts w:ascii="Times New Roman" w:hAnsi="Times New Roman" w:eastAsia="宋体" w:cs="Times New Roman"/>
                <w:sz w:val="22"/>
                <w:szCs w:val="22"/>
                <w:highlight w:val="yellow"/>
              </w:rPr>
              <w:t>https://github.com/alexdobin/STAR</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Seurat</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v3.1.2</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Preprocessing, clustering, and dimensionality reduction</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"https://satijalab.org/seurat/" </w:instrText>
            </w:r>
            <w:r>
              <w:fldChar w:fldCharType="separate"/>
            </w:r>
            <w:r>
              <w:rPr>
                <w:rStyle w:val="8"/>
                <w:rFonts w:ascii="Times New Roman" w:hAnsi="Times New Roman" w:eastAsia="宋体" w:cs="Times New Roman"/>
                <w:sz w:val="22"/>
                <w:szCs w:val="22"/>
                <w:highlight w:val="yellow"/>
              </w:rPr>
              <w:t>https://satijalab.org/seurat/</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MACS2</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v2.1.1</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Peak calling for ATAC-seq data</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"https://github.com/macs3-project/MACS" </w:instrText>
            </w:r>
            <w:r>
              <w:fldChar w:fldCharType="separate"/>
            </w:r>
            <w:r>
              <w:rPr>
                <w:rStyle w:val="8"/>
                <w:rFonts w:ascii="Times New Roman" w:hAnsi="Times New Roman" w:eastAsia="宋体" w:cs="Times New Roman"/>
                <w:sz w:val="22"/>
                <w:szCs w:val="22"/>
                <w:highlight w:val="yellow"/>
              </w:rPr>
              <w:t>https://github.com/macs3-project/MACS</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SnapATAC</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v1.0.0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Single-cell ATAC-seq analysis</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"https://github.com/r3fang/SnapATAC" </w:instrText>
            </w:r>
            <w:r>
              <w:fldChar w:fldCharType="separate"/>
            </w:r>
            <w:r>
              <w:rPr>
                <w:rStyle w:val="8"/>
                <w:rFonts w:ascii="Times New Roman" w:hAnsi="Times New Roman" w:eastAsia="宋体" w:cs="Times New Roman"/>
                <w:sz w:val="22"/>
                <w:szCs w:val="22"/>
                <w:highlight w:val="yellow"/>
              </w:rPr>
              <w:t>https://github.com/r3fang/SnapATAC</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3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HOMER</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v4.11</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Motif enrichment analysis</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"http://homer.ucsd.edu/homer/" </w:instrText>
            </w:r>
            <w:r>
              <w:fldChar w:fldCharType="separate"/>
            </w:r>
            <w:r>
              <w:rPr>
                <w:rStyle w:val="8"/>
                <w:rFonts w:ascii="Times New Roman" w:hAnsi="Times New Roman" w:eastAsia="宋体" w:cs="Times New Roman"/>
                <w:sz w:val="22"/>
                <w:szCs w:val="22"/>
                <w:highlight w:val="yellow"/>
              </w:rPr>
              <w:t>http://homer.ucsd.edu/homer/</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Monocle2</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v2.x</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Pseudotime trajectory inference</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"http://cole-trapnell-lab.github.io/monocle-release/" </w:instrText>
            </w:r>
            <w:r>
              <w:fldChar w:fldCharType="separate"/>
            </w:r>
            <w:r>
              <w:rPr>
                <w:rStyle w:val="8"/>
                <w:rFonts w:ascii="Times New Roman" w:hAnsi="Times New Roman" w:eastAsia="宋体" w:cs="Times New Roman"/>
                <w:sz w:val="22"/>
                <w:szCs w:val="22"/>
                <w:highlight w:val="yellow"/>
              </w:rPr>
              <w:t>http://cole-trapnell-lab.github.io/monocle-release/</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Slingshot</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v1.4.0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Trajectory reconstruction using MST</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"https://bioconductor.org/packages/slingshot/" </w:instrText>
            </w:r>
            <w:r>
              <w:fldChar w:fldCharType="separate"/>
            </w:r>
            <w:r>
              <w:rPr>
                <w:rStyle w:val="8"/>
                <w:rFonts w:ascii="Times New Roman" w:hAnsi="Times New Roman" w:eastAsia="宋体" w:cs="Times New Roman"/>
                <w:sz w:val="22"/>
                <w:szCs w:val="22"/>
                <w:highlight w:val="yellow"/>
              </w:rPr>
              <w:t>https://bioconductor.org/packages/slingshot/</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SCENIC</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v1.1.2-3</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TF regulatory network inference</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"https://github.com/aertslab/SCENIC" </w:instrText>
            </w:r>
            <w:r>
              <w:fldChar w:fldCharType="separate"/>
            </w:r>
            <w:r>
              <w:rPr>
                <w:rStyle w:val="8"/>
                <w:rFonts w:ascii="Times New Roman" w:hAnsi="Times New Roman" w:eastAsia="宋体" w:cs="Times New Roman"/>
                <w:sz w:val="22"/>
                <w:szCs w:val="22"/>
                <w:highlight w:val="yellow"/>
              </w:rPr>
              <w:t>https://github.com/aertslab/SCENIC</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GENIE3</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v1.6.0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Co-expression based regulatory network inference</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"https://bioconductor.org/packages/GENIE3/" </w:instrText>
            </w:r>
            <w:r>
              <w:fldChar w:fldCharType="separate"/>
            </w:r>
            <w:r>
              <w:rPr>
                <w:rStyle w:val="8"/>
                <w:rFonts w:ascii="Times New Roman" w:hAnsi="Times New Roman" w:eastAsia="宋体" w:cs="Times New Roman"/>
                <w:sz w:val="22"/>
                <w:szCs w:val="22"/>
                <w:highlight w:val="yellow"/>
              </w:rPr>
              <w:t>https://bioconductor.org/packages/GENIE3/</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RcisTarget</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v1.6.0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Motif enrichment and target prediction</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"https://bioconductor.org/packages/RcisTarget/" </w:instrText>
            </w:r>
            <w:r>
              <w:fldChar w:fldCharType="separate"/>
            </w:r>
            <w:r>
              <w:rPr>
                <w:rStyle w:val="8"/>
                <w:rFonts w:ascii="Times New Roman" w:hAnsi="Times New Roman" w:eastAsia="宋体" w:cs="Times New Roman"/>
                <w:sz w:val="22"/>
                <w:szCs w:val="22"/>
                <w:highlight w:val="yellow"/>
              </w:rPr>
              <w:t>https://bioconductor.org/packages/RcisTarget/</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AUCell</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v1.6.0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Regulon activity quantification</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"https://bioconductor.org/packages/AUCell/" </w:instrText>
            </w:r>
            <w:r>
              <w:fldChar w:fldCharType="separate"/>
            </w:r>
            <w:r>
              <w:rPr>
                <w:rStyle w:val="8"/>
                <w:rFonts w:ascii="Times New Roman" w:hAnsi="Times New Roman" w:eastAsia="宋体" w:cs="Times New Roman"/>
                <w:sz w:val="22"/>
                <w:szCs w:val="22"/>
                <w:highlight w:val="yellow"/>
              </w:rPr>
              <w:t>https://bioconductor.org/packages/AUCell/</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chromVAR</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v1.8.0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TF motif activity analysis for ATAC-seq</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"https://bioconductor.org/packages/chromVAR/" </w:instrText>
            </w:r>
            <w:r>
              <w:fldChar w:fldCharType="separate"/>
            </w:r>
            <w:r>
              <w:rPr>
                <w:rStyle w:val="8"/>
                <w:rFonts w:ascii="Times New Roman" w:hAnsi="Times New Roman" w:eastAsia="宋体" w:cs="Times New Roman"/>
                <w:sz w:val="22"/>
                <w:szCs w:val="22"/>
                <w:highlight w:val="yellow"/>
              </w:rPr>
              <w:t>https://bioconductor.org/packages/chromVAR/</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AnimalTFDB</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Transcription factor annotation database</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"http://bioinfo.life.hust.edu.cn/AnimalTFDB4/" </w:instrText>
            </w:r>
            <w:r>
              <w:fldChar w:fldCharType="separate"/>
            </w:r>
            <w:r>
              <w:rPr>
                <w:rStyle w:val="8"/>
                <w:rFonts w:ascii="Times New Roman" w:hAnsi="Times New Roman" w:eastAsia="宋体" w:cs="Times New Roman"/>
                <w:sz w:val="22"/>
                <w:szCs w:val="22"/>
                <w:highlight w:val="yellow"/>
              </w:rPr>
              <w:t>http://bioinfo.life.hust.edu.cn/AnimalTFDB4/</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CytoTRACE</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v0.3.3</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Estimate cell differentiation potential</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"https://cytotrace.stanford.edu" </w:instrText>
            </w:r>
            <w:r>
              <w:fldChar w:fldCharType="separate"/>
            </w:r>
            <w:r>
              <w:rPr>
                <w:rStyle w:val="8"/>
                <w:rFonts w:ascii="Times New Roman" w:hAnsi="Times New Roman" w:eastAsia="宋体" w:cs="Times New Roman"/>
                <w:sz w:val="22"/>
                <w:szCs w:val="22"/>
                <w:highlight w:val="yellow"/>
              </w:rPr>
              <w:t>https://cytotrace.stanford.edu</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SLICE</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v0.99.0</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Calculate transcriptional entropy for stemness</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"https://bioconductor.org/packages/SLICE/" </w:instrText>
            </w:r>
            <w:r>
              <w:fldChar w:fldCharType="separate"/>
            </w:r>
            <w:r>
              <w:rPr>
                <w:rStyle w:val="8"/>
                <w:rFonts w:ascii="Times New Roman" w:hAnsi="Times New Roman" w:eastAsia="宋体" w:cs="Times New Roman"/>
                <w:sz w:val="22"/>
                <w:szCs w:val="22"/>
                <w:highlight w:val="yellow"/>
              </w:rPr>
              <w:t>https://bioconductor.org/packages/SLICE/</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clusterProfiler</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v3.16.1</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GO/KEGG pathway enrichment</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"https://bioconductor.org/packages/clusterProfiler/" </w:instrText>
            </w:r>
            <w:r>
              <w:fldChar w:fldCharType="separate"/>
            </w:r>
            <w:r>
              <w:rPr>
                <w:rStyle w:val="8"/>
                <w:rFonts w:ascii="Times New Roman" w:hAnsi="Times New Roman" w:eastAsia="宋体" w:cs="Times New Roman"/>
                <w:sz w:val="22"/>
                <w:szCs w:val="22"/>
                <w:highlight w:val="yellow"/>
              </w:rPr>
              <w:t>https://bioconductor.org/packages/clusterProfiler/</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GSVA</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v1.36.3</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Estimate pathway activity variation</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"https://bioconductor.org/packages/GSVA/" </w:instrText>
            </w:r>
            <w:r>
              <w:fldChar w:fldCharType="separate"/>
            </w:r>
            <w:r>
              <w:rPr>
                <w:rStyle w:val="8"/>
                <w:rFonts w:ascii="Times New Roman" w:hAnsi="Times New Roman" w:eastAsia="宋体" w:cs="Times New Roman"/>
                <w:sz w:val="22"/>
                <w:szCs w:val="22"/>
                <w:highlight w:val="yellow"/>
              </w:rPr>
              <w:t>https://bioconductor.org/packages/GSVA/</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Jaccard similarity</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Quantify overlap between gene sets</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w:t>
            </w:r>
          </w:p>
        </w:tc>
      </w:tr>
      <w:tr>
        <w:tblPrEx>
          <w:tblCellMar>
            <w:top w:w="0" w:type="dxa"/>
            <w:left w:w="108" w:type="dxa"/>
            <w:bottom w:w="0" w:type="dxa"/>
            <w:right w:w="108" w:type="dxa"/>
          </w:tblCellMar>
        </w:tblPrEx>
        <w:trPr>
          <w:trHeight w:val="6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SynEcoSys database</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Single-cell annotation database</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"https://www.synecosys.com" </w:instrText>
            </w:r>
            <w:r>
              <w:fldChar w:fldCharType="separate"/>
            </w:r>
            <w:r>
              <w:rPr>
                <w:rStyle w:val="8"/>
                <w:rFonts w:ascii="Times New Roman" w:hAnsi="Times New Roman" w:eastAsia="宋体" w:cs="Times New Roman"/>
                <w:sz w:val="22"/>
                <w:szCs w:val="22"/>
                <w:highlight w:val="yellow"/>
              </w:rPr>
              <w:t>https://www.synecosys.com</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3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bedtools</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Genomic feature annotation</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"https://bedtools.readthedocs.io" </w:instrText>
            </w:r>
            <w:r>
              <w:fldChar w:fldCharType="separate"/>
            </w:r>
            <w:r>
              <w:rPr>
                <w:rStyle w:val="8"/>
                <w:rFonts w:ascii="Times New Roman" w:hAnsi="Times New Roman" w:eastAsia="宋体" w:cs="Times New Roman"/>
                <w:sz w:val="22"/>
                <w:szCs w:val="22"/>
                <w:highlight w:val="yellow"/>
              </w:rPr>
              <w:t>https://bedtools.readthedocs.io</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12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Integrative Genomics Viewer (IGV)</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v2.4.x</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Genomic visualization</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"https://software.broadinstitute.org/software/igv/" </w:instrText>
            </w:r>
            <w:r>
              <w:fldChar w:fldCharType="separate"/>
            </w:r>
            <w:r>
              <w:rPr>
                <w:rStyle w:val="8"/>
                <w:rFonts w:ascii="Times New Roman" w:hAnsi="Times New Roman" w:eastAsia="宋体" w:cs="Times New Roman"/>
                <w:sz w:val="22"/>
                <w:szCs w:val="22"/>
                <w:highlight w:val="yellow"/>
              </w:rPr>
              <w:t>https://software.broadinstitute.org/software/igv/</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21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GEXSCOPE kits / Tissue Dissociation / Preservation</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Sample preservation and dissociation</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"https://www.singleronbio.com" </w:instrText>
            </w:r>
            <w:r>
              <w:fldChar w:fldCharType="separate"/>
            </w:r>
            <w:r>
              <w:rPr>
                <w:rStyle w:val="8"/>
                <w:rFonts w:ascii="Times New Roman" w:hAnsi="Times New Roman" w:eastAsia="宋体" w:cs="Times New Roman"/>
                <w:sz w:val="22"/>
                <w:szCs w:val="22"/>
                <w:highlight w:val="yellow"/>
              </w:rPr>
              <w:t>https://www.singleronbio.com</w:t>
            </w:r>
            <w:r>
              <w:rPr>
                <w:rStyle w:val="8"/>
                <w:rFonts w:ascii="Times New Roman" w:hAnsi="Times New Roman" w:eastAsia="宋体" w:cs="Times New Roman"/>
                <w:sz w:val="22"/>
                <w:szCs w:val="22"/>
                <w:highlight w:val="yellow"/>
              </w:rPr>
              <w:fldChar w:fldCharType="end"/>
            </w:r>
          </w:p>
        </w:tc>
      </w:tr>
      <w:tr>
        <w:tblPrEx>
          <w:tblCellMar>
            <w:top w:w="0" w:type="dxa"/>
            <w:left w:w="108" w:type="dxa"/>
            <w:bottom w:w="0" w:type="dxa"/>
            <w:right w:w="108" w:type="dxa"/>
          </w:tblCellMar>
        </w:tblPrEx>
        <w:trPr>
          <w:trHeight w:val="1200" w:hRule="atLeast"/>
        </w:trPr>
        <w:tc>
          <w:tcPr>
            <w:tcW w:w="147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10X Chromium Single Cell ATAC</w:t>
            </w:r>
          </w:p>
        </w:tc>
        <w:tc>
          <w:tcPr>
            <w:tcW w:w="1407"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w:t>
            </w:r>
          </w:p>
        </w:tc>
        <w:tc>
          <w:tcPr>
            <w:tcW w:w="1720"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00"/>
                <w:sz w:val="22"/>
                <w:szCs w:val="22"/>
                <w:highlight w:val="yellow"/>
              </w:rPr>
            </w:pPr>
            <w:r>
              <w:rPr>
                <w:rFonts w:ascii="Times New Roman" w:hAnsi="Times New Roman" w:eastAsia="宋体" w:cs="Times New Roman"/>
                <w:color w:val="000000"/>
                <w:kern w:val="0"/>
                <w:sz w:val="22"/>
                <w:szCs w:val="22"/>
                <w:highlight w:val="yellow"/>
                <w:lang w:bidi="ar"/>
              </w:rPr>
              <w:t>Library construction and sequencing</w:t>
            </w:r>
          </w:p>
        </w:tc>
        <w:tc>
          <w:tcPr>
            <w:tcW w:w="3832" w:type="dxa"/>
            <w:tcBorders>
              <w:top w:val="single" w:color="000000" w:sz="4" w:space="0"/>
              <w:left w:val="single" w:color="000000" w:sz="4" w:space="0"/>
              <w:bottom w:val="single" w:color="000000" w:sz="4" w:space="0"/>
              <w:right w:val="single" w:color="000000" w:sz="4" w:space="0"/>
            </w:tcBorders>
            <w:vAlign w:val="bottom"/>
          </w:tcPr>
          <w:p>
            <w:pPr>
              <w:widowControl/>
              <w:jc w:val="left"/>
              <w:textAlignment w:val="bottom"/>
              <w:rPr>
                <w:rFonts w:ascii="Times New Roman" w:hAnsi="Times New Roman" w:eastAsia="宋体" w:cs="Times New Roman"/>
                <w:color w:val="0000FF"/>
                <w:sz w:val="22"/>
                <w:szCs w:val="22"/>
                <w:highlight w:val="yellow"/>
                <w:u w:val="single"/>
              </w:rPr>
            </w:pPr>
            <w:r>
              <w:fldChar w:fldCharType="begin"/>
            </w:r>
            <w:r>
              <w:instrText xml:space="preserve"> HYPERLINK "https://www.10xgenomics.com" </w:instrText>
            </w:r>
            <w:r>
              <w:fldChar w:fldCharType="separate"/>
            </w:r>
            <w:r>
              <w:rPr>
                <w:rStyle w:val="8"/>
                <w:rFonts w:ascii="Times New Roman" w:hAnsi="Times New Roman" w:eastAsia="宋体" w:cs="Times New Roman"/>
                <w:sz w:val="22"/>
                <w:szCs w:val="22"/>
                <w:highlight w:val="yellow"/>
              </w:rPr>
              <w:t>https://www.10xgenomics.com</w:t>
            </w:r>
            <w:r>
              <w:rPr>
                <w:rStyle w:val="8"/>
                <w:rFonts w:ascii="Times New Roman" w:hAnsi="Times New Roman" w:eastAsia="宋体" w:cs="Times New Roman"/>
                <w:sz w:val="22"/>
                <w:szCs w:val="22"/>
                <w:highlight w:val="yellow"/>
              </w:rPr>
              <w:fldChar w:fldCharType="end"/>
            </w:r>
          </w:p>
        </w:tc>
      </w:tr>
    </w:tbl>
    <w:p>
      <w:pPr>
        <w:spacing w:line="360" w:lineRule="auto"/>
        <w:rPr>
          <w:rStyle w:val="7"/>
          <w:rFonts w:ascii="Times New Roman" w:hAnsi="Times New Roman" w:eastAsia="宋体" w:cs="Times New Roman"/>
          <w:i w:val="0"/>
          <w:sz w:val="24"/>
          <w:highlight w:val="yellow"/>
        </w:rPr>
      </w:pPr>
      <w:r>
        <w:rPr>
          <w:rStyle w:val="6"/>
          <w:rFonts w:ascii="Times New Roman" w:hAnsi="Times New Roman" w:eastAsia="宋体" w:cs="Times New Roman"/>
          <w:sz w:val="24"/>
          <w:highlight w:val="yellow"/>
        </w:rPr>
        <w:t>Footnote:</w:t>
      </w:r>
      <w:r>
        <w:rPr>
          <w:rFonts w:ascii="Times New Roman" w:hAnsi="Times New Roman" w:eastAsia="宋体" w:cs="Times New Roman"/>
          <w:sz w:val="24"/>
          <w:highlight w:val="yellow"/>
        </w:rPr>
        <w:br w:type="textWrapping"/>
      </w:r>
      <w:r>
        <w:rPr>
          <w:rStyle w:val="7"/>
          <w:rFonts w:ascii="Times New Roman" w:hAnsi="Times New Roman" w:eastAsia="宋体" w:cs="Times New Roman"/>
          <w:i w:val="0"/>
          <w:sz w:val="24"/>
          <w:highlight w:val="yellow"/>
        </w:rPr>
        <w:t>“—” denotes cases where version information is not applicable, not available, or where the resource refers to an experimental kit or database rather than a software package. All listed URLs are official sources for the corresponding tools or databases.</w:t>
      </w:r>
    </w:p>
    <w:p>
      <w:pPr>
        <w:spacing w:line="360" w:lineRule="auto"/>
        <w:rPr>
          <w:rStyle w:val="7"/>
          <w:rFonts w:hint="eastAsia" w:ascii="宋体" w:hAnsi="宋体" w:eastAsia="宋体" w:cs="宋体"/>
          <w:sz w:val="24"/>
        </w:rPr>
      </w:pPr>
    </w:p>
    <w:p>
      <w:pPr>
        <w:spacing w:line="360" w:lineRule="auto"/>
        <w:rPr>
          <w:rFonts w:ascii="Times New Roman" w:hAnsi="Times New Roman" w:eastAsia="宋体" w:cs="Times New Roman"/>
          <w:b/>
          <w:bCs/>
          <w:szCs w:val="21"/>
          <w:highlight w:val="yellow"/>
        </w:rPr>
      </w:pPr>
      <w:r>
        <w:rPr>
          <w:rFonts w:hint="eastAsia" w:ascii="Times New Roman" w:hAnsi="Times New Roman" w:eastAsia="宋体" w:cs="Times New Roman"/>
          <w:b/>
          <w:bCs/>
          <w:szCs w:val="21"/>
        </w:rPr>
        <w:t>Supplementary Table S</w:t>
      </w:r>
      <w:r>
        <w:rPr>
          <w:rFonts w:hint="eastAsia" w:ascii="Times New Roman" w:hAnsi="Times New Roman" w:eastAsia="宋体" w:cs="Times New Roman"/>
          <w:b/>
          <w:bCs/>
          <w:szCs w:val="21"/>
          <w:highlight w:val="yellow"/>
        </w:rPr>
        <w:t>2</w:t>
      </w:r>
      <w:r>
        <w:rPr>
          <w:rFonts w:hint="eastAsia" w:ascii="Times New Roman" w:hAnsi="Times New Roman" w:eastAsia="宋体" w:cs="Times New Roman"/>
          <w:b/>
          <w:bCs/>
          <w:szCs w:val="21"/>
        </w:rPr>
        <w:t xml:space="preserve">. </w:t>
      </w:r>
      <w:r>
        <w:rPr>
          <w:rFonts w:hint="eastAsia" w:ascii="Times New Roman" w:hAnsi="Times New Roman" w:eastAsia="宋体" w:cs="Times New Roman"/>
          <w:b/>
          <w:bCs/>
          <w:szCs w:val="21"/>
          <w:highlight w:val="yellow"/>
        </w:rPr>
        <w:t>Summary of embryo and organ samples used in this study.</w:t>
      </w:r>
    </w:p>
    <w:tbl>
      <w:tblPr>
        <w:tblStyle w:val="4"/>
        <w:tblW w:w="4998" w:type="pct"/>
        <w:jc w:val="center"/>
        <w:tblLayout w:type="autofit"/>
        <w:tblCellMar>
          <w:top w:w="0" w:type="dxa"/>
          <w:left w:w="108" w:type="dxa"/>
          <w:bottom w:w="0" w:type="dxa"/>
          <w:right w:w="108" w:type="dxa"/>
        </w:tblCellMar>
      </w:tblPr>
      <w:tblGrid>
        <w:gridCol w:w="549"/>
        <w:gridCol w:w="941"/>
        <w:gridCol w:w="1507"/>
        <w:gridCol w:w="2079"/>
        <w:gridCol w:w="2275"/>
        <w:gridCol w:w="1168"/>
      </w:tblGrid>
      <w:tr>
        <w:tblPrEx>
          <w:tblCellMar>
            <w:top w:w="0" w:type="dxa"/>
            <w:left w:w="108" w:type="dxa"/>
            <w:bottom w:w="0" w:type="dxa"/>
            <w:right w:w="108" w:type="dxa"/>
          </w:tblCellMar>
        </w:tblPrEx>
        <w:trPr>
          <w:trHeight w:val="633" w:hRule="atLeast"/>
          <w:jc w:val="center"/>
        </w:trPr>
        <w:tc>
          <w:tcPr>
            <w:tcW w:w="322" w:type="pct"/>
            <w:tcBorders>
              <w:top w:val="single" w:color="auto" w:sz="4" w:space="0"/>
              <w:bottom w:val="single" w:color="auto" w:sz="4" w:space="0"/>
            </w:tcBorders>
          </w:tcPr>
          <w:p>
            <w:pPr>
              <w:widowControl/>
              <w:jc w:val="center"/>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No.</w:t>
            </w:r>
          </w:p>
        </w:tc>
        <w:tc>
          <w:tcPr>
            <w:tcW w:w="552" w:type="pct"/>
            <w:tcBorders>
              <w:top w:val="single" w:color="auto" w:sz="4" w:space="0"/>
              <w:bottom w:val="single" w:color="auto" w:sz="4" w:space="0"/>
            </w:tcBorders>
          </w:tcPr>
          <w:p>
            <w:pPr>
              <w:widowControl/>
              <w:jc w:val="center"/>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Tissues</w:t>
            </w:r>
          </w:p>
        </w:tc>
        <w:tc>
          <w:tcPr>
            <w:tcW w:w="884" w:type="pct"/>
            <w:tcBorders>
              <w:top w:val="single" w:color="auto" w:sz="4" w:space="0"/>
              <w:bottom w:val="single" w:color="auto" w:sz="4" w:space="0"/>
            </w:tcBorders>
          </w:tcPr>
          <w:p>
            <w:pPr>
              <w:widowControl/>
              <w:jc w:val="center"/>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Species</w:t>
            </w:r>
          </w:p>
        </w:tc>
        <w:tc>
          <w:tcPr>
            <w:tcW w:w="1220" w:type="pct"/>
            <w:tcBorders>
              <w:top w:val="single" w:color="auto" w:sz="4" w:space="0"/>
              <w:bottom w:val="single" w:color="auto" w:sz="4" w:space="0"/>
            </w:tcBorders>
          </w:tcPr>
          <w:p>
            <w:pPr>
              <w:widowControl/>
              <w:jc w:val="center"/>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Single-cell RNA-Seq datasets</w:t>
            </w:r>
          </w:p>
        </w:tc>
        <w:tc>
          <w:tcPr>
            <w:tcW w:w="1335" w:type="pct"/>
            <w:tcBorders>
              <w:top w:val="single" w:color="auto" w:sz="4" w:space="0"/>
              <w:bottom w:val="single" w:color="auto" w:sz="4" w:space="0"/>
            </w:tcBorders>
          </w:tcPr>
          <w:p>
            <w:pPr>
              <w:widowControl/>
              <w:jc w:val="center"/>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Single-cell ATAC-seq datasets</w:t>
            </w:r>
          </w:p>
        </w:tc>
        <w:tc>
          <w:tcPr>
            <w:tcW w:w="685" w:type="pct"/>
            <w:tcBorders>
              <w:top w:val="single" w:color="auto" w:sz="4" w:space="0"/>
              <w:bottom w:val="single" w:color="auto" w:sz="4" w:space="0"/>
            </w:tcBorders>
          </w:tcPr>
          <w:p>
            <w:pPr>
              <w:widowControl/>
              <w:jc w:val="center"/>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Weeks of gestation</w:t>
            </w:r>
          </w:p>
        </w:tc>
      </w:tr>
      <w:tr>
        <w:tblPrEx>
          <w:tblCellMar>
            <w:top w:w="0" w:type="dxa"/>
            <w:left w:w="108" w:type="dxa"/>
            <w:bottom w:w="0" w:type="dxa"/>
            <w:right w:w="108" w:type="dxa"/>
          </w:tblCellMar>
        </w:tblPrEx>
        <w:trPr>
          <w:trHeight w:val="322" w:hRule="atLeast"/>
          <w:jc w:val="center"/>
        </w:trPr>
        <w:tc>
          <w:tcPr>
            <w:tcW w:w="322" w:type="pct"/>
            <w:tcBorders>
              <w:top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w:t>
            </w:r>
          </w:p>
        </w:tc>
        <w:tc>
          <w:tcPr>
            <w:tcW w:w="552" w:type="pct"/>
            <w:tcBorders>
              <w:top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Embryo</w:t>
            </w:r>
          </w:p>
        </w:tc>
        <w:tc>
          <w:tcPr>
            <w:tcW w:w="884" w:type="pct"/>
            <w:tcBorders>
              <w:top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Borders>
              <w:top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Borders>
              <w:top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Borders>
              <w:top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7</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2</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Liver</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No</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8</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3</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Brain</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8</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4</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Heart</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No</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8</w:t>
            </w:r>
          </w:p>
        </w:tc>
      </w:tr>
      <w:tr>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5</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Heart</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No</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10</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6</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Brain</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10</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7</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Liver</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10</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8</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Kidney</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noWrap/>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10</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9</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Liver</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11</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10</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Brain</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11</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11</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Kidney</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11</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12</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Heart</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No</w:t>
            </w:r>
          </w:p>
        </w:tc>
        <w:tc>
          <w:tcPr>
            <w:tcW w:w="685" w:type="pct"/>
            <w:noWrap/>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11</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13</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Brain</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No</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17</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14</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Liver</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No</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17</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15</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Kidney</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17</w:t>
            </w:r>
          </w:p>
        </w:tc>
      </w:tr>
      <w:tr>
        <w:tblPrEx>
          <w:tblCellMar>
            <w:top w:w="0" w:type="dxa"/>
            <w:left w:w="108" w:type="dxa"/>
            <w:bottom w:w="0" w:type="dxa"/>
            <w:right w:w="108" w:type="dxa"/>
          </w:tblCellMar>
        </w:tblPrEx>
        <w:trPr>
          <w:trHeight w:val="312" w:hRule="atLeast"/>
          <w:jc w:val="center"/>
        </w:trPr>
        <w:tc>
          <w:tcPr>
            <w:tcW w:w="32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16</w:t>
            </w:r>
          </w:p>
        </w:tc>
        <w:tc>
          <w:tcPr>
            <w:tcW w:w="552"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Heart</w:t>
            </w:r>
          </w:p>
        </w:tc>
        <w:tc>
          <w:tcPr>
            <w:tcW w:w="884"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No</w:t>
            </w:r>
          </w:p>
        </w:tc>
        <w:tc>
          <w:tcPr>
            <w:tcW w:w="685" w:type="pct"/>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17</w:t>
            </w:r>
          </w:p>
        </w:tc>
      </w:tr>
      <w:tr>
        <w:tblPrEx>
          <w:tblCellMar>
            <w:top w:w="0" w:type="dxa"/>
            <w:left w:w="108" w:type="dxa"/>
            <w:bottom w:w="0" w:type="dxa"/>
            <w:right w:w="108" w:type="dxa"/>
          </w:tblCellMar>
        </w:tblPrEx>
        <w:trPr>
          <w:trHeight w:val="322" w:hRule="atLeast"/>
          <w:jc w:val="center"/>
        </w:trPr>
        <w:tc>
          <w:tcPr>
            <w:tcW w:w="322" w:type="pct"/>
            <w:tcBorders>
              <w:bottom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17</w:t>
            </w:r>
          </w:p>
        </w:tc>
        <w:tc>
          <w:tcPr>
            <w:tcW w:w="552" w:type="pct"/>
            <w:tcBorders>
              <w:bottom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Spleen</w:t>
            </w:r>
          </w:p>
        </w:tc>
        <w:tc>
          <w:tcPr>
            <w:tcW w:w="884" w:type="pct"/>
            <w:tcBorders>
              <w:bottom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Homo sapiens</w:t>
            </w:r>
          </w:p>
        </w:tc>
        <w:tc>
          <w:tcPr>
            <w:tcW w:w="1220" w:type="pct"/>
            <w:tcBorders>
              <w:bottom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1335" w:type="pct"/>
            <w:tcBorders>
              <w:bottom w:val="single" w:color="auto" w:sz="4" w:space="0"/>
            </w:tcBorders>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Yes</w:t>
            </w:r>
          </w:p>
        </w:tc>
        <w:tc>
          <w:tcPr>
            <w:tcW w:w="685" w:type="pct"/>
            <w:tcBorders>
              <w:bottom w:val="single" w:color="auto" w:sz="4" w:space="0"/>
            </w:tcBorders>
            <w:noWrap/>
          </w:tcPr>
          <w:p>
            <w:pPr>
              <w:widowControl/>
              <w:jc w:val="center"/>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17</w:t>
            </w:r>
          </w:p>
        </w:tc>
      </w:tr>
    </w:tbl>
    <w:p>
      <w:pPr>
        <w:spacing w:line="360" w:lineRule="auto"/>
        <w:rPr>
          <w:rFonts w:ascii="Times New Roman" w:hAnsi="Times New Roman" w:eastAsia="宋体" w:cs="Times New Roman"/>
          <w:szCs w:val="21"/>
          <w:highlight w:val="yellow"/>
        </w:rPr>
      </w:pPr>
      <w:r>
        <w:rPr>
          <w:rFonts w:hint="eastAsia" w:ascii="Times New Roman" w:hAnsi="Times New Roman" w:eastAsia="宋体" w:cs="Times New Roman"/>
          <w:b/>
          <w:bCs/>
          <w:szCs w:val="21"/>
          <w:highlight w:val="yellow"/>
        </w:rPr>
        <w:t>Footnote</w:t>
      </w:r>
      <w:r>
        <w:rPr>
          <w:rFonts w:hint="eastAsia" w:ascii="Times New Roman" w:hAnsi="Times New Roman" w:eastAsia="宋体" w:cs="Times New Roman"/>
          <w:szCs w:val="21"/>
          <w:highlight w:val="yellow"/>
        </w:rPr>
        <w:t xml:space="preserve">: All samples were obtained from spontaneous miscarriages with appropriate ethical approval. </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Weeks of gestation (GW)</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 xml:space="preserve"> denotes the estimated gestational age at the time of collection. </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Yes</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 xml:space="preserve"> indicates that sufficient viable cells were obtained and used for library preparation and sequencing; </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No</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 xml:space="preserve"> indicates that scRNA-seq or scATAC-seq data were not generated for that sample. The term </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Embryo</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 xml:space="preserve"> (GW07) refers to the whole embryo sample prior to organ dissection, whereas organ-specific samples (liver, brain, heart, kidney, spleen) were dissected at later gestational stages (GW08 - 17).</w:t>
      </w:r>
    </w:p>
    <w:p>
      <w:pPr>
        <w:spacing w:line="360" w:lineRule="auto"/>
        <w:rPr>
          <w:rFonts w:ascii="Times New Roman" w:hAnsi="Times New Roman" w:eastAsia="宋体" w:cs="Times New Roman"/>
          <w:szCs w:val="21"/>
          <w:highlight w:val="yellow"/>
        </w:rPr>
      </w:pPr>
    </w:p>
    <w:p>
      <w:pPr>
        <w:spacing w:line="360" w:lineRule="auto"/>
        <w:rPr>
          <w:rFonts w:ascii="Times New Roman" w:hAnsi="Times New Roman" w:eastAsia="宋体" w:cs="Times New Roman"/>
          <w:b/>
          <w:bCs/>
          <w:szCs w:val="21"/>
        </w:rPr>
      </w:pPr>
      <w:r>
        <w:rPr>
          <w:rFonts w:hint="eastAsia" w:ascii="Times New Roman" w:hAnsi="Times New Roman" w:eastAsia="宋体" w:cs="Times New Roman"/>
          <w:b/>
          <w:bCs/>
          <w:szCs w:val="21"/>
        </w:rPr>
        <w:t>Supplementary Table S</w:t>
      </w:r>
      <w:r>
        <w:rPr>
          <w:rFonts w:hint="eastAsia" w:ascii="Times New Roman" w:hAnsi="Times New Roman" w:eastAsia="宋体" w:cs="Times New Roman"/>
          <w:b/>
          <w:bCs/>
          <w:szCs w:val="21"/>
          <w:highlight w:val="yellow"/>
        </w:rPr>
        <w:t>3</w:t>
      </w:r>
      <w:r>
        <w:rPr>
          <w:rFonts w:hint="eastAsia" w:ascii="Times New Roman" w:hAnsi="Times New Roman" w:eastAsia="宋体" w:cs="Times New Roman"/>
          <w:b/>
          <w:bCs/>
          <w:szCs w:val="21"/>
        </w:rPr>
        <w:t xml:space="preserve">. </w:t>
      </w:r>
      <w:r>
        <w:rPr>
          <w:rFonts w:ascii="Times New Roman" w:hAnsi="Times New Roman" w:eastAsia="等线" w:cs="Times New Roman"/>
          <w:b/>
          <w:bCs/>
          <w:color w:val="000000"/>
          <w:kern w:val="0"/>
          <w:szCs w:val="21"/>
          <w:lang w:bidi="ar"/>
        </w:rPr>
        <w:t xml:space="preserve">Median </w:t>
      </w:r>
      <w:r>
        <w:rPr>
          <w:rFonts w:hint="eastAsia" w:ascii="Times New Roman" w:hAnsi="Times New Roman" w:eastAsia="等线" w:cs="Times New Roman"/>
          <w:b/>
          <w:bCs/>
          <w:color w:val="000000"/>
          <w:kern w:val="0"/>
          <w:szCs w:val="21"/>
          <w:lang w:bidi="ar"/>
        </w:rPr>
        <w:t>g</w:t>
      </w:r>
      <w:r>
        <w:rPr>
          <w:rFonts w:hint="eastAsia" w:ascii="Times New Roman" w:hAnsi="Times New Roman" w:eastAsia="宋体" w:cs="Times New Roman"/>
          <w:b/>
          <w:bCs/>
          <w:szCs w:val="21"/>
        </w:rPr>
        <w:t xml:space="preserve">ene and fragments counts per cell detected by </w:t>
      </w:r>
      <w:bookmarkStart w:id="2" w:name="OLE_LINK3"/>
      <w:r>
        <w:rPr>
          <w:rFonts w:hint="eastAsia" w:ascii="Times New Roman" w:hAnsi="Times New Roman" w:eastAsia="宋体" w:cs="Times New Roman"/>
          <w:b/>
          <w:bCs/>
          <w:szCs w:val="21"/>
        </w:rPr>
        <w:t>scRNA-Seq and scATAC-Seq</w:t>
      </w:r>
      <w:bookmarkEnd w:id="2"/>
      <w:r>
        <w:rPr>
          <w:rFonts w:hint="eastAsia" w:ascii="Times New Roman" w:hAnsi="Times New Roman" w:eastAsia="宋体" w:cs="Times New Roman"/>
          <w:b/>
          <w:bCs/>
          <w:szCs w:val="21"/>
        </w:rPr>
        <w:t>, respectively.</w:t>
      </w:r>
    </w:p>
    <w:tbl>
      <w:tblPr>
        <w:tblStyle w:val="4"/>
        <w:tblW w:w="4998" w:type="pct"/>
        <w:jc w:val="center"/>
        <w:tblLayout w:type="autofit"/>
        <w:tblCellMar>
          <w:top w:w="0" w:type="dxa"/>
          <w:left w:w="108" w:type="dxa"/>
          <w:bottom w:w="0" w:type="dxa"/>
          <w:right w:w="108" w:type="dxa"/>
        </w:tblCellMar>
      </w:tblPr>
      <w:tblGrid>
        <w:gridCol w:w="2839"/>
        <w:gridCol w:w="2839"/>
        <w:gridCol w:w="2841"/>
      </w:tblGrid>
      <w:tr>
        <w:trPr>
          <w:trHeight w:val="350" w:hRule="atLeast"/>
          <w:jc w:val="center"/>
        </w:trPr>
        <w:tc>
          <w:tcPr>
            <w:tcW w:w="1666" w:type="pct"/>
            <w:tcBorders>
              <w:top w:val="single" w:color="auto" w:sz="4" w:space="0"/>
              <w:left w:val="nil"/>
              <w:bottom w:val="single" w:color="auto" w:sz="4" w:space="0"/>
              <w:right w:val="nil"/>
            </w:tcBorders>
            <w:noWrap/>
            <w:vAlign w:val="center"/>
          </w:tcPr>
          <w:p>
            <w:pPr>
              <w:widowControl/>
              <w:jc w:val="center"/>
              <w:textAlignment w:val="center"/>
              <w:rPr>
                <w:rFonts w:ascii="Times New Roman" w:hAnsi="Times New Roman" w:eastAsia="等线" w:cs="Times New Roman"/>
                <w:b/>
                <w:bCs/>
                <w:color w:val="000000"/>
                <w:szCs w:val="21"/>
              </w:rPr>
            </w:pPr>
            <w:r>
              <w:rPr>
                <w:rFonts w:ascii="Times New Roman" w:hAnsi="Times New Roman" w:eastAsia="等线" w:cs="Times New Roman"/>
                <w:b/>
                <w:bCs/>
                <w:color w:val="000000"/>
                <w:kern w:val="0"/>
                <w:szCs w:val="21"/>
                <w:lang w:bidi="ar"/>
              </w:rPr>
              <w:t>Samples</w:t>
            </w:r>
          </w:p>
        </w:tc>
        <w:tc>
          <w:tcPr>
            <w:tcW w:w="1666" w:type="pct"/>
            <w:tcBorders>
              <w:top w:val="single" w:color="auto" w:sz="4" w:space="0"/>
              <w:left w:val="nil"/>
              <w:bottom w:val="single" w:color="auto" w:sz="4" w:space="0"/>
              <w:right w:val="nil"/>
            </w:tcBorders>
            <w:noWrap/>
            <w:vAlign w:val="center"/>
          </w:tcPr>
          <w:p>
            <w:pPr>
              <w:widowControl/>
              <w:jc w:val="center"/>
              <w:textAlignment w:val="center"/>
              <w:rPr>
                <w:rFonts w:ascii="Times New Roman" w:hAnsi="Times New Roman" w:eastAsia="等线" w:cs="Times New Roman"/>
                <w:b/>
                <w:bCs/>
                <w:color w:val="000000"/>
                <w:szCs w:val="21"/>
              </w:rPr>
            </w:pPr>
            <w:r>
              <w:rPr>
                <w:rFonts w:ascii="Times New Roman" w:hAnsi="Times New Roman" w:eastAsia="等线" w:cs="Times New Roman"/>
                <w:b/>
                <w:bCs/>
                <w:color w:val="000000"/>
                <w:kern w:val="0"/>
                <w:szCs w:val="21"/>
                <w:lang w:bidi="ar"/>
              </w:rPr>
              <w:t>Median genes per cell</w:t>
            </w:r>
          </w:p>
        </w:tc>
        <w:tc>
          <w:tcPr>
            <w:tcW w:w="1667" w:type="pct"/>
            <w:tcBorders>
              <w:top w:val="single" w:color="auto" w:sz="4" w:space="0"/>
              <w:left w:val="nil"/>
              <w:bottom w:val="single" w:color="auto" w:sz="4" w:space="0"/>
              <w:right w:val="nil"/>
            </w:tcBorders>
            <w:noWrap/>
            <w:vAlign w:val="center"/>
          </w:tcPr>
          <w:p>
            <w:pPr>
              <w:widowControl/>
              <w:jc w:val="center"/>
              <w:textAlignment w:val="center"/>
              <w:rPr>
                <w:rFonts w:ascii="Times New Roman" w:hAnsi="Times New Roman" w:eastAsia="等线" w:cs="Times New Roman"/>
                <w:b/>
                <w:bCs/>
                <w:color w:val="000000"/>
                <w:kern w:val="0"/>
                <w:szCs w:val="21"/>
                <w:lang w:bidi="ar"/>
              </w:rPr>
            </w:pPr>
            <w:r>
              <w:rPr>
                <w:rFonts w:ascii="Times New Roman" w:hAnsi="Times New Roman" w:eastAsia="等线" w:cs="Times New Roman"/>
                <w:b/>
                <w:bCs/>
                <w:color w:val="000000"/>
                <w:kern w:val="0"/>
                <w:szCs w:val="21"/>
                <w:lang w:bidi="ar"/>
              </w:rPr>
              <w:t>Median fragments per cell</w:t>
            </w:r>
          </w:p>
        </w:tc>
      </w:tr>
      <w:tr>
        <w:tblPrEx>
          <w:tblCellMar>
            <w:top w:w="0" w:type="dxa"/>
            <w:left w:w="108" w:type="dxa"/>
            <w:bottom w:w="0" w:type="dxa"/>
            <w:right w:w="108" w:type="dxa"/>
          </w:tblCellMar>
        </w:tblPrEx>
        <w:trPr>
          <w:trHeight w:val="350" w:hRule="atLeast"/>
          <w:jc w:val="center"/>
        </w:trPr>
        <w:tc>
          <w:tcPr>
            <w:tcW w:w="1666" w:type="pct"/>
            <w:tcBorders>
              <w:top w:val="single" w:color="auto" w:sz="4" w:space="0"/>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GW07</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Embryo</w:t>
            </w:r>
          </w:p>
        </w:tc>
        <w:tc>
          <w:tcPr>
            <w:tcW w:w="1666" w:type="pct"/>
            <w:tcBorders>
              <w:top w:val="single" w:color="auto" w:sz="4" w:space="0"/>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1619</w:t>
            </w:r>
          </w:p>
        </w:tc>
        <w:tc>
          <w:tcPr>
            <w:tcW w:w="1667" w:type="pct"/>
            <w:tcBorders>
              <w:top w:val="single" w:color="auto" w:sz="4" w:space="0"/>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13518</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bookmarkStart w:id="3" w:name="OLE_LINK4" w:colFirst="0" w:colLast="0"/>
            <w:r>
              <w:rPr>
                <w:rFonts w:ascii="Times New Roman" w:hAnsi="Times New Roman" w:eastAsia="等线" w:cs="Times New Roman"/>
                <w:color w:val="000000"/>
                <w:kern w:val="0"/>
                <w:szCs w:val="21"/>
                <w:highlight w:val="yellow"/>
                <w:lang w:bidi="ar"/>
              </w:rPr>
              <w:t>GW08</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Brain</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1011</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46484</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GW08</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Heart</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569</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hint="eastAsia" w:ascii="Times New Roman" w:hAnsi="Times New Roman" w:eastAsia="宋体" w:cs="Times New Roman"/>
                <w:szCs w:val="21"/>
                <w:highlight w:val="yellow"/>
              </w:rPr>
              <w:t>NA</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GW08</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Liver</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1920</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hint="eastAsia" w:ascii="Times New Roman" w:hAnsi="Times New Roman" w:eastAsia="宋体" w:cs="Times New Roman"/>
                <w:szCs w:val="21"/>
                <w:highlight w:val="yellow"/>
              </w:rPr>
              <w:t>NA</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GW10</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Brain</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928</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10295</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GW10</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Heart</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979</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hint="eastAsia" w:ascii="Times New Roman" w:hAnsi="Times New Roman" w:eastAsia="宋体" w:cs="Times New Roman"/>
                <w:szCs w:val="21"/>
                <w:highlight w:val="yellow"/>
              </w:rPr>
              <w:t>NA</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GW10</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Kidney</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1738</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4724</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GW10</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Liver</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531</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10226</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GW11</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Brain</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787</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21930</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GW11</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Heart</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878</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hint="eastAsia" w:ascii="Times New Roman" w:hAnsi="Times New Roman" w:eastAsia="宋体" w:cs="Times New Roman"/>
                <w:szCs w:val="21"/>
                <w:highlight w:val="yellow"/>
              </w:rPr>
              <w:t>NA</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GW11</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Kidney</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1451</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27074</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GW11</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Liver</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1238</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19064</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GW17</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Brain</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1050</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hint="eastAsia" w:ascii="Times New Roman" w:hAnsi="Times New Roman" w:eastAsia="宋体" w:cs="Times New Roman"/>
                <w:szCs w:val="21"/>
                <w:highlight w:val="yellow"/>
              </w:rPr>
              <w:t>NA</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GW17</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Heart</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778</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hint="eastAsia" w:ascii="Times New Roman" w:hAnsi="Times New Roman" w:eastAsia="宋体" w:cs="Times New Roman"/>
                <w:szCs w:val="21"/>
                <w:highlight w:val="yellow"/>
              </w:rPr>
              <w:t>NA</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GW17</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Kidney</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1814</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8398</w:t>
            </w:r>
          </w:p>
        </w:tc>
      </w:tr>
      <w:tr>
        <w:tblPrEx>
          <w:tblCellMar>
            <w:top w:w="0" w:type="dxa"/>
            <w:left w:w="108" w:type="dxa"/>
            <w:bottom w:w="0" w:type="dxa"/>
            <w:right w:w="108" w:type="dxa"/>
          </w:tblCellMar>
        </w:tblPrEx>
        <w:trPr>
          <w:trHeight w:val="31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GW17</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Liver</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1786</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hint="eastAsia" w:ascii="Times New Roman" w:hAnsi="Times New Roman" w:eastAsia="宋体" w:cs="Times New Roman"/>
                <w:szCs w:val="21"/>
                <w:highlight w:val="yellow"/>
              </w:rPr>
              <w:t>NA</w:t>
            </w:r>
          </w:p>
        </w:tc>
      </w:tr>
      <w:tr>
        <w:tblPrEx>
          <w:tblCellMar>
            <w:top w:w="0" w:type="dxa"/>
            <w:left w:w="108" w:type="dxa"/>
            <w:bottom w:w="0" w:type="dxa"/>
            <w:right w:w="108" w:type="dxa"/>
          </w:tblCellMar>
        </w:tblPrEx>
        <w:trPr>
          <w:trHeight w:val="350" w:hRule="atLeast"/>
          <w:jc w:val="center"/>
        </w:trPr>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highlight w:val="yellow"/>
              </w:rPr>
            </w:pPr>
            <w:r>
              <w:rPr>
                <w:rFonts w:ascii="Times New Roman" w:hAnsi="Times New Roman" w:eastAsia="等线" w:cs="Times New Roman"/>
                <w:color w:val="000000"/>
                <w:kern w:val="0"/>
                <w:szCs w:val="21"/>
                <w:highlight w:val="yellow"/>
                <w:lang w:bidi="ar"/>
              </w:rPr>
              <w:t>GW17</w:t>
            </w:r>
            <w:r>
              <w:rPr>
                <w:rFonts w:hint="eastAsia" w:ascii="Times New Roman" w:hAnsi="Times New Roman" w:eastAsia="等线" w:cs="Times New Roman"/>
                <w:color w:val="000000"/>
                <w:kern w:val="0"/>
                <w:szCs w:val="21"/>
                <w:highlight w:val="yellow"/>
                <w:lang w:bidi="ar"/>
              </w:rPr>
              <w:t xml:space="preserve"> </w:t>
            </w:r>
            <w:r>
              <w:rPr>
                <w:rFonts w:ascii="Times New Roman" w:hAnsi="Times New Roman" w:eastAsia="等线" w:cs="Times New Roman"/>
                <w:color w:val="000000"/>
                <w:kern w:val="0"/>
                <w:szCs w:val="21"/>
                <w:highlight w:val="yellow"/>
                <w:lang w:bidi="ar"/>
              </w:rPr>
              <w:t>spleen</w:t>
            </w:r>
          </w:p>
        </w:tc>
        <w:tc>
          <w:tcPr>
            <w:tcW w:w="1666"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szCs w:val="21"/>
              </w:rPr>
            </w:pPr>
            <w:r>
              <w:rPr>
                <w:rFonts w:ascii="Times New Roman" w:hAnsi="Times New Roman" w:eastAsia="等线" w:cs="Times New Roman"/>
                <w:color w:val="000000"/>
                <w:kern w:val="0"/>
                <w:szCs w:val="21"/>
                <w:lang w:bidi="ar"/>
              </w:rPr>
              <w:t>942</w:t>
            </w:r>
          </w:p>
        </w:tc>
        <w:tc>
          <w:tcPr>
            <w:tcW w:w="1667" w:type="pct"/>
            <w:tcBorders>
              <w:top w:val="nil"/>
              <w:left w:val="nil"/>
              <w:bottom w:val="nil"/>
              <w:right w:val="nil"/>
            </w:tcBorders>
            <w:noWrap/>
            <w:vAlign w:val="center"/>
          </w:tcPr>
          <w:p>
            <w:pPr>
              <w:widowControl/>
              <w:jc w:val="center"/>
              <w:textAlignment w:val="center"/>
              <w:rPr>
                <w:rFonts w:ascii="Times New Roman" w:hAnsi="Times New Roman" w:eastAsia="等线" w:cs="Times New Roman"/>
                <w:color w:val="000000"/>
                <w:kern w:val="0"/>
                <w:szCs w:val="21"/>
                <w:lang w:bidi="ar"/>
              </w:rPr>
            </w:pPr>
            <w:r>
              <w:rPr>
                <w:rFonts w:ascii="Times New Roman" w:hAnsi="Times New Roman" w:eastAsia="等线" w:cs="Times New Roman"/>
                <w:color w:val="000000"/>
                <w:kern w:val="0"/>
                <w:szCs w:val="21"/>
                <w:lang w:bidi="ar"/>
              </w:rPr>
              <w:t>7294</w:t>
            </w:r>
          </w:p>
        </w:tc>
      </w:tr>
      <w:bookmarkEnd w:id="3"/>
    </w:tbl>
    <w:p>
      <w:pPr>
        <w:rPr>
          <w:rFonts w:ascii="Times New Roman" w:hAnsi="Times New Roman" w:eastAsia="宋体" w:cs="Times New Roman"/>
          <w:szCs w:val="21"/>
          <w:highlight w:val="yellow"/>
        </w:rPr>
      </w:pPr>
      <w:r>
        <w:rPr>
          <w:rFonts w:hint="eastAsia" w:ascii="Times New Roman" w:hAnsi="Times New Roman" w:eastAsia="宋体" w:cs="Times New Roman"/>
          <w:b/>
          <w:bCs/>
          <w:szCs w:val="21"/>
          <w:highlight w:val="yellow"/>
        </w:rPr>
        <w:t>Footnote</w:t>
      </w:r>
      <w:r>
        <w:rPr>
          <w:rFonts w:hint="eastAsia" w:ascii="Times New Roman" w:hAnsi="Times New Roman" w:eastAsia="宋体" w:cs="Times New Roman"/>
          <w:szCs w:val="21"/>
          <w:highlight w:val="yellow"/>
        </w:rPr>
        <w:t xml:space="preserve">: GW = gestational week. </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Median genes per cell</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 xml:space="preserve"> indicates the median number of unique genes detected per cell by scRNA-seq after QC filtering. </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Median fragments per cell</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 xml:space="preserve"> indicates the median number of unique fragments per cell detected by scATAC-seq. </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NA</w:t>
      </w:r>
      <w:r>
        <w:rPr>
          <w:rFonts w:ascii="Times New Roman" w:hAnsi="Times New Roman" w:eastAsia="宋体" w:cs="Times New Roman"/>
          <w:szCs w:val="21"/>
          <w:highlight w:val="yellow"/>
        </w:rPr>
        <w:t>”</w:t>
      </w:r>
      <w:r>
        <w:rPr>
          <w:rFonts w:hint="eastAsia" w:ascii="Times New Roman" w:hAnsi="Times New Roman" w:eastAsia="宋体" w:cs="Times New Roman"/>
          <w:szCs w:val="21"/>
          <w:highlight w:val="yellow"/>
        </w:rPr>
        <w:t xml:space="preserve"> = not available, because scATAC-seq was not performed for that sample or cell numbers were below quality threshold. </w:t>
      </w:r>
    </w:p>
    <w:p>
      <w:pPr>
        <w:spacing w:line="360" w:lineRule="auto"/>
        <w:rPr>
          <w:rFonts w:ascii="Times New Roman" w:hAnsi="Times New Roman" w:eastAsia="宋体" w:cs="Times New Roman"/>
          <w:b/>
          <w:bCs/>
          <w:szCs w:val="21"/>
        </w:rPr>
      </w:pPr>
    </w:p>
    <w:p>
      <w:pPr>
        <w:spacing w:line="360" w:lineRule="auto"/>
        <w:rPr>
          <w:rFonts w:hint="default" w:ascii="Times New Roman" w:hAnsi="Times New Roman" w:eastAsia="宋体" w:cs="Times New Roman"/>
          <w:b/>
          <w:bCs/>
          <w:szCs w:val="21"/>
          <w:highlight w:val="yellow"/>
          <w:lang w:val="en-US" w:eastAsia="zh-CN"/>
        </w:rPr>
      </w:pPr>
      <w:r>
        <w:rPr>
          <w:rFonts w:hint="eastAsia" w:ascii="Times New Roman" w:hAnsi="Times New Roman" w:eastAsia="宋体" w:cs="Times New Roman"/>
          <w:b/>
          <w:bCs/>
          <w:szCs w:val="21"/>
        </w:rPr>
        <w:t>Supplementary Table S</w:t>
      </w:r>
      <w:r>
        <w:rPr>
          <w:rFonts w:hint="eastAsia" w:ascii="Times New Roman" w:hAnsi="Times New Roman" w:eastAsia="宋体" w:cs="Times New Roman"/>
          <w:b/>
          <w:bCs/>
          <w:szCs w:val="21"/>
          <w:highlight w:val="yellow"/>
        </w:rPr>
        <w:t>4</w:t>
      </w:r>
      <w:r>
        <w:rPr>
          <w:rFonts w:hint="eastAsia" w:ascii="Times New Roman" w:hAnsi="Times New Roman" w:eastAsia="宋体" w:cs="Times New Roman"/>
          <w:b/>
          <w:bCs/>
          <w:szCs w:val="21"/>
        </w:rPr>
        <w:t xml:space="preserve">. </w:t>
      </w:r>
      <w:r>
        <w:rPr>
          <w:rFonts w:hint="eastAsia" w:ascii="Times New Roman" w:hAnsi="Times New Roman" w:eastAsia="宋体" w:cs="Times New Roman"/>
          <w:b/>
          <w:bCs/>
          <w:szCs w:val="21"/>
          <w:highlight w:val="yellow"/>
        </w:rPr>
        <w:t>Cell-type abbreviations and representative gene markers used for cell annotation.</w:t>
      </w:r>
    </w:p>
    <w:tbl>
      <w:tblPr>
        <w:tblStyle w:val="4"/>
        <w:tblW w:w="8319" w:type="dxa"/>
        <w:tblInd w:w="93" w:type="dxa"/>
        <w:tblLayout w:type="fixed"/>
        <w:tblCellMar>
          <w:top w:w="0" w:type="dxa"/>
          <w:left w:w="108" w:type="dxa"/>
          <w:bottom w:w="0" w:type="dxa"/>
          <w:right w:w="108" w:type="dxa"/>
        </w:tblCellMar>
      </w:tblPr>
      <w:tblGrid>
        <w:gridCol w:w="2241"/>
        <w:gridCol w:w="1628"/>
        <w:gridCol w:w="4450"/>
      </w:tblGrid>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Cell type</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Abbreviation</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b/>
                <w:bCs/>
                <w:color w:val="000000"/>
                <w:szCs w:val="21"/>
              </w:rPr>
            </w:pPr>
            <w:r>
              <w:rPr>
                <w:rFonts w:ascii="Times New Roman" w:hAnsi="Times New Roman" w:eastAsia="宋体" w:cs="Times New Roman"/>
                <w:b/>
                <w:bCs/>
                <w:color w:val="000000"/>
                <w:kern w:val="0"/>
                <w:szCs w:val="21"/>
                <w:lang w:bidi="ar"/>
              </w:rPr>
              <w:t>Markers</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Astrocytes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Astrocytes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SLC1A3, GLUL, GFAP</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MS4A1, CD79A, CD79B</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Brain endothelial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B-ECs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CDH5, PECAM1, CLDN5</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Cardiomyocytes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Cardiomyocytes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TNNI3, TNNT2, MYH6, NPPA, TNNC1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Choroid plexus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CPCs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EPCAM, TTR,  MSX1,  KCNJ13</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Dendritic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DCs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CD1C, CD1E, HLA-DRB1, HLA-DPA1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Distal tubule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DTCs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LIMCH1, MAL, SOX9</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Endothelial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CDH5, PECAM1, VWF, CLDN5, KDR</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Endocrine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Endocrine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CHGA, SCG2, TH, CHGB</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Epithelial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Epithelial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EPCAM, NPHS2, CUBN, KRT8, CLDN1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Erythroblasts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Erythroblasts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AHSP, GYPA, HBA1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Fibroblasts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Fibroblasts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DCN, LUM, COL1A2, COL1A1</w:t>
            </w:r>
          </w:p>
        </w:tc>
      </w:tr>
      <w:tr>
        <w:tblPrEx>
          <w:tblCellMar>
            <w:top w:w="0" w:type="dxa"/>
            <w:left w:w="108" w:type="dxa"/>
            <w:bottom w:w="0" w:type="dxa"/>
            <w:right w:w="108" w:type="dxa"/>
          </w:tblCellMar>
        </w:tblPrEx>
        <w:trPr>
          <w:trHeight w:val="606"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Granulocytes macrophages progenitor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GMP</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PRTN3, MPO, AZU1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Heart endothelial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CDH5, PECAM1, CLDN5, KDR, FABP4</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Hematocytes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Hematocytes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PTPRC, CD3D, MS4A1, LYZ, AHSP, GYPA, HBA1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Hepatocytes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Hepatocytes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ALB, AFP, APOB</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Haematopoietic stem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HSCs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SPINK2, SOX4, CD34, HOPX</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Immature neurons</w:t>
            </w:r>
          </w:p>
        </w:tc>
        <w:tc>
          <w:tcPr>
            <w:tcW w:w="1628"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ascii="Times New Roman" w:hAnsi="Times New Roman" w:cs="Times New Roman"/>
                <w:color w:val="000000"/>
                <w:szCs w:val="21"/>
              </w:rPr>
            </w:pPr>
            <w:r>
              <w:rPr>
                <w:rStyle w:val="11"/>
                <w:rFonts w:eastAsia="宋体"/>
                <w:sz w:val="21"/>
                <w:szCs w:val="21"/>
                <w:lang w:bidi="ar"/>
              </w:rPr>
              <w:t>INs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NEUROD1, TBR1, DCX</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Intermediate neural progenitors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INPs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EOMES, NEUROG2, SOX2</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Interneurons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Interneurons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DLX1, GAD1, GAD2</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Kidney endothelial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K-ECs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CDH5, PECAM1, EHD3, AQP1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Liver endothelial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L-ECs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CDH5, CLEC4M, CLEC4G</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Loop of Henle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LOH</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UMOD, SLC12A1, CLDN16</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Macrophages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Macrophages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LYZ, MRC1, CD68, CD163, C1QC</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Mast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Mast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TPSAB1, TPSB2, CPA3</w:t>
            </w:r>
          </w:p>
        </w:tc>
      </w:tr>
      <w:tr>
        <w:tblPrEx>
          <w:tblCellMar>
            <w:top w:w="0" w:type="dxa"/>
            <w:left w:w="108" w:type="dxa"/>
            <w:bottom w:w="0" w:type="dxa"/>
            <w:right w:w="108" w:type="dxa"/>
          </w:tblCellMar>
        </w:tblPrEx>
        <w:trPr>
          <w:trHeight w:val="372"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Megakaryocytes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Megakaryocytes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PF4, GP9, ITGA2B, PPBP</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Mesoderm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FOXC1, MEST, MDK</w:t>
            </w:r>
            <w:r>
              <w:rPr>
                <w:rFonts w:hint="eastAsia"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highlight w:val="yellow"/>
                <w:lang w:bidi="ar"/>
              </w:rPr>
              <w:t xml:space="preserve"> </w:t>
            </w:r>
            <w:r>
              <w:rPr>
                <w:rFonts w:ascii="Times New Roman" w:hAnsi="Times New Roman" w:eastAsia="宋体" w:cs="Times New Roman"/>
                <w:color w:val="000000"/>
                <w:kern w:val="0"/>
                <w:szCs w:val="21"/>
                <w:highlight w:val="yellow"/>
                <w:lang w:bidi="ar"/>
              </w:rPr>
              <w:t>PDGFRA</w:t>
            </w:r>
            <w:r>
              <w:rPr>
                <w:rFonts w:hint="eastAsia" w:ascii="Times New Roman" w:hAnsi="Times New Roman" w:eastAsia="宋体" w:cs="Times New Roman"/>
                <w:color w:val="000000"/>
                <w:kern w:val="0"/>
                <w:szCs w:val="21"/>
                <w:highlight w:val="yellow"/>
                <w:lang w:bidi="ar"/>
              </w:rPr>
              <w:t xml:space="preserve">, </w:t>
            </w:r>
            <w:r>
              <w:rPr>
                <w:rFonts w:ascii="Times New Roman" w:hAnsi="Times New Roman" w:eastAsia="宋体" w:cs="Times New Roman"/>
                <w:color w:val="000000"/>
                <w:kern w:val="0"/>
                <w:szCs w:val="21"/>
                <w:highlight w:val="yellow"/>
                <w:lang w:bidi="ar"/>
              </w:rPr>
              <w:t>FOXC2</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Microglial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Microglial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P2RY12, CX3CR1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Mesenchymal stem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MSCs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THY1, ALCAM, FGF7, MEIS1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Mural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Mural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ACTA2, RGS5, TAGLN, KCNJ8</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Myoblasts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Myoblasts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ACTA1, MYOD, MYF6, SIX1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Myocytes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Myocytes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TNNI3, TNNT2, MYH6, NPPA, TNNC1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Neural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Neural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SNAP25, DCX, SYT1, STMN2</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Neural precursor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Neural precursor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SNAP25, DCX, SYT1, STMN2</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Neuroendocrine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Neuroendocrine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SST, CHGA, CHGB,  NPY</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Neutrophils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Neutrophils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LYZ, CSF3R, CXCR2, FCGR3B, CAMP, LCN2</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Nephron progenitor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NPCs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TMEM100,  CITED1, PAX2, PAX8, LHX1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Neural stem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NSCs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SOX2, SFRP1, PAX6, HES1, SOX9</w:t>
            </w:r>
          </w:p>
        </w:tc>
      </w:tr>
      <w:tr>
        <w:tblPrEx>
          <w:tblCellMar>
            <w:top w:w="0" w:type="dxa"/>
            <w:left w:w="108" w:type="dxa"/>
            <w:bottom w:w="0" w:type="dxa"/>
            <w:right w:w="108" w:type="dxa"/>
          </w:tblCellMar>
        </w:tblPrEx>
        <w:trPr>
          <w:trHeight w:val="606"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Oligodendrocyte precursor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OPCs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BCAN, PDGFRA, OLIG1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Podocytes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Podocytes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MAFB,  PODXL, PTPRO</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Proximal tubule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PTCs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CUBN, SLC13A1, LRP2</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Retinal ganglion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RGCs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SNCG, POU4F1, NEFL, ISL1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Schwann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Schwann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PLP1, LGI4, SOX2, MPZ</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Spleen endothelial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S-ECs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CDH5, PECAM1, CLDN5, KDR</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Steroid endocrine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SECs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STAR, CYP11A1, CYP17A1, CYP21A2</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Stromal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Stromal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DCN, LUM, VIM, COL5A1</w:t>
            </w:r>
          </w:p>
        </w:tc>
      </w:tr>
      <w:tr>
        <w:tblPrEx>
          <w:tblCellMar>
            <w:top w:w="0" w:type="dxa"/>
            <w:left w:w="108" w:type="dxa"/>
            <w:bottom w:w="0" w:type="dxa"/>
            <w:right w:w="108" w:type="dxa"/>
          </w:tblCellMar>
        </w:tblPrEx>
        <w:trPr>
          <w:trHeight w:val="30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T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T cells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CD3D, CD3E, CD3G</w:t>
            </w:r>
          </w:p>
        </w:tc>
      </w:tr>
      <w:tr>
        <w:tblPrEx>
          <w:tblCellMar>
            <w:top w:w="0" w:type="dxa"/>
            <w:left w:w="108" w:type="dxa"/>
            <w:bottom w:w="0" w:type="dxa"/>
            <w:right w:w="108" w:type="dxa"/>
          </w:tblCellMar>
        </w:tblPrEx>
        <w:trPr>
          <w:trHeight w:val="318" w:hRule="atLeast"/>
        </w:trPr>
        <w:tc>
          <w:tcPr>
            <w:tcW w:w="2241"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Ureter epithelial cells</w:t>
            </w:r>
          </w:p>
        </w:tc>
        <w:tc>
          <w:tcPr>
            <w:tcW w:w="1628"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UECs</w:t>
            </w:r>
          </w:p>
        </w:tc>
        <w:tc>
          <w:tcPr>
            <w:tcW w:w="4450" w:type="dxa"/>
            <w:tcBorders>
              <w:top w:val="single" w:color="000000" w:sz="4" w:space="0"/>
              <w:left w:val="single" w:color="000000" w:sz="4" w:space="0"/>
              <w:bottom w:val="single" w:color="000000" w:sz="4" w:space="0"/>
              <w:right w:val="single" w:color="000000" w:sz="4" w:space="0"/>
            </w:tcBorders>
            <w:noWrap/>
          </w:tcPr>
          <w:p>
            <w:pPr>
              <w:widowControl/>
              <w:jc w:val="left"/>
              <w:textAlignment w:val="top"/>
              <w:rPr>
                <w:rFonts w:ascii="Times New Roman" w:hAnsi="Times New Roman" w:cs="Times New Roman"/>
                <w:color w:val="000000"/>
                <w:szCs w:val="21"/>
              </w:rPr>
            </w:pPr>
            <w:r>
              <w:rPr>
                <w:rFonts w:ascii="Times New Roman" w:hAnsi="Times New Roman" w:eastAsia="宋体" w:cs="Times New Roman"/>
                <w:color w:val="000000"/>
                <w:kern w:val="0"/>
                <w:szCs w:val="21"/>
                <w:lang w:bidi="ar"/>
              </w:rPr>
              <w:t>S100P, UPK1A</w:t>
            </w:r>
          </w:p>
        </w:tc>
      </w:tr>
    </w:tbl>
    <w:p>
      <w:pPr>
        <w:rPr>
          <w:rFonts w:ascii="Times New Roman" w:hAnsi="Times New Roman" w:eastAsia="宋体" w:cs="Times New Roman"/>
          <w:szCs w:val="21"/>
          <w:highlight w:val="yellow"/>
        </w:rPr>
      </w:pPr>
      <w:r>
        <w:rPr>
          <w:rFonts w:ascii="Times New Roman" w:hAnsi="Times New Roman" w:eastAsia="宋体" w:cs="Times New Roman"/>
          <w:b/>
          <w:bCs/>
          <w:szCs w:val="21"/>
          <w:highlight w:val="yellow"/>
        </w:rPr>
        <w:t xml:space="preserve">Footnote: </w:t>
      </w:r>
      <w:bookmarkStart w:id="4" w:name="OLE_LINK2"/>
      <w:r>
        <w:rPr>
          <w:rFonts w:ascii="Times New Roman" w:hAnsi="Times New Roman" w:eastAsia="宋体" w:cs="Times New Roman"/>
          <w:szCs w:val="21"/>
          <w:highlight w:val="yellow"/>
        </w:rPr>
        <w:t>Marker genes were curated from published developmental and lineage studies and used for cell type annotation in scRNA-seq datasets</w:t>
      </w:r>
      <w:bookmarkEnd w:id="4"/>
      <w:r>
        <w:rPr>
          <w:rFonts w:ascii="Times New Roman" w:hAnsi="Times New Roman" w:eastAsia="宋体" w:cs="Times New Roman"/>
          <w:szCs w:val="21"/>
          <w:highlight w:val="yellow"/>
        </w:rPr>
        <w:t>. The listed genes represent canonical markers, and cell identities were assigned based on the combined expression of multiple markers rather than single genes. For overlapping categories (e.g., Neural precursor cells and Neural cells), assignment was determined by both marker expression level and developmental trajectory context. All abbreviations are consistent with those used throughout the main text and figure legends.</w:t>
      </w:r>
    </w:p>
    <w:p>
      <w:pPr>
        <w:rPr>
          <w:rFonts w:ascii="Times New Roman" w:hAnsi="Times New Roman" w:eastAsia="宋体" w:cs="Times New Roman"/>
          <w:szCs w:val="21"/>
          <w:highlight w:val="yellow"/>
        </w:rPr>
      </w:pPr>
    </w:p>
    <w:p>
      <w:pPr>
        <w:rPr>
          <w:rFonts w:ascii="Times New Roman" w:hAnsi="Times New Roman" w:eastAsia="宋体" w:cs="Times New Roman"/>
          <w:szCs w:val="21"/>
        </w:rPr>
      </w:pPr>
      <w:r>
        <w:rPr>
          <w:rFonts w:hint="eastAsia" w:ascii="Times New Roman" w:hAnsi="Times New Roman" w:eastAsia="宋体" w:cs="Times New Roman"/>
          <w:b/>
          <w:bCs/>
          <w:szCs w:val="21"/>
        </w:rPr>
        <w:t xml:space="preserve">Supplementary Table S5. </w:t>
      </w:r>
      <w:r>
        <w:rPr>
          <w:rFonts w:hint="eastAsia" w:ascii="Times New Roman" w:hAnsi="Times New Roman" w:eastAsia="宋体" w:cs="Times New Roman"/>
          <w:szCs w:val="21"/>
        </w:rPr>
        <w:t>Cell counts detected by scRNA-Seq and scATAC-Seq</w:t>
      </w:r>
    </w:p>
    <w:p>
      <w:pPr>
        <w:rPr>
          <w:rFonts w:ascii="Times New Roman" w:hAnsi="Times New Roman" w:eastAsia="宋体" w:cs="Times New Roman"/>
          <w:szCs w:val="21"/>
        </w:rPr>
      </w:pPr>
      <w:r>
        <w:rPr>
          <w:rFonts w:hint="eastAsia" w:ascii="Times New Roman" w:hAnsi="Times New Roman" w:eastAsia="宋体" w:cs="Times New Roman"/>
          <w:b/>
          <w:bCs/>
          <w:szCs w:val="21"/>
        </w:rPr>
        <w:t>Supplementary Table S5a.</w:t>
      </w:r>
      <w:r>
        <w:rPr>
          <w:rFonts w:hint="eastAsia" w:ascii="Times New Roman" w:hAnsi="Times New Roman" w:eastAsia="宋体" w:cs="Times New Roman"/>
          <w:szCs w:val="21"/>
        </w:rPr>
        <w:t xml:space="preserve"> The numbers of cells detected out in different samples using scRNA-Seq.</w:t>
      </w:r>
    </w:p>
    <w:p>
      <w:pPr>
        <w:rPr>
          <w:rFonts w:ascii="Times New Roman" w:hAnsi="Times New Roman" w:eastAsia="宋体" w:cs="Times New Roman"/>
          <w:szCs w:val="21"/>
          <w:highlight w:val="yellow"/>
        </w:rPr>
      </w:pPr>
      <w:r>
        <w:rPr>
          <w:rFonts w:hint="eastAsia" w:ascii="Times New Roman" w:hAnsi="Times New Roman" w:eastAsia="宋体" w:cs="Times New Roman"/>
          <w:b/>
          <w:bCs/>
          <w:szCs w:val="21"/>
          <w:highlight w:val="yellow"/>
        </w:rPr>
        <w:t xml:space="preserve">Supplementary Table S5b. </w:t>
      </w:r>
      <w:r>
        <w:rPr>
          <w:rFonts w:hint="eastAsia" w:ascii="Times New Roman" w:hAnsi="Times New Roman" w:eastAsia="宋体" w:cs="Times New Roman"/>
          <w:szCs w:val="21"/>
          <w:highlight w:val="yellow"/>
        </w:rPr>
        <w:t xml:space="preserve">The numbers of cells detected out in different samples using scATAC-Seq. </w:t>
      </w:r>
    </w:p>
    <w:p>
      <w:pPr>
        <w:rPr>
          <w:rFonts w:ascii="Times New Roman" w:hAnsi="Times New Roman" w:eastAsia="宋体" w:cs="Times New Roman"/>
          <w:b/>
          <w:bCs/>
          <w:szCs w:val="21"/>
          <w:highlight w:val="yellow"/>
        </w:rPr>
      </w:pPr>
      <w:r>
        <w:rPr>
          <w:rFonts w:hint="eastAsia" w:ascii="Times New Roman" w:hAnsi="Times New Roman" w:eastAsia="宋体" w:cs="Times New Roman"/>
          <w:b/>
          <w:bCs/>
          <w:szCs w:val="21"/>
          <w:highlight w:val="yellow"/>
        </w:rPr>
        <w:t xml:space="preserve">Supplementary Table S5c. </w:t>
      </w:r>
      <w:r>
        <w:rPr>
          <w:rFonts w:hint="eastAsia" w:ascii="Times New Roman" w:hAnsi="Times New Roman" w:eastAsia="宋体" w:cs="Times New Roman"/>
          <w:szCs w:val="21"/>
          <w:highlight w:val="yellow"/>
        </w:rPr>
        <w:t>The numbers of mesoderm cells detected out in different samples using scRNA-Seq.</w:t>
      </w:r>
    </w:p>
    <w:p>
      <w:pPr>
        <w:rPr>
          <w:rFonts w:ascii="Times New Roman" w:hAnsi="Times New Roman" w:eastAsia="宋体" w:cs="Times New Roman"/>
          <w:szCs w:val="21"/>
        </w:rPr>
      </w:pPr>
      <w:r>
        <w:rPr>
          <w:rFonts w:hint="eastAsia" w:ascii="Times New Roman" w:hAnsi="Times New Roman" w:eastAsia="宋体" w:cs="Times New Roman"/>
          <w:b/>
          <w:bCs/>
          <w:szCs w:val="21"/>
        </w:rPr>
        <w:t>Supplementary Table S5d.</w:t>
      </w:r>
      <w:r>
        <w:rPr>
          <w:rFonts w:hint="eastAsia" w:ascii="Times New Roman" w:hAnsi="Times New Roman" w:eastAsia="宋体" w:cs="Times New Roman"/>
          <w:szCs w:val="21"/>
        </w:rPr>
        <w:t xml:space="preserve"> The numbers of mesoderm cells detected out in different samples using scATAC-Seq. </w:t>
      </w:r>
    </w:p>
    <w:p>
      <w:pPr>
        <w:rPr>
          <w:rFonts w:ascii="Times New Roman" w:hAnsi="Times New Roman" w:eastAsia="宋体" w:cs="Times New Roman"/>
          <w:szCs w:val="21"/>
        </w:rPr>
      </w:pPr>
      <w:r>
        <w:rPr>
          <w:rFonts w:hint="eastAsia" w:ascii="Times New Roman" w:hAnsi="Times New Roman" w:eastAsia="宋体" w:cs="Times New Roman"/>
          <w:b/>
          <w:bCs/>
          <w:szCs w:val="21"/>
        </w:rPr>
        <w:t xml:space="preserve">Supplementary Table S5e. </w:t>
      </w:r>
      <w:r>
        <w:rPr>
          <w:rFonts w:hint="eastAsia" w:ascii="Times New Roman" w:hAnsi="Times New Roman" w:eastAsia="宋体" w:cs="Times New Roman"/>
          <w:szCs w:val="21"/>
        </w:rPr>
        <w:t xml:space="preserve">The numbers of endothelial cells detected out in different samples using scRNA-Seq. </w:t>
      </w:r>
    </w:p>
    <w:p>
      <w:pPr>
        <w:rPr>
          <w:rFonts w:ascii="Times New Roman" w:hAnsi="Times New Roman" w:eastAsia="宋体" w:cs="Times New Roman"/>
          <w:szCs w:val="21"/>
        </w:rPr>
      </w:pPr>
    </w:p>
    <w:p>
      <w:pPr>
        <w:rPr>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1MGYwOGU1MmUyNDIwYWUwNGYwOTI0ZTI5NGIzMmUifQ=="/>
  </w:docVars>
  <w:rsids>
    <w:rsidRoot w:val="000E3C6E"/>
    <w:rsid w:val="000E3C6E"/>
    <w:rsid w:val="001411D2"/>
    <w:rsid w:val="0018616C"/>
    <w:rsid w:val="00253C8C"/>
    <w:rsid w:val="002E6D8F"/>
    <w:rsid w:val="00392B95"/>
    <w:rsid w:val="004D160C"/>
    <w:rsid w:val="004E7B1C"/>
    <w:rsid w:val="005A5378"/>
    <w:rsid w:val="0061541F"/>
    <w:rsid w:val="0065180D"/>
    <w:rsid w:val="006734AE"/>
    <w:rsid w:val="00A050F5"/>
    <w:rsid w:val="00CD0260"/>
    <w:rsid w:val="00D11C3F"/>
    <w:rsid w:val="00E74150"/>
    <w:rsid w:val="00F5645C"/>
    <w:rsid w:val="04380A7C"/>
    <w:rsid w:val="07A619C3"/>
    <w:rsid w:val="08F024B8"/>
    <w:rsid w:val="0FA167F1"/>
    <w:rsid w:val="15A514E0"/>
    <w:rsid w:val="162F6947"/>
    <w:rsid w:val="16E143B6"/>
    <w:rsid w:val="25795CD3"/>
    <w:rsid w:val="25CD3D9A"/>
    <w:rsid w:val="26823922"/>
    <w:rsid w:val="275E1557"/>
    <w:rsid w:val="28B36F10"/>
    <w:rsid w:val="2AF44B50"/>
    <w:rsid w:val="2B1E2A5D"/>
    <w:rsid w:val="2C3C39FF"/>
    <w:rsid w:val="30357AB4"/>
    <w:rsid w:val="3444108B"/>
    <w:rsid w:val="36E15F66"/>
    <w:rsid w:val="397D651D"/>
    <w:rsid w:val="3D474832"/>
    <w:rsid w:val="3FFA0F4B"/>
    <w:rsid w:val="40CB28E7"/>
    <w:rsid w:val="443F7874"/>
    <w:rsid w:val="451F6F23"/>
    <w:rsid w:val="4AD8457E"/>
    <w:rsid w:val="4B2274E0"/>
    <w:rsid w:val="552016B9"/>
    <w:rsid w:val="5E744166"/>
    <w:rsid w:val="677243C5"/>
    <w:rsid w:val="6C2E5443"/>
    <w:rsid w:val="6E4F3D89"/>
    <w:rsid w:val="6E9817AB"/>
    <w:rsid w:val="70052E70"/>
    <w:rsid w:val="72BC3809"/>
    <w:rsid w:val="76593785"/>
    <w:rsid w:val="7A9419C0"/>
    <w:rsid w:val="7D034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tabs>
        <w:tab w:val="center" w:pos="4153"/>
        <w:tab w:val="right" w:pos="8306"/>
      </w:tabs>
      <w:snapToGrid w:val="0"/>
      <w:jc w:val="center"/>
    </w:pPr>
    <w:rPr>
      <w:sz w:val="18"/>
      <w:szCs w:val="18"/>
    </w:rPr>
  </w:style>
  <w:style w:type="character" w:styleId="6">
    <w:name w:val="Strong"/>
    <w:basedOn w:val="5"/>
    <w:autoRedefine/>
    <w:qFormat/>
    <w:uiPriority w:val="0"/>
    <w:rPr>
      <w:b/>
    </w:rPr>
  </w:style>
  <w:style w:type="character" w:styleId="7">
    <w:name w:val="Emphasis"/>
    <w:basedOn w:val="5"/>
    <w:autoRedefine/>
    <w:qFormat/>
    <w:uiPriority w:val="0"/>
    <w:rPr>
      <w:i/>
    </w:rPr>
  </w:style>
  <w:style w:type="character" w:styleId="8">
    <w:name w:val="Hyperlink"/>
    <w:basedOn w:val="5"/>
    <w:autoRedefine/>
    <w:qFormat/>
    <w:uiPriority w:val="0"/>
    <w:rPr>
      <w:color w:val="0000FF"/>
      <w:u w:val="single"/>
    </w:rPr>
  </w:style>
  <w:style w:type="character" w:customStyle="1" w:styleId="9">
    <w:name w:val="页眉 字符"/>
    <w:basedOn w:val="5"/>
    <w:link w:val="3"/>
    <w:autoRedefine/>
    <w:qFormat/>
    <w:uiPriority w:val="0"/>
    <w:rPr>
      <w:kern w:val="2"/>
      <w:sz w:val="18"/>
      <w:szCs w:val="18"/>
    </w:rPr>
  </w:style>
  <w:style w:type="character" w:customStyle="1" w:styleId="10">
    <w:name w:val="页脚 字符"/>
    <w:basedOn w:val="5"/>
    <w:link w:val="2"/>
    <w:autoRedefine/>
    <w:qFormat/>
    <w:uiPriority w:val="0"/>
    <w:rPr>
      <w:kern w:val="2"/>
      <w:sz w:val="18"/>
      <w:szCs w:val="18"/>
    </w:rPr>
  </w:style>
  <w:style w:type="character" w:customStyle="1" w:styleId="11">
    <w:name w:val="font01"/>
    <w:basedOn w:val="5"/>
    <w:autoRedefine/>
    <w:qFormat/>
    <w:uiPriority w:val="0"/>
    <w:rPr>
      <w:rFonts w:hint="default" w:ascii="Times New Roman" w:hAnsi="Times New Roman" w:cs="Times New Roman"/>
      <w:color w:val="000000"/>
      <w:sz w:val="20"/>
      <w:szCs w:val="20"/>
      <w:u w:val="none"/>
    </w:rPr>
  </w:style>
  <w:style w:type="paragraph" w:customStyle="1" w:styleId="12">
    <w:name w:val="Revision"/>
    <w:autoRedefine/>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1203</Words>
  <Characters>7767</Characters>
  <Lines>756</Lines>
  <Paragraphs>581</Paragraphs>
  <TotalTime>29</TotalTime>
  <ScaleCrop>false</ScaleCrop>
  <LinksUpToDate>false</LinksUpToDate>
  <CharactersWithSpaces>8539</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2025-09-28T01:27:00Z</dcterms:created>
  <dc:creator>Administrator</dc:creator>
  <cp:lastModifiedBy>Victoria</cp:lastModifiedBy>
  <cp:lastPrinted>2025-09-29T09:43:00Z</cp:lastPrinted>
  <dcterms:modified xsi:type="dcterms:W3CDTF">2025-10-10T02:44:03Z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KSOTemplateDocerSaveRecord">
    <vt:lpwstr>eyJoZGlkIjoiNTBiMDU3ZDhlZjEwNmY2ZDMyOTE4MjU5MTc3ODgyZTUiLCJ1c2VySWQiOiIyNjc1NDkyNzgifQ==</vt:lpwstr>
  </property>
  <property fmtid="{D5CDD505-2E9C-101B-9397-08002B2CF9AE}" pid="4" name="ICV">
    <vt:lpwstr>9D6BD01919FF48E4AB7EB2CF13F7BB26_13</vt:lpwstr>
  </property>
</Properties>
</file>