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A3A" w:rsidRDefault="00CF5A3A" w:rsidP="00CF5A3A">
      <w:pPr>
        <w:snapToGrid w:val="0"/>
        <w:spacing w:line="360" w:lineRule="auto"/>
        <w:rPr>
          <w:rFonts w:ascii="Times New Roman" w:hAnsi="Times New Roman" w:cs="Times New Roman"/>
          <w:szCs w:val="21"/>
        </w:rPr>
      </w:pPr>
      <w:proofErr w:type="gramStart"/>
      <w:r>
        <w:rPr>
          <w:rFonts w:ascii="Times New Roman" w:hAnsi="Times New Roman" w:cs="Times New Roman"/>
          <w:b/>
          <w:bCs/>
          <w:szCs w:val="21"/>
        </w:rPr>
        <w:t>Supplementary Fig.</w:t>
      </w:r>
      <w:proofErr w:type="gramEnd"/>
      <w:r>
        <w:rPr>
          <w:rFonts w:ascii="Times New Roman" w:hAnsi="Times New Roman" w:cs="Times New Roman"/>
          <w:b/>
          <w:bCs/>
          <w:szCs w:val="21"/>
        </w:rPr>
        <w:t xml:space="preserve"> S1. </w:t>
      </w:r>
      <w:proofErr w:type="gramStart"/>
      <w:r>
        <w:rPr>
          <w:rFonts w:ascii="Times New Roman" w:hAnsi="Times New Roman" w:cs="Times New Roman"/>
          <w:b/>
          <w:bCs/>
          <w:szCs w:val="21"/>
        </w:rPr>
        <w:t>Expression of marker genes of major cell clusters and cell percentages across tissues and stages.</w:t>
      </w:r>
      <w:proofErr w:type="gramEnd"/>
      <w:r>
        <w:rPr>
          <w:rFonts w:ascii="Times New Roman" w:hAnsi="Times New Roman" w:cs="Times New Roman"/>
          <w:b/>
          <w:bCs/>
          <w:szCs w:val="21"/>
        </w:rPr>
        <w:t xml:space="preserve"> </w:t>
      </w:r>
      <w:r>
        <w:rPr>
          <w:rFonts w:ascii="Times New Roman" w:hAnsi="Times New Roman" w:cs="Times New Roman"/>
          <w:szCs w:val="21"/>
        </w:rPr>
        <w:t xml:space="preserve">a, Violin plots showing the distribution of detected gene numbers (top) and unique molecular identifier (UMI) counts (bottom) across single cells from one whole embryo at GW07 and fetal organs (brain, heart, liver, kidney, spleen) at gestational weeks 8–17. UMIs represent transcript counts, providing a measure of sequencing depth per cell. Most cells displayed robust gene detection and consistent UMI levels, indicating high-quality single-cell </w:t>
      </w:r>
      <w:proofErr w:type="spellStart"/>
      <w:r>
        <w:rPr>
          <w:rFonts w:ascii="Times New Roman" w:hAnsi="Times New Roman" w:cs="Times New Roman"/>
          <w:szCs w:val="21"/>
        </w:rPr>
        <w:t>transcriptomic</w:t>
      </w:r>
      <w:proofErr w:type="spellEnd"/>
      <w:r>
        <w:rPr>
          <w:rFonts w:ascii="Times New Roman" w:hAnsi="Times New Roman" w:cs="Times New Roman"/>
          <w:szCs w:val="21"/>
        </w:rPr>
        <w:t xml:space="preserve"> profiles suitable for downstream analysis. </w:t>
      </w:r>
      <w:proofErr w:type="gramStart"/>
      <w:r>
        <w:rPr>
          <w:rFonts w:ascii="Times New Roman" w:hAnsi="Times New Roman" w:cs="Times New Roman"/>
          <w:szCs w:val="21"/>
        </w:rPr>
        <w:t>b</w:t>
      </w:r>
      <w:proofErr w:type="gramEnd"/>
      <w:r>
        <w:rPr>
          <w:rFonts w:ascii="Times New Roman" w:hAnsi="Times New Roman" w:cs="Times New Roman"/>
          <w:szCs w:val="21"/>
        </w:rPr>
        <w:t xml:space="preserve">, Single-cell </w:t>
      </w:r>
      <w:proofErr w:type="spellStart"/>
      <w:r>
        <w:rPr>
          <w:rFonts w:ascii="Times New Roman" w:hAnsi="Times New Roman" w:cs="Times New Roman"/>
          <w:szCs w:val="21"/>
        </w:rPr>
        <w:t>transcriptomic</w:t>
      </w:r>
      <w:proofErr w:type="spellEnd"/>
      <w:r>
        <w:rPr>
          <w:rFonts w:ascii="Times New Roman" w:hAnsi="Times New Roman" w:cs="Times New Roman"/>
          <w:szCs w:val="21"/>
        </w:rPr>
        <w:t xml:space="preserve"> landscape of one entire embryo (GW07) and five fetal organs (brain, heart, liver, kidney, spleen) across gestational weeks 8–17. UMAP visualization shows six major cellular compartments (endocrine cells, </w:t>
      </w:r>
      <w:proofErr w:type="spellStart"/>
      <w:r>
        <w:rPr>
          <w:rFonts w:ascii="Times New Roman" w:hAnsi="Times New Roman" w:cs="Times New Roman"/>
          <w:szCs w:val="21"/>
        </w:rPr>
        <w:t>myocytes</w:t>
      </w:r>
      <w:proofErr w:type="spellEnd"/>
      <w:r>
        <w:rPr>
          <w:rFonts w:ascii="Times New Roman" w:hAnsi="Times New Roman" w:cs="Times New Roman"/>
          <w:szCs w:val="21"/>
        </w:rPr>
        <w:t xml:space="preserve">, epithelial cells, neural cells, stromal cells, and </w:t>
      </w:r>
      <w:proofErr w:type="spellStart"/>
      <w:r>
        <w:rPr>
          <w:rFonts w:ascii="Times New Roman" w:hAnsi="Times New Roman" w:cs="Times New Roman"/>
          <w:szCs w:val="21"/>
        </w:rPr>
        <w:t>hematocytes</w:t>
      </w:r>
      <w:proofErr w:type="spellEnd"/>
      <w:r>
        <w:rPr>
          <w:rFonts w:ascii="Times New Roman" w:hAnsi="Times New Roman" w:cs="Times New Roman"/>
          <w:szCs w:val="21"/>
        </w:rPr>
        <w:t xml:space="preserve">), and the bar plot on the right depicts their relative proportions across tissues and developmental stages. </w:t>
      </w:r>
      <w:proofErr w:type="gramStart"/>
      <w:r>
        <w:rPr>
          <w:rFonts w:ascii="Times New Roman" w:hAnsi="Times New Roman" w:cs="Times New Roman"/>
          <w:szCs w:val="21"/>
        </w:rPr>
        <w:t>c-d</w:t>
      </w:r>
      <w:proofErr w:type="gramEnd"/>
      <w:r>
        <w:rPr>
          <w:rFonts w:ascii="Times New Roman" w:hAnsi="Times New Roman" w:cs="Times New Roman"/>
          <w:szCs w:val="21"/>
        </w:rPr>
        <w:t xml:space="preserve">, Violin plots showing the expression levels of representative cell type markers across six major cell types and 38 </w:t>
      </w:r>
      <w:r>
        <w:rPr>
          <w:rFonts w:ascii="Times New Roman" w:hAnsi="Times New Roman" w:cs="Times New Roman" w:hint="eastAsia"/>
          <w:szCs w:val="21"/>
        </w:rPr>
        <w:t>sub-cluster</w:t>
      </w:r>
      <w:r>
        <w:rPr>
          <w:rFonts w:ascii="Times New Roman" w:hAnsi="Times New Roman" w:cs="Times New Roman"/>
          <w:szCs w:val="21"/>
        </w:rPr>
        <w:t xml:space="preserve">s, as determined by </w:t>
      </w:r>
      <w:proofErr w:type="spellStart"/>
      <w:r>
        <w:rPr>
          <w:rFonts w:ascii="Times New Roman" w:hAnsi="Times New Roman" w:cs="Times New Roman"/>
          <w:szCs w:val="21"/>
        </w:rPr>
        <w:t>scRNA-seq</w:t>
      </w:r>
      <w:proofErr w:type="spellEnd"/>
      <w:r>
        <w:rPr>
          <w:rFonts w:ascii="Times New Roman" w:hAnsi="Times New Roman" w:cs="Times New Roman"/>
          <w:szCs w:val="21"/>
        </w:rPr>
        <w:t xml:space="preserve"> analysis. </w:t>
      </w:r>
      <w:proofErr w:type="gramStart"/>
      <w:r>
        <w:rPr>
          <w:rFonts w:ascii="Times New Roman" w:hAnsi="Times New Roman" w:cs="Times New Roman"/>
          <w:szCs w:val="21"/>
        </w:rPr>
        <w:t>e</w:t>
      </w:r>
      <w:proofErr w:type="gramEnd"/>
      <w:r>
        <w:rPr>
          <w:rFonts w:ascii="Times New Roman" w:hAnsi="Times New Roman" w:cs="Times New Roman"/>
          <w:szCs w:val="21"/>
        </w:rPr>
        <w:t xml:space="preserve">, The percentage of 38 sub-clusters distributed in each sample at different stages of gestation and different tissues by </w:t>
      </w:r>
      <w:proofErr w:type="spellStart"/>
      <w:r>
        <w:rPr>
          <w:rFonts w:ascii="Times New Roman" w:hAnsi="Times New Roman" w:cs="Times New Roman"/>
          <w:szCs w:val="21"/>
        </w:rPr>
        <w:t>scRNA-seq</w:t>
      </w:r>
      <w:proofErr w:type="spellEnd"/>
      <w:r>
        <w:rPr>
          <w:rFonts w:ascii="Times New Roman" w:hAnsi="Times New Roman" w:cs="Times New Roman"/>
          <w:szCs w:val="21"/>
        </w:rPr>
        <w:t xml:space="preserve"> assay. </w:t>
      </w:r>
      <w:proofErr w:type="gramStart"/>
      <w:r>
        <w:rPr>
          <w:rFonts w:ascii="Times New Roman" w:hAnsi="Times New Roman" w:cs="Times New Roman"/>
          <w:szCs w:val="21"/>
        </w:rPr>
        <w:t>f</w:t>
      </w:r>
      <w:proofErr w:type="gramEnd"/>
      <w:r>
        <w:rPr>
          <w:rFonts w:ascii="Times New Roman" w:hAnsi="Times New Roman" w:cs="Times New Roman"/>
          <w:szCs w:val="21"/>
        </w:rPr>
        <w:t xml:space="preserve">, UMAP visualization of cell types both detected out by </w:t>
      </w:r>
      <w:proofErr w:type="spellStart"/>
      <w:r>
        <w:rPr>
          <w:rFonts w:ascii="Times New Roman" w:hAnsi="Times New Roman" w:cs="Times New Roman"/>
          <w:szCs w:val="21"/>
        </w:rPr>
        <w:t>scRNA-seq</w:t>
      </w:r>
      <w:proofErr w:type="spellEnd"/>
      <w:r>
        <w:rPr>
          <w:rFonts w:ascii="Times New Roman" w:hAnsi="Times New Roman" w:cs="Times New Roman"/>
          <w:szCs w:val="21"/>
        </w:rPr>
        <w:t xml:space="preserve"> and </w:t>
      </w:r>
      <w:proofErr w:type="spellStart"/>
      <w:r>
        <w:rPr>
          <w:rFonts w:ascii="Times New Roman" w:hAnsi="Times New Roman" w:cs="Times New Roman"/>
          <w:szCs w:val="21"/>
        </w:rPr>
        <w:t>scATAC-seq</w:t>
      </w:r>
      <w:proofErr w:type="spellEnd"/>
      <w:r>
        <w:rPr>
          <w:rFonts w:ascii="Times New Roman" w:hAnsi="Times New Roman" w:cs="Times New Roman"/>
          <w:szCs w:val="21"/>
        </w:rPr>
        <w:t xml:space="preserve"> assays. DCs, Dendritic cells; DTCs, Distal tubule cells; ECs, Endothelial cells; HSCs, </w:t>
      </w:r>
      <w:proofErr w:type="spellStart"/>
      <w:r>
        <w:rPr>
          <w:rFonts w:ascii="Times New Roman" w:hAnsi="Times New Roman" w:cs="Times New Roman"/>
          <w:szCs w:val="21"/>
        </w:rPr>
        <w:t>Haematopoietic</w:t>
      </w:r>
      <w:proofErr w:type="spellEnd"/>
      <w:r>
        <w:rPr>
          <w:rFonts w:ascii="Times New Roman" w:hAnsi="Times New Roman" w:cs="Times New Roman"/>
          <w:szCs w:val="21"/>
        </w:rPr>
        <w:t xml:space="preserve"> stem cells; </w:t>
      </w:r>
      <w:proofErr w:type="spellStart"/>
      <w:r>
        <w:rPr>
          <w:rFonts w:ascii="Times New Roman" w:hAnsi="Times New Roman" w:cs="Times New Roman"/>
          <w:szCs w:val="21"/>
        </w:rPr>
        <w:t>Imm</w:t>
      </w:r>
      <w:proofErr w:type="spellEnd"/>
      <w:r>
        <w:rPr>
          <w:rFonts w:ascii="Times New Roman" w:hAnsi="Times New Roman" w:cs="Times New Roman"/>
          <w:szCs w:val="21"/>
        </w:rPr>
        <w:t xml:space="preserve"> neurons, Immature neurons; MCs, Mesoderm cells; MSCs, </w:t>
      </w:r>
      <w:proofErr w:type="spellStart"/>
      <w:r>
        <w:rPr>
          <w:rFonts w:ascii="Times New Roman" w:hAnsi="Times New Roman" w:cs="Times New Roman"/>
          <w:szCs w:val="21"/>
        </w:rPr>
        <w:t>Mesenchymal</w:t>
      </w:r>
      <w:proofErr w:type="spellEnd"/>
      <w:r>
        <w:rPr>
          <w:rFonts w:ascii="Times New Roman" w:hAnsi="Times New Roman" w:cs="Times New Roman"/>
          <w:szCs w:val="21"/>
        </w:rPr>
        <w:t xml:space="preserve"> stem cells; NPCs, Nephron progenitor cells; NSCs, Neural stem cells; OPCs, </w:t>
      </w:r>
      <w:proofErr w:type="spellStart"/>
      <w:r>
        <w:rPr>
          <w:rFonts w:ascii="Times New Roman" w:hAnsi="Times New Roman" w:cs="Times New Roman"/>
          <w:szCs w:val="21"/>
        </w:rPr>
        <w:t>Oligodendrocyte</w:t>
      </w:r>
      <w:proofErr w:type="spellEnd"/>
      <w:r>
        <w:rPr>
          <w:rFonts w:ascii="Times New Roman" w:hAnsi="Times New Roman" w:cs="Times New Roman"/>
          <w:szCs w:val="21"/>
        </w:rPr>
        <w:t xml:space="preserve"> precursor cells; PTCs, Proximal tubule cells; RGCs, Retinal ganglion cells; SECs, Steroid endocrine cells; UECs, Ureter epithelial cells.</w:t>
      </w:r>
    </w:p>
    <w:p w:rsidR="00CF5A3A" w:rsidRDefault="00CF5A3A" w:rsidP="00CF5A3A">
      <w:pPr>
        <w:snapToGrid w:val="0"/>
        <w:spacing w:line="360" w:lineRule="auto"/>
        <w:rPr>
          <w:rFonts w:ascii="Times New Roman" w:hAnsi="Times New Roman" w:cs="Times New Roman"/>
          <w:szCs w:val="21"/>
        </w:rPr>
      </w:pPr>
    </w:p>
    <w:p w:rsidR="00CF5A3A" w:rsidRDefault="00CF5A3A" w:rsidP="00CF5A3A">
      <w:pPr>
        <w:tabs>
          <w:tab w:val="left" w:pos="6095"/>
        </w:tabs>
        <w:snapToGrid w:val="0"/>
        <w:spacing w:line="360" w:lineRule="auto"/>
        <w:rPr>
          <w:rFonts w:ascii="Times New Roman" w:hAnsi="Times New Roman" w:cs="Times New Roman"/>
          <w:b/>
          <w:bCs/>
          <w:szCs w:val="21"/>
        </w:rPr>
      </w:pPr>
      <w:proofErr w:type="gramStart"/>
      <w:r>
        <w:rPr>
          <w:rFonts w:ascii="Times New Roman" w:hAnsi="Times New Roman" w:cs="Times New Roman"/>
          <w:b/>
          <w:bCs/>
          <w:szCs w:val="21"/>
        </w:rPr>
        <w:t>Supplementary Figure S2.</w:t>
      </w:r>
      <w:proofErr w:type="gramEnd"/>
      <w:r>
        <w:rPr>
          <w:rFonts w:ascii="Times New Roman" w:hAnsi="Times New Roman" w:cs="Times New Roman"/>
          <w:b/>
          <w:bCs/>
          <w:szCs w:val="21"/>
        </w:rPr>
        <w:t xml:space="preserve"> </w:t>
      </w:r>
      <w:proofErr w:type="gramStart"/>
      <w:r>
        <w:rPr>
          <w:rFonts w:ascii="Times New Roman" w:hAnsi="Times New Roman" w:cs="Times New Roman"/>
          <w:b/>
          <w:bCs/>
          <w:szCs w:val="21"/>
        </w:rPr>
        <w:t>Lineage inference and gene dynamics across fetal organs.</w:t>
      </w:r>
      <w:proofErr w:type="gramEnd"/>
      <w:r>
        <w:rPr>
          <w:rFonts w:ascii="Times New Roman" w:hAnsi="Times New Roman" w:cs="Times New Roman"/>
          <w:szCs w:val="21"/>
        </w:rPr>
        <w:t xml:space="preserve"> Single-cell developmental trajectories were reconstructed using Monocle </w:t>
      </w:r>
      <w:r>
        <w:rPr>
          <w:rFonts w:ascii="Times New Roman" w:hAnsi="Times New Roman" w:cs="Times New Roman" w:hint="eastAsia"/>
          <w:szCs w:val="21"/>
        </w:rPr>
        <w:t xml:space="preserve">2 </w:t>
      </w:r>
      <w:r>
        <w:rPr>
          <w:rFonts w:ascii="Times New Roman" w:hAnsi="Times New Roman" w:cs="Times New Roman"/>
          <w:szCs w:val="21"/>
        </w:rPr>
        <w:t xml:space="preserve">based on </w:t>
      </w:r>
      <w:proofErr w:type="spellStart"/>
      <w:r>
        <w:rPr>
          <w:rFonts w:ascii="Times New Roman" w:hAnsi="Times New Roman" w:cs="Times New Roman"/>
          <w:szCs w:val="21"/>
        </w:rPr>
        <w:t>scRNA-seq</w:t>
      </w:r>
      <w:proofErr w:type="spellEnd"/>
      <w:r>
        <w:rPr>
          <w:rFonts w:ascii="Times New Roman" w:hAnsi="Times New Roman" w:cs="Times New Roman"/>
          <w:szCs w:val="21"/>
        </w:rPr>
        <w:t xml:space="preserve"> data from one entire embryo (GW07) and fetal organs (brain, heart, liver) at gestational weeks 8–17. </w:t>
      </w:r>
      <w:proofErr w:type="gramStart"/>
      <w:r>
        <w:rPr>
          <w:rFonts w:ascii="Times New Roman" w:hAnsi="Times New Roman" w:cs="Times New Roman"/>
          <w:szCs w:val="21"/>
        </w:rPr>
        <w:t>a</w:t>
      </w:r>
      <w:proofErr w:type="gramEnd"/>
      <w:r>
        <w:rPr>
          <w:rFonts w:ascii="Times New Roman" w:hAnsi="Times New Roman" w:cs="Times New Roman"/>
          <w:szCs w:val="21"/>
        </w:rPr>
        <w:t xml:space="preserve">, c, e, </w:t>
      </w:r>
      <w:r>
        <w:rPr>
          <w:rFonts w:ascii="Times New Roman" w:hAnsi="Times New Roman" w:cs="Times New Roman" w:hint="eastAsia"/>
          <w:szCs w:val="21"/>
        </w:rPr>
        <w:t>T</w:t>
      </w:r>
      <w:r>
        <w:rPr>
          <w:rFonts w:ascii="Times New Roman" w:hAnsi="Times New Roman" w:cs="Times New Roman"/>
          <w:szCs w:val="21"/>
        </w:rPr>
        <w:t>rajectories of brain, heart, and liver cells, showing the developmental ordering of major cellular subtypes across different gestational stages together with their pooled trajectories (“all sample”). b, d,</w:t>
      </w:r>
      <w:r>
        <w:rPr>
          <w:rFonts w:ascii="Times New Roman" w:hAnsi="Times New Roman" w:cs="Times New Roman" w:hint="eastAsia"/>
          <w:szCs w:val="21"/>
        </w:rPr>
        <w:t xml:space="preserve"> f,</w:t>
      </w:r>
      <w:r>
        <w:rPr>
          <w:rFonts w:ascii="Times New Roman" w:hAnsi="Times New Roman" w:cs="Times New Roman"/>
          <w:szCs w:val="21"/>
        </w:rPr>
        <w:t xml:space="preserve"> </w:t>
      </w:r>
      <w:proofErr w:type="spellStart"/>
      <w:r>
        <w:rPr>
          <w:rFonts w:ascii="Times New Roman" w:hAnsi="Times New Roman" w:cs="Times New Roman"/>
          <w:szCs w:val="21"/>
        </w:rPr>
        <w:t>Heatmaps</w:t>
      </w:r>
      <w:proofErr w:type="spellEnd"/>
      <w:r>
        <w:rPr>
          <w:rFonts w:ascii="Times New Roman" w:hAnsi="Times New Roman" w:cs="Times New Roman"/>
          <w:szCs w:val="21"/>
        </w:rPr>
        <w:t xml:space="preserve"> displaying dynamic expression patterns of the top 30 </w:t>
      </w:r>
      <w:proofErr w:type="spellStart"/>
      <w:r>
        <w:rPr>
          <w:rFonts w:ascii="Times New Roman" w:hAnsi="Times New Roman" w:cs="Times New Roman"/>
          <w:szCs w:val="21"/>
        </w:rPr>
        <w:t>pseudotime</w:t>
      </w:r>
      <w:proofErr w:type="spellEnd"/>
      <w:r>
        <w:rPr>
          <w:rFonts w:ascii="Times New Roman" w:hAnsi="Times New Roman" w:cs="Times New Roman"/>
          <w:szCs w:val="21"/>
        </w:rPr>
        <w:t xml:space="preserve">-regulated genes within each organ-specific trajectory, identified by </w:t>
      </w:r>
      <w:r>
        <w:rPr>
          <w:rFonts w:ascii="Times New Roman" w:hAnsi="Times New Roman" w:cs="Times New Roman" w:hint="eastAsia"/>
          <w:szCs w:val="21"/>
        </w:rPr>
        <w:t>trajectory analysis</w:t>
      </w:r>
      <w:r>
        <w:rPr>
          <w:rFonts w:ascii="Times New Roman" w:hAnsi="Times New Roman" w:cs="Times New Roman"/>
          <w:szCs w:val="21"/>
        </w:rPr>
        <w:t xml:space="preserve"> using Monocle2, which models gene expression changes along inferred differentiation paths: b, neural cell lineages</w:t>
      </w:r>
      <w:r>
        <w:rPr>
          <w:rFonts w:ascii="Times New Roman" w:hAnsi="Times New Roman" w:cs="Times New Roman" w:hint="eastAsia"/>
          <w:szCs w:val="21"/>
        </w:rPr>
        <w:t>;</w:t>
      </w:r>
      <w:r>
        <w:rPr>
          <w:rFonts w:ascii="Times New Roman" w:hAnsi="Times New Roman" w:cs="Times New Roman"/>
          <w:szCs w:val="21"/>
        </w:rPr>
        <w:t xml:space="preserve"> d, heart cell lineages</w:t>
      </w:r>
      <w:r>
        <w:rPr>
          <w:rFonts w:ascii="Times New Roman" w:hAnsi="Times New Roman" w:cs="Times New Roman" w:hint="eastAsia"/>
          <w:szCs w:val="21"/>
        </w:rPr>
        <w:t>; f, liver cell lineages.</w:t>
      </w:r>
      <w:r>
        <w:rPr>
          <w:rFonts w:ascii="Times New Roman" w:hAnsi="Times New Roman" w:cs="Times New Roman"/>
          <w:szCs w:val="21"/>
        </w:rPr>
        <w:t xml:space="preserve"> </w:t>
      </w:r>
      <w:proofErr w:type="spellStart"/>
      <w:r>
        <w:rPr>
          <w:rFonts w:ascii="Times New Roman" w:hAnsi="Times New Roman" w:cs="Times New Roman"/>
          <w:szCs w:val="21"/>
        </w:rPr>
        <w:t>Imm</w:t>
      </w:r>
      <w:proofErr w:type="spellEnd"/>
      <w:r>
        <w:rPr>
          <w:rFonts w:ascii="Times New Roman" w:hAnsi="Times New Roman" w:cs="Times New Roman"/>
          <w:szCs w:val="21"/>
        </w:rPr>
        <w:t xml:space="preserve"> neurons, Immature neurons; </w:t>
      </w:r>
      <w:proofErr w:type="spellStart"/>
      <w:r>
        <w:rPr>
          <w:rFonts w:ascii="Times New Roman" w:hAnsi="Times New Roman" w:cs="Times New Roman"/>
          <w:szCs w:val="21"/>
        </w:rPr>
        <w:t>Imm</w:t>
      </w:r>
      <w:proofErr w:type="spellEnd"/>
      <w:r>
        <w:rPr>
          <w:rFonts w:ascii="Times New Roman" w:hAnsi="Times New Roman" w:cs="Times New Roman"/>
          <w:szCs w:val="21"/>
        </w:rPr>
        <w:t xml:space="preserve"> neurons, Immature neurons; INPs, Intermediate neural progenitors; NSCs, Neural stem cells; OPCs, </w:t>
      </w:r>
      <w:proofErr w:type="spellStart"/>
      <w:r>
        <w:rPr>
          <w:rFonts w:ascii="Times New Roman" w:hAnsi="Times New Roman" w:cs="Times New Roman"/>
          <w:szCs w:val="21"/>
        </w:rPr>
        <w:t>Oligodendrocyte</w:t>
      </w:r>
      <w:proofErr w:type="spellEnd"/>
      <w:r>
        <w:rPr>
          <w:rFonts w:ascii="Times New Roman" w:hAnsi="Times New Roman" w:cs="Times New Roman"/>
          <w:szCs w:val="21"/>
        </w:rPr>
        <w:t xml:space="preserve"> precursor cells; ECs, Endothelial cells; MCs, Mesoderm cells; GMPs, Granulocyte–monocyte progenitors; HSCs, Hematopoietic stem cells; MCs, Mesoderm cells.</w:t>
      </w:r>
    </w:p>
    <w:p w:rsidR="00CF5A3A" w:rsidRDefault="00CF5A3A" w:rsidP="00CF5A3A">
      <w:pPr>
        <w:tabs>
          <w:tab w:val="left" w:pos="6095"/>
        </w:tabs>
        <w:snapToGrid w:val="0"/>
        <w:spacing w:line="360" w:lineRule="auto"/>
        <w:rPr>
          <w:rFonts w:ascii="Times New Roman" w:hAnsi="Times New Roman" w:cs="Times New Roman"/>
          <w:b/>
          <w:bCs/>
          <w:szCs w:val="21"/>
        </w:rPr>
      </w:pPr>
    </w:p>
    <w:p w:rsidR="00CF5A3A" w:rsidRDefault="00CF5A3A" w:rsidP="00CF5A3A">
      <w:pPr>
        <w:tabs>
          <w:tab w:val="left" w:pos="6095"/>
        </w:tabs>
        <w:snapToGrid w:val="0"/>
        <w:spacing w:line="360" w:lineRule="auto"/>
        <w:rPr>
          <w:rFonts w:ascii="Times New Roman" w:hAnsi="Times New Roman" w:cs="Times New Roman"/>
          <w:szCs w:val="21"/>
        </w:rPr>
      </w:pPr>
      <w:proofErr w:type="gramStart"/>
      <w:r>
        <w:rPr>
          <w:rFonts w:ascii="Times New Roman" w:hAnsi="Times New Roman" w:cs="Times New Roman"/>
          <w:b/>
          <w:bCs/>
          <w:szCs w:val="21"/>
        </w:rPr>
        <w:t xml:space="preserve">Supplementary </w:t>
      </w:r>
      <w:r>
        <w:rPr>
          <w:rFonts w:ascii="Times New Roman" w:eastAsia="SimSun" w:hAnsi="Times New Roman" w:cs="Times New Roman"/>
          <w:b/>
          <w:bCs/>
          <w:szCs w:val="21"/>
        </w:rPr>
        <w:t>Fig.</w:t>
      </w:r>
      <w:proofErr w:type="gramEnd"/>
      <w:r>
        <w:rPr>
          <w:rFonts w:ascii="Times New Roman" w:eastAsia="SimSun" w:hAnsi="Times New Roman" w:cs="Times New Roman"/>
          <w:b/>
          <w:bCs/>
          <w:szCs w:val="21"/>
        </w:rPr>
        <w:t xml:space="preserve"> S3. Molecular landscapes of </w:t>
      </w:r>
      <w:r>
        <w:rPr>
          <w:rFonts w:ascii="Times New Roman" w:hAnsi="Times New Roman" w:cs="Times New Roman"/>
          <w:b/>
          <w:bCs/>
          <w:szCs w:val="21"/>
        </w:rPr>
        <w:t>MC sub-populations</w:t>
      </w:r>
      <w:r>
        <w:rPr>
          <w:rFonts w:ascii="Times New Roman" w:eastAsia="SimSun" w:hAnsi="Times New Roman" w:cs="Times New Roman"/>
          <w:b/>
          <w:bCs/>
          <w:szCs w:val="21"/>
        </w:rPr>
        <w:t xml:space="preserve">. </w:t>
      </w:r>
      <w:proofErr w:type="gramStart"/>
      <w:r>
        <w:rPr>
          <w:rFonts w:ascii="Times New Roman" w:eastAsia="SimSun" w:hAnsi="Times New Roman" w:cs="Times New Roman"/>
          <w:szCs w:val="21"/>
        </w:rPr>
        <w:t>a</w:t>
      </w:r>
      <w:proofErr w:type="gramEnd"/>
      <w:r>
        <w:rPr>
          <w:rFonts w:ascii="Times New Roman" w:eastAsia="SimSun" w:hAnsi="Times New Roman" w:cs="Times New Roman"/>
          <w:szCs w:val="21"/>
        </w:rPr>
        <w:t xml:space="preserve">, Average expression of canonical marker genes across the seven MC </w:t>
      </w:r>
      <w:r>
        <w:rPr>
          <w:rFonts w:ascii="Times New Roman" w:eastAsia="SimSun" w:hAnsi="Times New Roman" w:cs="Times New Roman" w:hint="eastAsia"/>
          <w:szCs w:val="21"/>
        </w:rPr>
        <w:t>sub-cluster</w:t>
      </w:r>
      <w:r>
        <w:rPr>
          <w:rFonts w:ascii="Times New Roman" w:eastAsia="SimSun" w:hAnsi="Times New Roman" w:cs="Times New Roman"/>
          <w:szCs w:val="21"/>
        </w:rPr>
        <w:t>s (MC1–MC7). Dot color indicates average scaled expression, while dot size indicates the percentage of cells within each cluster expressing the gene.</w:t>
      </w:r>
      <w:r>
        <w:rPr>
          <w:rFonts w:ascii="Times New Roman" w:eastAsia="SimSun" w:hAnsi="Times New Roman" w:cs="Times New Roman" w:hint="eastAsia"/>
          <w:szCs w:val="21"/>
        </w:rPr>
        <w:t xml:space="preserve"> </w:t>
      </w:r>
      <w:r>
        <w:rPr>
          <w:rFonts w:ascii="Times New Roman" w:eastAsia="SimSun" w:hAnsi="Times New Roman" w:cs="Times New Roman"/>
          <w:szCs w:val="21"/>
        </w:rPr>
        <w:t xml:space="preserve">Average expression refers to the normalized mean expression level of a given </w:t>
      </w:r>
      <w:r>
        <w:rPr>
          <w:rFonts w:ascii="Times New Roman" w:eastAsia="SimSun" w:hAnsi="Times New Roman" w:cs="Times New Roman"/>
          <w:szCs w:val="21"/>
        </w:rPr>
        <w:lastRenderedPageBreak/>
        <w:t>gene calculated across all cells within a specific cluster.</w:t>
      </w:r>
      <w:r>
        <w:rPr>
          <w:rFonts w:ascii="Times New Roman" w:eastAsia="SimSun" w:hAnsi="Times New Roman" w:cs="Times New Roman" w:hint="eastAsia"/>
          <w:szCs w:val="21"/>
        </w:rPr>
        <w:t xml:space="preserve"> </w:t>
      </w:r>
      <w:proofErr w:type="gramStart"/>
      <w:r>
        <w:rPr>
          <w:rFonts w:ascii="Times New Roman" w:eastAsia="SimSun" w:hAnsi="Times New Roman" w:cs="Times New Roman"/>
          <w:szCs w:val="21"/>
        </w:rPr>
        <w:t>b</w:t>
      </w:r>
      <w:proofErr w:type="gramEnd"/>
      <w:r>
        <w:rPr>
          <w:rFonts w:ascii="Times New Roman" w:eastAsia="SimSun" w:hAnsi="Times New Roman" w:cs="Times New Roman"/>
          <w:szCs w:val="21"/>
        </w:rPr>
        <w:t xml:space="preserve">, </w:t>
      </w:r>
      <w:proofErr w:type="spellStart"/>
      <w:r>
        <w:rPr>
          <w:rFonts w:ascii="Times New Roman" w:eastAsia="SimSun" w:hAnsi="Times New Roman" w:cs="Times New Roman"/>
          <w:szCs w:val="21"/>
        </w:rPr>
        <w:t>Heatmap</w:t>
      </w:r>
      <w:proofErr w:type="spellEnd"/>
      <w:r>
        <w:rPr>
          <w:rFonts w:ascii="Times New Roman" w:eastAsia="SimSun" w:hAnsi="Times New Roman" w:cs="Times New Roman"/>
          <w:szCs w:val="21"/>
        </w:rPr>
        <w:t xml:space="preserve"> showing the top 10 TFs with the highest SCENIC activity scores (AUC values) in each MC </w:t>
      </w:r>
      <w:r>
        <w:rPr>
          <w:rFonts w:ascii="Times New Roman" w:eastAsia="SimSun" w:hAnsi="Times New Roman" w:cs="Times New Roman" w:hint="eastAsia"/>
          <w:szCs w:val="21"/>
        </w:rPr>
        <w:t>sub-cluster</w:t>
      </w:r>
      <w:r>
        <w:rPr>
          <w:rFonts w:ascii="Times New Roman" w:eastAsia="SimSun" w:hAnsi="Times New Roman" w:cs="Times New Roman"/>
          <w:szCs w:val="21"/>
        </w:rPr>
        <w:t xml:space="preserve"> (MC1–MC7). TFs are ranked within each cluster by activity. Numbers previously shown in parentheses (e.g., 32g) correspond to </w:t>
      </w:r>
      <w:proofErr w:type="spellStart"/>
      <w:r>
        <w:rPr>
          <w:rFonts w:ascii="Times New Roman" w:eastAsia="SimSun" w:hAnsi="Times New Roman" w:cs="Times New Roman"/>
          <w:szCs w:val="21"/>
        </w:rPr>
        <w:t>regulon</w:t>
      </w:r>
      <w:proofErr w:type="spellEnd"/>
      <w:r>
        <w:rPr>
          <w:rFonts w:ascii="Times New Roman" w:eastAsia="SimSun" w:hAnsi="Times New Roman" w:cs="Times New Roman"/>
          <w:szCs w:val="21"/>
        </w:rPr>
        <w:t xml:space="preserve"> IDs used by SCENIC/</w:t>
      </w:r>
      <w:proofErr w:type="spellStart"/>
      <w:r>
        <w:rPr>
          <w:rFonts w:ascii="Times New Roman" w:eastAsia="SimSun" w:hAnsi="Times New Roman" w:cs="Times New Roman"/>
          <w:szCs w:val="21"/>
        </w:rPr>
        <w:t>cisTarget</w:t>
      </w:r>
      <w:proofErr w:type="spellEnd"/>
      <w:r>
        <w:rPr>
          <w:rFonts w:ascii="Times New Roman" w:eastAsia="SimSun" w:hAnsi="Times New Roman" w:cs="Times New Roman"/>
          <w:szCs w:val="21"/>
        </w:rPr>
        <w:t xml:space="preserve"> for internal ranking.</w:t>
      </w:r>
      <w:r>
        <w:rPr>
          <w:rFonts w:ascii="Times New Roman" w:eastAsia="SimSun" w:hAnsi="Times New Roman" w:cs="Times New Roman" w:hint="eastAsia"/>
          <w:szCs w:val="21"/>
        </w:rPr>
        <w:t xml:space="preserve"> </w:t>
      </w:r>
      <w:proofErr w:type="gramStart"/>
      <w:r>
        <w:rPr>
          <w:rFonts w:ascii="Times New Roman" w:eastAsia="SimSun" w:hAnsi="Times New Roman" w:cs="Times New Roman"/>
          <w:szCs w:val="21"/>
        </w:rPr>
        <w:t>c</w:t>
      </w:r>
      <w:proofErr w:type="gramEnd"/>
      <w:r>
        <w:rPr>
          <w:rFonts w:ascii="Times New Roman" w:eastAsia="SimSun" w:hAnsi="Times New Roman" w:cs="Times New Roman"/>
          <w:szCs w:val="21"/>
        </w:rPr>
        <w:t xml:space="preserve">, Expression dynamics of </w:t>
      </w:r>
      <w:r>
        <w:rPr>
          <w:rFonts w:ascii="Times New Roman" w:eastAsia="SimSun" w:hAnsi="Times New Roman" w:cs="Times New Roman"/>
          <w:i/>
          <w:iCs/>
          <w:szCs w:val="21"/>
        </w:rPr>
        <w:t>EGR</w:t>
      </w:r>
      <w:r>
        <w:rPr>
          <w:rFonts w:ascii="Times New Roman" w:hAnsi="Times New Roman" w:cs="Times New Roman"/>
          <w:i/>
          <w:iCs/>
          <w:color w:val="131413"/>
          <w:szCs w:val="21"/>
        </w:rPr>
        <w:t>1</w:t>
      </w:r>
      <w:r>
        <w:rPr>
          <w:rFonts w:ascii="Times New Roman" w:hAnsi="Times New Roman" w:cs="Times New Roman"/>
          <w:color w:val="131413"/>
          <w:szCs w:val="21"/>
        </w:rPr>
        <w:t xml:space="preserve"> and its 28 </w:t>
      </w:r>
      <w:r>
        <w:rPr>
          <w:rFonts w:ascii="Times New Roman" w:hAnsi="Times New Roman" w:cs="Times New Roman"/>
          <w:kern w:val="0"/>
          <w:szCs w:val="21"/>
        </w:rPr>
        <w:t>target genes</w:t>
      </w:r>
      <w:r>
        <w:rPr>
          <w:rFonts w:ascii="Times New Roman" w:hAnsi="Times New Roman" w:cs="Times New Roman"/>
          <w:color w:val="131413"/>
          <w:szCs w:val="21"/>
        </w:rPr>
        <w:t xml:space="preserve"> along the inferred </w:t>
      </w:r>
      <w:proofErr w:type="spellStart"/>
      <w:r>
        <w:rPr>
          <w:rFonts w:ascii="Times New Roman" w:hAnsi="Times New Roman" w:cs="Times New Roman"/>
          <w:color w:val="131413"/>
          <w:szCs w:val="21"/>
        </w:rPr>
        <w:t>pseudotime</w:t>
      </w:r>
      <w:proofErr w:type="spellEnd"/>
      <w:r>
        <w:rPr>
          <w:rFonts w:ascii="Times New Roman" w:hAnsi="Times New Roman" w:cs="Times New Roman"/>
          <w:color w:val="131413"/>
          <w:szCs w:val="21"/>
        </w:rPr>
        <w:t xml:space="preserve"> trajectory. </w:t>
      </w:r>
      <w:r>
        <w:rPr>
          <w:rFonts w:ascii="Times New Roman" w:hAnsi="Times New Roman" w:cs="Times New Roman"/>
          <w:bCs/>
          <w:szCs w:val="21"/>
        </w:rPr>
        <w:t xml:space="preserve">Rows represent genes; values are </w:t>
      </w:r>
      <w:proofErr w:type="gramStart"/>
      <w:r>
        <w:rPr>
          <w:rFonts w:ascii="Times New Roman" w:hAnsi="Times New Roman" w:cs="Times New Roman"/>
          <w:bCs/>
          <w:szCs w:val="21"/>
        </w:rPr>
        <w:t>row</w:t>
      </w:r>
      <w:proofErr w:type="gramEnd"/>
      <w:r>
        <w:rPr>
          <w:rFonts w:ascii="Times New Roman" w:hAnsi="Times New Roman" w:cs="Times New Roman"/>
          <w:bCs/>
          <w:szCs w:val="21"/>
        </w:rPr>
        <w:t xml:space="preserve"> Z-scores (standardized within each gene across pseudo-time). </w:t>
      </w:r>
      <w:proofErr w:type="gramStart"/>
      <w:r>
        <w:rPr>
          <w:rFonts w:ascii="Times New Roman" w:hAnsi="Times New Roman" w:cs="Times New Roman"/>
          <w:bCs/>
          <w:szCs w:val="21"/>
        </w:rPr>
        <w:t>d</w:t>
      </w:r>
      <w:proofErr w:type="gramEnd"/>
      <w:r>
        <w:rPr>
          <w:rFonts w:ascii="Times New Roman" w:hAnsi="Times New Roman" w:cs="Times New Roman"/>
          <w:bCs/>
          <w:szCs w:val="21"/>
        </w:rPr>
        <w:t>, Kyoto Encyclopedia of Genes and Genomes (KEGG) enrichment</w:t>
      </w:r>
      <w:r>
        <w:rPr>
          <w:rFonts w:ascii="Times New Roman" w:hAnsi="Times New Roman" w:cs="Times New Roman"/>
          <w:szCs w:val="21"/>
        </w:rPr>
        <w:t xml:space="preserve"> of the 28 genes targeted by </w:t>
      </w:r>
      <w:r>
        <w:rPr>
          <w:rFonts w:ascii="Times New Roman" w:hAnsi="Times New Roman" w:cs="Times New Roman"/>
          <w:i/>
          <w:iCs/>
          <w:szCs w:val="21"/>
        </w:rPr>
        <w:t>EGR1</w:t>
      </w:r>
      <w:r>
        <w:rPr>
          <w:rFonts w:ascii="Times New Roman" w:hAnsi="Times New Roman" w:cs="Times New Roman"/>
          <w:szCs w:val="21"/>
        </w:rPr>
        <w:t xml:space="preserve"> in </w:t>
      </w:r>
      <w:r>
        <w:rPr>
          <w:rFonts w:ascii="Times New Roman" w:eastAsia="SimSun" w:hAnsi="Times New Roman" w:cs="Times New Roman"/>
          <w:szCs w:val="21"/>
        </w:rPr>
        <w:t xml:space="preserve">the seven </w:t>
      </w:r>
      <w:r>
        <w:rPr>
          <w:rFonts w:ascii="Times New Roman" w:hAnsi="Times New Roman" w:cs="Times New Roman"/>
          <w:szCs w:val="21"/>
        </w:rPr>
        <w:t>MC</w:t>
      </w:r>
      <w:r>
        <w:rPr>
          <w:rFonts w:ascii="Times New Roman" w:eastAsia="SimSun" w:hAnsi="Times New Roman" w:cs="Times New Roman"/>
          <w:szCs w:val="21"/>
        </w:rPr>
        <w:t xml:space="preserve"> sub-clusters</w:t>
      </w:r>
      <w:r>
        <w:rPr>
          <w:rFonts w:ascii="Times New Roman" w:hAnsi="Times New Roman" w:cs="Times New Roman"/>
          <w:szCs w:val="21"/>
        </w:rPr>
        <w:t xml:space="preserve">. </w:t>
      </w:r>
      <w:proofErr w:type="gramStart"/>
      <w:r>
        <w:rPr>
          <w:rFonts w:ascii="Times New Roman" w:hAnsi="Times New Roman" w:cs="Times New Roman"/>
          <w:szCs w:val="21"/>
        </w:rPr>
        <w:t>e</w:t>
      </w:r>
      <w:proofErr w:type="gramEnd"/>
      <w:r>
        <w:rPr>
          <w:rFonts w:ascii="Times New Roman" w:hAnsi="Times New Roman" w:cs="Times New Roman"/>
          <w:szCs w:val="21"/>
        </w:rPr>
        <w:t xml:space="preserve">, Joint UMAP embedding of single-cell </w:t>
      </w:r>
      <w:proofErr w:type="spellStart"/>
      <w:r>
        <w:rPr>
          <w:rFonts w:ascii="Times New Roman" w:hAnsi="Times New Roman" w:cs="Times New Roman"/>
          <w:szCs w:val="21"/>
        </w:rPr>
        <w:t>transcriptomic</w:t>
      </w:r>
      <w:proofErr w:type="spellEnd"/>
      <w:r>
        <w:rPr>
          <w:rFonts w:ascii="Times New Roman" w:hAnsi="Times New Roman" w:cs="Times New Roman"/>
          <w:szCs w:val="21"/>
        </w:rPr>
        <w:t xml:space="preserve"> (</w:t>
      </w:r>
      <w:proofErr w:type="spellStart"/>
      <w:r>
        <w:rPr>
          <w:rFonts w:ascii="Times New Roman" w:hAnsi="Times New Roman" w:cs="Times New Roman"/>
          <w:szCs w:val="21"/>
        </w:rPr>
        <w:t>scRNA-seq</w:t>
      </w:r>
      <w:proofErr w:type="spellEnd"/>
      <w:r>
        <w:rPr>
          <w:rFonts w:ascii="Times New Roman" w:hAnsi="Times New Roman" w:cs="Times New Roman"/>
          <w:szCs w:val="21"/>
        </w:rPr>
        <w:t>, blue) and chromatin accessibility (</w:t>
      </w:r>
      <w:proofErr w:type="spellStart"/>
      <w:r>
        <w:rPr>
          <w:rFonts w:ascii="Times New Roman" w:hAnsi="Times New Roman" w:cs="Times New Roman"/>
          <w:szCs w:val="21"/>
        </w:rPr>
        <w:t>scATAC-seq</w:t>
      </w:r>
      <w:proofErr w:type="spellEnd"/>
      <w:r>
        <w:rPr>
          <w:rFonts w:ascii="Times New Roman" w:hAnsi="Times New Roman" w:cs="Times New Roman"/>
          <w:szCs w:val="21"/>
        </w:rPr>
        <w:t>, red) profiles. Cells from both modalities exhibited largely overlapping distributions, confirming consistency between transcriptional states and underlying chromatin landscapes.</w:t>
      </w:r>
    </w:p>
    <w:p w:rsidR="00CF5A3A" w:rsidRDefault="00CF5A3A" w:rsidP="00CF5A3A">
      <w:pPr>
        <w:tabs>
          <w:tab w:val="left" w:pos="6095"/>
        </w:tabs>
        <w:snapToGrid w:val="0"/>
        <w:spacing w:line="360" w:lineRule="auto"/>
        <w:rPr>
          <w:rFonts w:ascii="Times New Roman" w:hAnsi="Times New Roman" w:cs="Times New Roman"/>
          <w:szCs w:val="21"/>
        </w:rPr>
      </w:pPr>
    </w:p>
    <w:p w:rsidR="00CF5A3A" w:rsidRDefault="00CF5A3A" w:rsidP="00CF5A3A">
      <w:pPr>
        <w:snapToGrid w:val="0"/>
        <w:spacing w:line="360" w:lineRule="auto"/>
        <w:rPr>
          <w:rFonts w:ascii="Times New Roman" w:eastAsia="SimSun" w:hAnsi="Times New Roman" w:cs="Times New Roman"/>
          <w:szCs w:val="21"/>
        </w:rPr>
      </w:pPr>
      <w:proofErr w:type="gramStart"/>
      <w:r>
        <w:rPr>
          <w:rFonts w:ascii="Times New Roman" w:hAnsi="Times New Roman" w:cs="Times New Roman"/>
          <w:b/>
          <w:bCs/>
          <w:szCs w:val="21"/>
        </w:rPr>
        <w:t xml:space="preserve">Supplementary </w:t>
      </w:r>
      <w:r>
        <w:rPr>
          <w:rFonts w:ascii="Times New Roman" w:eastAsia="SimSun" w:hAnsi="Times New Roman" w:cs="Times New Roman"/>
          <w:b/>
          <w:bCs/>
          <w:szCs w:val="21"/>
        </w:rPr>
        <w:t>Fig.</w:t>
      </w:r>
      <w:proofErr w:type="gramEnd"/>
      <w:r>
        <w:rPr>
          <w:rFonts w:ascii="Times New Roman" w:eastAsia="SimSun" w:hAnsi="Times New Roman" w:cs="Times New Roman"/>
          <w:b/>
          <w:bCs/>
          <w:szCs w:val="21"/>
        </w:rPr>
        <w:t xml:space="preserve"> S4. </w:t>
      </w:r>
      <w:proofErr w:type="gramStart"/>
      <w:r>
        <w:rPr>
          <w:rFonts w:ascii="Times New Roman" w:eastAsia="SimSun" w:hAnsi="Times New Roman" w:cs="Times New Roman"/>
          <w:b/>
          <w:bCs/>
          <w:szCs w:val="21"/>
        </w:rPr>
        <w:t xml:space="preserve">Landscapes of </w:t>
      </w:r>
      <w:r>
        <w:rPr>
          <w:rFonts w:ascii="Times New Roman" w:hAnsi="Times New Roman" w:cs="Times New Roman"/>
          <w:b/>
          <w:bCs/>
          <w:szCs w:val="21"/>
        </w:rPr>
        <w:t>cardiac cells</w:t>
      </w:r>
      <w:r>
        <w:rPr>
          <w:rFonts w:ascii="Times New Roman" w:eastAsia="SimSun" w:hAnsi="Times New Roman" w:cs="Times New Roman"/>
          <w:b/>
          <w:bCs/>
          <w:szCs w:val="21"/>
        </w:rPr>
        <w:t>.</w:t>
      </w:r>
      <w:proofErr w:type="gramEnd"/>
      <w:r>
        <w:rPr>
          <w:rFonts w:ascii="Times New Roman" w:eastAsia="SimSun" w:hAnsi="Times New Roman" w:cs="Times New Roman"/>
          <w:szCs w:val="21"/>
        </w:rPr>
        <w:t xml:space="preserve"> </w:t>
      </w:r>
      <w:proofErr w:type="gramStart"/>
      <w:r>
        <w:rPr>
          <w:rFonts w:ascii="Times New Roman" w:eastAsia="SimSun" w:hAnsi="Times New Roman" w:cs="Times New Roman"/>
          <w:szCs w:val="21"/>
        </w:rPr>
        <w:t>a</w:t>
      </w:r>
      <w:proofErr w:type="gramEnd"/>
      <w:r>
        <w:rPr>
          <w:rFonts w:ascii="Times New Roman" w:eastAsia="SimSun" w:hAnsi="Times New Roman" w:cs="Times New Roman"/>
          <w:szCs w:val="21"/>
        </w:rPr>
        <w:t xml:space="preserve">, Dot plot showing average expression of canonical marker genes across cardiac cell types. Dot color indicates scaled average expression; dot size indicates the percentage of cells in each population expressing the gene. Average expression refers to the normalized mean expression level of a given gene calculated across all cells within a specific cluster. Cell types include </w:t>
      </w:r>
      <w:proofErr w:type="spellStart"/>
      <w:r>
        <w:rPr>
          <w:rFonts w:ascii="Times New Roman" w:eastAsia="SimSun" w:hAnsi="Times New Roman" w:cs="Times New Roman"/>
          <w:szCs w:val="21"/>
        </w:rPr>
        <w:t>cardiomyocytes</w:t>
      </w:r>
      <w:proofErr w:type="spellEnd"/>
      <w:r>
        <w:rPr>
          <w:rFonts w:ascii="Times New Roman" w:eastAsia="SimSun" w:hAnsi="Times New Roman" w:cs="Times New Roman"/>
          <w:szCs w:val="21"/>
        </w:rPr>
        <w:t xml:space="preserve">, ECs, </w:t>
      </w:r>
      <w:proofErr w:type="spellStart"/>
      <w:r>
        <w:rPr>
          <w:rFonts w:ascii="Times New Roman" w:eastAsia="SimSun" w:hAnsi="Times New Roman" w:cs="Times New Roman"/>
          <w:szCs w:val="21"/>
        </w:rPr>
        <w:t>endocardial</w:t>
      </w:r>
      <w:proofErr w:type="spellEnd"/>
      <w:r>
        <w:rPr>
          <w:rFonts w:ascii="Times New Roman" w:eastAsia="SimSun" w:hAnsi="Times New Roman" w:cs="Times New Roman"/>
          <w:szCs w:val="21"/>
        </w:rPr>
        <w:t xml:space="preserve"> cells, mural cells, fibroblasts, neuroendocrine cells, and Schwann cells. </w:t>
      </w:r>
      <w:proofErr w:type="gramStart"/>
      <w:r>
        <w:rPr>
          <w:rFonts w:ascii="Times New Roman" w:eastAsia="SimSun" w:hAnsi="Times New Roman" w:cs="Times New Roman"/>
          <w:szCs w:val="21"/>
        </w:rPr>
        <w:t>b</w:t>
      </w:r>
      <w:proofErr w:type="gramEnd"/>
      <w:r>
        <w:rPr>
          <w:rFonts w:ascii="Times New Roman" w:eastAsia="SimSun" w:hAnsi="Times New Roman" w:cs="Times New Roman"/>
          <w:szCs w:val="21"/>
        </w:rPr>
        <w:t xml:space="preserve">, </w:t>
      </w:r>
      <w:proofErr w:type="spellStart"/>
      <w:r>
        <w:rPr>
          <w:rFonts w:ascii="Times New Roman" w:eastAsia="SimSun" w:hAnsi="Times New Roman" w:cs="Times New Roman"/>
          <w:szCs w:val="21"/>
        </w:rPr>
        <w:t>Pseudotime</w:t>
      </w:r>
      <w:proofErr w:type="spellEnd"/>
      <w:r>
        <w:rPr>
          <w:rFonts w:ascii="Times New Roman" w:eastAsia="SimSun" w:hAnsi="Times New Roman" w:cs="Times New Roman"/>
          <w:szCs w:val="21"/>
        </w:rPr>
        <w:t xml:space="preserve"> trajectories of MC </w:t>
      </w:r>
      <w:r>
        <w:rPr>
          <w:rFonts w:ascii="Times New Roman" w:eastAsia="SimSun" w:hAnsi="Times New Roman" w:cs="Times New Roman" w:hint="eastAsia"/>
          <w:szCs w:val="21"/>
        </w:rPr>
        <w:t>sub-cluster</w:t>
      </w:r>
      <w:r>
        <w:rPr>
          <w:rFonts w:ascii="Times New Roman" w:eastAsia="SimSun" w:hAnsi="Times New Roman" w:cs="Times New Roman"/>
          <w:szCs w:val="21"/>
        </w:rPr>
        <w:t xml:space="preserve">s (MC1–MC7) and </w:t>
      </w:r>
      <w:proofErr w:type="spellStart"/>
      <w:r>
        <w:rPr>
          <w:rFonts w:ascii="Times New Roman" w:eastAsia="SimSun" w:hAnsi="Times New Roman" w:cs="Times New Roman"/>
          <w:szCs w:val="21"/>
        </w:rPr>
        <w:t>endocardial</w:t>
      </w:r>
      <w:proofErr w:type="spellEnd"/>
      <w:r>
        <w:rPr>
          <w:rFonts w:ascii="Times New Roman" w:eastAsia="SimSun" w:hAnsi="Times New Roman" w:cs="Times New Roman"/>
          <w:szCs w:val="21"/>
        </w:rPr>
        <w:t xml:space="preserve"> cells (C5) in samples from different organs (embryo, brain, heart, kidney, liver, spleen). To highlight organ-specific developmental dynamics, panels are arranged by organ rather than gestational stage. Colored dots represent cells from individual </w:t>
      </w:r>
      <w:r>
        <w:rPr>
          <w:rFonts w:ascii="Times New Roman" w:eastAsia="SimSun" w:hAnsi="Times New Roman" w:cs="Times New Roman" w:hint="eastAsia"/>
          <w:szCs w:val="21"/>
        </w:rPr>
        <w:t>sub-cluster</w:t>
      </w:r>
      <w:r>
        <w:rPr>
          <w:rFonts w:ascii="Times New Roman" w:eastAsia="SimSun" w:hAnsi="Times New Roman" w:cs="Times New Roman"/>
          <w:szCs w:val="21"/>
        </w:rPr>
        <w:t xml:space="preserve">s; black lines indicate the inferred backbone trajectory by Monocle2. </w:t>
      </w:r>
      <w:proofErr w:type="gramStart"/>
      <w:r>
        <w:rPr>
          <w:rFonts w:ascii="Times New Roman" w:eastAsia="SimSun" w:hAnsi="Times New Roman" w:cs="Times New Roman"/>
          <w:szCs w:val="21"/>
        </w:rPr>
        <w:t>c</w:t>
      </w:r>
      <w:proofErr w:type="gramEnd"/>
      <w:r>
        <w:rPr>
          <w:rFonts w:ascii="Times New Roman" w:eastAsia="SimSun" w:hAnsi="Times New Roman" w:cs="Times New Roman"/>
          <w:szCs w:val="21"/>
        </w:rPr>
        <w:t xml:space="preserve">, </w:t>
      </w:r>
      <w:proofErr w:type="spellStart"/>
      <w:r>
        <w:rPr>
          <w:rFonts w:ascii="Times New Roman" w:eastAsia="SimSun" w:hAnsi="Times New Roman" w:cs="Times New Roman"/>
          <w:szCs w:val="21"/>
        </w:rPr>
        <w:t>Heatmap</w:t>
      </w:r>
      <w:proofErr w:type="spellEnd"/>
      <w:r>
        <w:rPr>
          <w:rFonts w:ascii="Times New Roman" w:eastAsia="SimSun" w:hAnsi="Times New Roman" w:cs="Times New Roman"/>
          <w:szCs w:val="21"/>
        </w:rPr>
        <w:t xml:space="preserve"> showing the top 10 TFs with the highest SCENIC activity scores (AUC values) in MC1–MC7 and C5. Each row is a TF, and each column a cell cluster; values are </w:t>
      </w:r>
      <w:proofErr w:type="gramStart"/>
      <w:r>
        <w:rPr>
          <w:rFonts w:ascii="Times New Roman" w:eastAsia="SimSun" w:hAnsi="Times New Roman" w:cs="Times New Roman"/>
          <w:szCs w:val="21"/>
        </w:rPr>
        <w:t>row</w:t>
      </w:r>
      <w:proofErr w:type="gramEnd"/>
      <w:r>
        <w:rPr>
          <w:rFonts w:ascii="Times New Roman" w:eastAsia="SimSun" w:hAnsi="Times New Roman" w:cs="Times New Roman"/>
          <w:szCs w:val="21"/>
        </w:rPr>
        <w:t xml:space="preserve"> Z-scores. TFs are ranked by activity.</w:t>
      </w:r>
      <w:r>
        <w:rPr>
          <w:rFonts w:ascii="Times New Roman" w:eastAsia="SimSun" w:hAnsi="Times New Roman" w:cs="Times New Roman" w:hint="eastAsia"/>
          <w:szCs w:val="21"/>
        </w:rPr>
        <w:t xml:space="preserve"> </w:t>
      </w:r>
      <w:r>
        <w:rPr>
          <w:rFonts w:ascii="Times New Roman" w:eastAsia="SimSun" w:hAnsi="Times New Roman" w:cs="Times New Roman"/>
          <w:szCs w:val="21"/>
        </w:rPr>
        <w:t xml:space="preserve">Numbers previously shown in parentheses (e.g., 32g) correspond to </w:t>
      </w:r>
      <w:proofErr w:type="spellStart"/>
      <w:r>
        <w:rPr>
          <w:rFonts w:ascii="Times New Roman" w:eastAsia="SimSun" w:hAnsi="Times New Roman" w:cs="Times New Roman"/>
          <w:szCs w:val="21"/>
        </w:rPr>
        <w:t>regulon</w:t>
      </w:r>
      <w:proofErr w:type="spellEnd"/>
      <w:r>
        <w:rPr>
          <w:rFonts w:ascii="Times New Roman" w:eastAsia="SimSun" w:hAnsi="Times New Roman" w:cs="Times New Roman"/>
          <w:szCs w:val="21"/>
        </w:rPr>
        <w:t xml:space="preserve"> IDs used by SCENIC/</w:t>
      </w:r>
      <w:proofErr w:type="spellStart"/>
      <w:r>
        <w:rPr>
          <w:rFonts w:ascii="Times New Roman" w:eastAsia="SimSun" w:hAnsi="Times New Roman" w:cs="Times New Roman"/>
          <w:szCs w:val="21"/>
        </w:rPr>
        <w:t>cisTarget</w:t>
      </w:r>
      <w:proofErr w:type="spellEnd"/>
      <w:r>
        <w:rPr>
          <w:rFonts w:ascii="Times New Roman" w:eastAsia="SimSun" w:hAnsi="Times New Roman" w:cs="Times New Roman"/>
          <w:szCs w:val="21"/>
        </w:rPr>
        <w:t xml:space="preserve"> for internal ranking. </w:t>
      </w:r>
      <w:proofErr w:type="gramStart"/>
      <w:r>
        <w:rPr>
          <w:rFonts w:ascii="Times New Roman" w:eastAsia="SimSun" w:hAnsi="Times New Roman" w:cs="Times New Roman"/>
          <w:szCs w:val="21"/>
        </w:rPr>
        <w:t>d</w:t>
      </w:r>
      <w:proofErr w:type="gramEnd"/>
      <w:r>
        <w:rPr>
          <w:rFonts w:ascii="Times New Roman" w:eastAsia="SimSun" w:hAnsi="Times New Roman" w:cs="Times New Roman"/>
          <w:szCs w:val="21"/>
        </w:rPr>
        <w:t xml:space="preserve">, </w:t>
      </w:r>
      <w:r>
        <w:rPr>
          <w:rFonts w:ascii="Times New Roman" w:eastAsia="SimSun" w:hAnsi="Times New Roman" w:cs="Times New Roman" w:hint="eastAsia"/>
          <w:szCs w:val="21"/>
        </w:rPr>
        <w:t>T</w:t>
      </w:r>
      <w:r>
        <w:rPr>
          <w:rFonts w:ascii="Times New Roman" w:eastAsia="SimSun" w:hAnsi="Times New Roman" w:cs="Times New Roman"/>
          <w:szCs w:val="21"/>
        </w:rPr>
        <w:t xml:space="preserve">rajectory of MCs and C5 (top row), with expression dynamics of </w:t>
      </w:r>
      <w:r>
        <w:rPr>
          <w:rFonts w:ascii="Times New Roman" w:eastAsia="SimSun" w:hAnsi="Times New Roman" w:cs="Times New Roman"/>
          <w:i/>
          <w:iCs/>
          <w:szCs w:val="21"/>
        </w:rPr>
        <w:t>EMCN</w:t>
      </w:r>
      <w:r>
        <w:rPr>
          <w:rFonts w:ascii="Times New Roman" w:eastAsia="SimSun" w:hAnsi="Times New Roman" w:cs="Times New Roman"/>
          <w:szCs w:val="21"/>
        </w:rPr>
        <w:t xml:space="preserve"> and </w:t>
      </w:r>
      <w:r>
        <w:rPr>
          <w:rFonts w:ascii="Times New Roman" w:eastAsia="SimSun" w:hAnsi="Times New Roman" w:cs="Times New Roman"/>
          <w:i/>
          <w:iCs/>
          <w:szCs w:val="21"/>
        </w:rPr>
        <w:t>TMEM100</w:t>
      </w:r>
      <w:r>
        <w:rPr>
          <w:rFonts w:ascii="Times New Roman" w:eastAsia="SimSun" w:hAnsi="Times New Roman" w:cs="Times New Roman"/>
          <w:szCs w:val="21"/>
        </w:rPr>
        <w:t xml:space="preserve"> mapped onto the trajectory (bottom row). Color gradient indicates </w:t>
      </w:r>
      <w:proofErr w:type="spellStart"/>
      <w:r>
        <w:rPr>
          <w:rFonts w:ascii="Times New Roman" w:eastAsia="SimSun" w:hAnsi="Times New Roman" w:cs="Times New Roman"/>
          <w:szCs w:val="21"/>
        </w:rPr>
        <w:t>pseudotime</w:t>
      </w:r>
      <w:proofErr w:type="spellEnd"/>
      <w:r>
        <w:rPr>
          <w:rFonts w:ascii="Times New Roman" w:eastAsia="SimSun" w:hAnsi="Times New Roman" w:cs="Times New Roman"/>
          <w:szCs w:val="21"/>
        </w:rPr>
        <w:t xml:space="preserve"> (top) or normalized expression level (bottom). </w:t>
      </w:r>
      <w:proofErr w:type="gramStart"/>
      <w:r>
        <w:rPr>
          <w:rFonts w:ascii="Times New Roman" w:eastAsia="SimSun" w:hAnsi="Times New Roman" w:cs="Times New Roman"/>
          <w:szCs w:val="21"/>
        </w:rPr>
        <w:t>e</w:t>
      </w:r>
      <w:proofErr w:type="gramEnd"/>
      <w:r>
        <w:rPr>
          <w:rFonts w:ascii="Times New Roman" w:eastAsia="SimSun" w:hAnsi="Times New Roman" w:cs="Times New Roman"/>
          <w:szCs w:val="21"/>
        </w:rPr>
        <w:t>, Violin plots showing expression of five RAD21-target genes (</w:t>
      </w:r>
      <w:r>
        <w:rPr>
          <w:rFonts w:ascii="Times New Roman" w:eastAsia="SimSun" w:hAnsi="Times New Roman" w:cs="Times New Roman"/>
          <w:i/>
          <w:iCs/>
          <w:szCs w:val="21"/>
        </w:rPr>
        <w:t>EMCN, POSTN, ECSCR, HBB, RNASE1</w:t>
      </w:r>
      <w:r>
        <w:rPr>
          <w:rFonts w:ascii="Times New Roman" w:eastAsia="SimSun" w:hAnsi="Times New Roman" w:cs="Times New Roman"/>
          <w:szCs w:val="21"/>
        </w:rPr>
        <w:t xml:space="preserve">) across MC </w:t>
      </w:r>
      <w:r>
        <w:rPr>
          <w:rFonts w:ascii="Times New Roman" w:eastAsia="SimSun" w:hAnsi="Times New Roman" w:cs="Times New Roman" w:hint="eastAsia"/>
          <w:szCs w:val="21"/>
        </w:rPr>
        <w:t>sub-cluster</w:t>
      </w:r>
      <w:r>
        <w:rPr>
          <w:rFonts w:ascii="Times New Roman" w:eastAsia="SimSun" w:hAnsi="Times New Roman" w:cs="Times New Roman"/>
          <w:szCs w:val="21"/>
        </w:rPr>
        <w:t>s and C5. Statistics: Wilcoxon rank-sum test with multiple-testing correction.</w:t>
      </w:r>
    </w:p>
    <w:p w:rsidR="00CF5A3A" w:rsidRDefault="00CF5A3A" w:rsidP="00CF5A3A">
      <w:pPr>
        <w:snapToGrid w:val="0"/>
        <w:spacing w:line="360" w:lineRule="auto"/>
        <w:rPr>
          <w:rFonts w:ascii="Times New Roman" w:eastAsia="SimSun" w:hAnsi="Times New Roman" w:cs="Times New Roman"/>
          <w:szCs w:val="21"/>
        </w:rPr>
      </w:pPr>
    </w:p>
    <w:p w:rsidR="00CF5A3A" w:rsidRDefault="00CF5A3A" w:rsidP="00CF5A3A">
      <w:pPr>
        <w:tabs>
          <w:tab w:val="left" w:pos="6095"/>
        </w:tabs>
        <w:snapToGrid w:val="0"/>
        <w:spacing w:line="360" w:lineRule="auto"/>
        <w:rPr>
          <w:rFonts w:ascii="Times New Roman" w:eastAsia="SimSun" w:hAnsi="Times New Roman" w:cs="Times New Roman"/>
          <w:szCs w:val="21"/>
        </w:rPr>
      </w:pPr>
      <w:proofErr w:type="gramStart"/>
      <w:r>
        <w:rPr>
          <w:rFonts w:ascii="Times New Roman" w:hAnsi="Times New Roman" w:cs="Times New Roman"/>
          <w:b/>
          <w:bCs/>
          <w:szCs w:val="21"/>
        </w:rPr>
        <w:t xml:space="preserve">Supplementary </w:t>
      </w:r>
      <w:r>
        <w:rPr>
          <w:rFonts w:ascii="Times New Roman" w:eastAsia="SimSun" w:hAnsi="Times New Roman" w:cs="Times New Roman"/>
          <w:b/>
          <w:bCs/>
          <w:szCs w:val="21"/>
        </w:rPr>
        <w:t>Fig.</w:t>
      </w:r>
      <w:proofErr w:type="gramEnd"/>
      <w:r>
        <w:rPr>
          <w:rFonts w:ascii="Times New Roman" w:eastAsia="SimSun" w:hAnsi="Times New Roman" w:cs="Times New Roman"/>
          <w:b/>
          <w:bCs/>
          <w:szCs w:val="21"/>
        </w:rPr>
        <w:t xml:space="preserve"> S5. </w:t>
      </w:r>
      <w:proofErr w:type="gramStart"/>
      <w:r>
        <w:rPr>
          <w:rFonts w:ascii="Times New Roman" w:eastAsia="SimSun" w:hAnsi="Times New Roman" w:cs="Times New Roman"/>
          <w:b/>
          <w:bCs/>
          <w:szCs w:val="21"/>
        </w:rPr>
        <w:t>Trajectory and functional heterogeneity of mesoderm-to-EC differentiation.</w:t>
      </w:r>
      <w:proofErr w:type="gramEnd"/>
      <w:r>
        <w:rPr>
          <w:rFonts w:ascii="Times New Roman" w:eastAsia="SimSun" w:hAnsi="Times New Roman" w:cs="Times New Roman"/>
          <w:szCs w:val="21"/>
        </w:rPr>
        <w:t xml:space="preserve"> </w:t>
      </w:r>
      <w:proofErr w:type="gramStart"/>
      <w:r>
        <w:rPr>
          <w:rFonts w:ascii="Times New Roman" w:eastAsia="SimSun" w:hAnsi="Times New Roman" w:cs="Times New Roman"/>
          <w:szCs w:val="21"/>
        </w:rPr>
        <w:t>a</w:t>
      </w:r>
      <w:proofErr w:type="gramEnd"/>
      <w:r>
        <w:rPr>
          <w:rFonts w:ascii="Times New Roman" w:eastAsia="SimSun" w:hAnsi="Times New Roman" w:cs="Times New Roman"/>
          <w:szCs w:val="21"/>
        </w:rPr>
        <w:t>, UMAP visualization of ECs captured from different tissues (brain, heart, kidney, liver, spleen, and 7-week embryo) and developmental stages</w:t>
      </w:r>
      <w:r>
        <w:rPr>
          <w:rFonts w:ascii="Times New Roman" w:eastAsia="SimSun" w:hAnsi="Times New Roman" w:cs="Times New Roman" w:hint="eastAsia"/>
          <w:szCs w:val="21"/>
        </w:rPr>
        <w:t xml:space="preserve">, as analyzed by </w:t>
      </w:r>
      <w:proofErr w:type="spellStart"/>
      <w:r>
        <w:rPr>
          <w:rFonts w:ascii="Times New Roman" w:eastAsia="SimSun" w:hAnsi="Times New Roman" w:cs="Times New Roman" w:hint="eastAsia"/>
          <w:szCs w:val="21"/>
        </w:rPr>
        <w:t>scRNA-Seq</w:t>
      </w:r>
      <w:proofErr w:type="spellEnd"/>
      <w:r>
        <w:rPr>
          <w:rFonts w:ascii="Times New Roman" w:eastAsia="SimSun" w:hAnsi="Times New Roman" w:cs="Times New Roman" w:hint="eastAsia"/>
          <w:szCs w:val="21"/>
        </w:rPr>
        <w:t xml:space="preserve"> data</w:t>
      </w:r>
      <w:r>
        <w:rPr>
          <w:rFonts w:ascii="Times New Roman" w:eastAsia="SimSun" w:hAnsi="Times New Roman" w:cs="Times New Roman"/>
          <w:szCs w:val="21"/>
        </w:rPr>
        <w:t>. Each dot represents one single cell; colors denote tissue of origin</w:t>
      </w:r>
      <w:r>
        <w:rPr>
          <w:rFonts w:ascii="Times New Roman" w:eastAsia="SimSun" w:hAnsi="Times New Roman" w:cs="Times New Roman" w:hint="eastAsia"/>
          <w:szCs w:val="21"/>
        </w:rPr>
        <w:t>.</w:t>
      </w:r>
      <w:r>
        <w:rPr>
          <w:rFonts w:ascii="Times New Roman" w:eastAsia="SimSun" w:hAnsi="Times New Roman" w:cs="Times New Roman"/>
          <w:szCs w:val="21"/>
        </w:rPr>
        <w:t xml:space="preserve"> </w:t>
      </w:r>
      <w:proofErr w:type="gramStart"/>
      <w:r>
        <w:rPr>
          <w:rFonts w:ascii="Times New Roman" w:eastAsia="SimSun" w:hAnsi="Times New Roman" w:cs="Times New Roman"/>
          <w:szCs w:val="21"/>
        </w:rPr>
        <w:t>b</w:t>
      </w:r>
      <w:proofErr w:type="gramEnd"/>
      <w:r>
        <w:rPr>
          <w:rFonts w:ascii="Times New Roman" w:eastAsia="SimSun" w:hAnsi="Times New Roman" w:cs="Times New Roman"/>
          <w:szCs w:val="21"/>
        </w:rPr>
        <w:t xml:space="preserve">, UMAP visualization showing expression of canonical marker genes across the six EC clusters, confirming cluster identity. </w:t>
      </w:r>
      <w:proofErr w:type="gramStart"/>
      <w:r>
        <w:rPr>
          <w:rFonts w:ascii="Times New Roman" w:eastAsia="SimSun" w:hAnsi="Times New Roman" w:cs="Times New Roman"/>
          <w:szCs w:val="21"/>
        </w:rPr>
        <w:t>c</w:t>
      </w:r>
      <w:proofErr w:type="gramEnd"/>
      <w:r>
        <w:rPr>
          <w:rFonts w:ascii="Times New Roman" w:eastAsia="SimSun" w:hAnsi="Times New Roman" w:cs="Times New Roman"/>
          <w:szCs w:val="21"/>
        </w:rPr>
        <w:t xml:space="preserve">, Monocle2 trajectory analysis between MC </w:t>
      </w:r>
      <w:r>
        <w:rPr>
          <w:rFonts w:ascii="Times New Roman" w:eastAsia="SimSun" w:hAnsi="Times New Roman" w:cs="Times New Roman" w:hint="eastAsia"/>
          <w:szCs w:val="21"/>
        </w:rPr>
        <w:t>sub-cluster</w:t>
      </w:r>
      <w:r>
        <w:rPr>
          <w:rFonts w:ascii="Times New Roman" w:eastAsia="SimSun" w:hAnsi="Times New Roman" w:cs="Times New Roman"/>
          <w:szCs w:val="21"/>
        </w:rPr>
        <w:t xml:space="preserve">s (MC1–MC7) and EC clusters. Solid black lines mark the backbone trajectory. Colored dots denote individual cells, labeled by </w:t>
      </w:r>
      <w:r>
        <w:rPr>
          <w:rFonts w:ascii="Times New Roman" w:eastAsia="SimSun" w:hAnsi="Times New Roman" w:cs="Times New Roman"/>
          <w:szCs w:val="21"/>
        </w:rPr>
        <w:lastRenderedPageBreak/>
        <w:t xml:space="preserve">cluster identity. </w:t>
      </w:r>
      <w:proofErr w:type="gramStart"/>
      <w:r>
        <w:rPr>
          <w:rFonts w:ascii="Times New Roman" w:eastAsia="SimSun" w:hAnsi="Times New Roman" w:cs="Times New Roman"/>
          <w:szCs w:val="21"/>
        </w:rPr>
        <w:t>d</w:t>
      </w:r>
      <w:proofErr w:type="gramEnd"/>
      <w:r>
        <w:rPr>
          <w:rFonts w:ascii="Times New Roman" w:eastAsia="SimSun" w:hAnsi="Times New Roman" w:cs="Times New Roman"/>
          <w:szCs w:val="21"/>
        </w:rPr>
        <w:t xml:space="preserve">, Violin plot showing the expression of </w:t>
      </w:r>
      <w:r>
        <w:rPr>
          <w:rFonts w:ascii="Times New Roman" w:eastAsia="SimSun" w:hAnsi="Times New Roman" w:cs="Times New Roman"/>
          <w:i/>
          <w:iCs/>
          <w:szCs w:val="21"/>
        </w:rPr>
        <w:t>MEF2C</w:t>
      </w:r>
      <w:r>
        <w:rPr>
          <w:rFonts w:ascii="Times New Roman" w:eastAsia="SimSun" w:hAnsi="Times New Roman" w:cs="Times New Roman"/>
          <w:szCs w:val="21"/>
        </w:rPr>
        <w:t xml:space="preserve"> in MC7 and </w:t>
      </w:r>
      <w:proofErr w:type="spellStart"/>
      <w:r>
        <w:rPr>
          <w:rFonts w:ascii="Times New Roman" w:eastAsia="SimSun" w:hAnsi="Times New Roman" w:cs="Times New Roman"/>
          <w:szCs w:val="21"/>
        </w:rPr>
        <w:t>and</w:t>
      </w:r>
      <w:proofErr w:type="spellEnd"/>
      <w:r>
        <w:rPr>
          <w:rFonts w:ascii="Times New Roman" w:eastAsia="SimSun" w:hAnsi="Times New Roman" w:cs="Times New Roman"/>
          <w:szCs w:val="21"/>
        </w:rPr>
        <w:t xml:space="preserve"> EC sub-clusters. P-value was calculated with Wilcox likelihood-ratio test. </w:t>
      </w:r>
      <w:proofErr w:type="gramStart"/>
      <w:r>
        <w:rPr>
          <w:rFonts w:ascii="Times New Roman" w:eastAsia="SimSun" w:hAnsi="Times New Roman" w:cs="Times New Roman"/>
          <w:szCs w:val="21"/>
        </w:rPr>
        <w:t>*, p &lt; 0.05; **, p &lt; 0.01; ***, p &lt; 0.001; ****, p &lt; 0.0001.</w:t>
      </w:r>
      <w:proofErr w:type="gramEnd"/>
      <w:r>
        <w:rPr>
          <w:rFonts w:ascii="Times New Roman" w:eastAsia="SimSun" w:hAnsi="Times New Roman" w:cs="Times New Roman"/>
          <w:szCs w:val="21"/>
        </w:rPr>
        <w:t xml:space="preserve"> </w:t>
      </w:r>
      <w:proofErr w:type="gramStart"/>
      <w:r>
        <w:rPr>
          <w:rFonts w:ascii="Times New Roman" w:eastAsia="SimSun" w:hAnsi="Times New Roman" w:cs="Times New Roman"/>
          <w:szCs w:val="21"/>
        </w:rPr>
        <w:t>e</w:t>
      </w:r>
      <w:proofErr w:type="gramEnd"/>
      <w:r>
        <w:rPr>
          <w:rFonts w:ascii="Times New Roman" w:eastAsia="SimSun" w:hAnsi="Times New Roman" w:cs="Times New Roman"/>
          <w:szCs w:val="21"/>
        </w:rPr>
        <w:t xml:space="preserve">, Gene Ontology (GO) analysis of </w:t>
      </w:r>
      <w:r>
        <w:rPr>
          <w:rFonts w:ascii="Times New Roman" w:eastAsia="SimSun" w:hAnsi="Times New Roman" w:cs="Times New Roman"/>
          <w:i/>
          <w:iCs/>
          <w:szCs w:val="21"/>
        </w:rPr>
        <w:t>ANGPT2</w:t>
      </w:r>
      <w:r>
        <w:rPr>
          <w:rFonts w:ascii="Times New Roman" w:eastAsia="SimSun" w:hAnsi="Times New Roman" w:cs="Times New Roman"/>
          <w:szCs w:val="21"/>
        </w:rPr>
        <w:t xml:space="preserve"> and</w:t>
      </w:r>
      <w:r>
        <w:rPr>
          <w:rFonts w:ascii="Times New Roman" w:eastAsia="SimSun" w:hAnsi="Times New Roman" w:cs="Times New Roman"/>
          <w:i/>
          <w:iCs/>
          <w:szCs w:val="21"/>
        </w:rPr>
        <w:t xml:space="preserve"> COL4A2</w:t>
      </w:r>
      <w:r>
        <w:rPr>
          <w:rFonts w:ascii="Times New Roman" w:eastAsia="SimSun" w:hAnsi="Times New Roman" w:cs="Times New Roman"/>
          <w:szCs w:val="21"/>
        </w:rPr>
        <w:t xml:space="preserve"> targeted by MEF2C, showing significant enrichment in angiogenesis- and vasculature-related processes. </w:t>
      </w:r>
    </w:p>
    <w:p w:rsidR="00CF5A3A" w:rsidRDefault="00CF5A3A" w:rsidP="00CF5A3A">
      <w:pPr>
        <w:tabs>
          <w:tab w:val="left" w:pos="6095"/>
        </w:tabs>
        <w:snapToGrid w:val="0"/>
        <w:spacing w:line="360" w:lineRule="auto"/>
        <w:rPr>
          <w:rFonts w:ascii="Times New Roman" w:eastAsia="SimSun" w:hAnsi="Times New Roman" w:cs="Times New Roman"/>
          <w:szCs w:val="21"/>
        </w:rPr>
      </w:pPr>
    </w:p>
    <w:p w:rsidR="00CF5A3A" w:rsidRDefault="00CF5A3A" w:rsidP="00CF5A3A">
      <w:pPr>
        <w:snapToGrid w:val="0"/>
        <w:spacing w:line="360" w:lineRule="auto"/>
        <w:rPr>
          <w:rFonts w:ascii="Times New Roman" w:hAnsi="Times New Roman" w:cs="Times New Roman"/>
          <w:szCs w:val="21"/>
        </w:rPr>
      </w:pPr>
      <w:proofErr w:type="gramStart"/>
      <w:r>
        <w:rPr>
          <w:rFonts w:ascii="Times New Roman" w:hAnsi="Times New Roman" w:cs="Times New Roman"/>
          <w:b/>
          <w:bCs/>
          <w:szCs w:val="21"/>
        </w:rPr>
        <w:t xml:space="preserve">Supplementary </w:t>
      </w:r>
      <w:r>
        <w:rPr>
          <w:rFonts w:ascii="Times New Roman" w:eastAsia="SimSun" w:hAnsi="Times New Roman" w:cs="Times New Roman"/>
          <w:b/>
          <w:bCs/>
          <w:szCs w:val="21"/>
        </w:rPr>
        <w:t>Fig.</w:t>
      </w:r>
      <w:proofErr w:type="gramEnd"/>
      <w:r>
        <w:rPr>
          <w:rFonts w:ascii="Times New Roman" w:eastAsia="SimSun" w:hAnsi="Times New Roman" w:cs="Times New Roman"/>
          <w:b/>
          <w:bCs/>
          <w:szCs w:val="21"/>
        </w:rPr>
        <w:t xml:space="preserve"> S6. </w:t>
      </w:r>
      <w:proofErr w:type="gramStart"/>
      <w:r>
        <w:rPr>
          <w:rFonts w:ascii="Times New Roman" w:eastAsia="SimSun" w:hAnsi="Times New Roman" w:cs="Times New Roman"/>
          <w:b/>
          <w:bCs/>
          <w:szCs w:val="21"/>
        </w:rPr>
        <w:t>Hematopoietic lineage differentiation from mesodermal progenitors.</w:t>
      </w:r>
      <w:proofErr w:type="gramEnd"/>
      <w:r>
        <w:rPr>
          <w:rFonts w:ascii="Times New Roman" w:hAnsi="Times New Roman" w:cs="Times New Roman"/>
          <w:b/>
          <w:bCs/>
          <w:szCs w:val="21"/>
        </w:rPr>
        <w:t xml:space="preserve"> </w:t>
      </w:r>
      <w:proofErr w:type="gramStart"/>
      <w:r>
        <w:rPr>
          <w:rFonts w:ascii="Times New Roman" w:hAnsi="Times New Roman" w:cs="Times New Roman"/>
          <w:szCs w:val="21"/>
        </w:rPr>
        <w:t>a</w:t>
      </w:r>
      <w:proofErr w:type="gramEnd"/>
      <w:r>
        <w:rPr>
          <w:rFonts w:ascii="Times New Roman" w:hAnsi="Times New Roman" w:cs="Times New Roman"/>
          <w:szCs w:val="21"/>
        </w:rPr>
        <w:t xml:space="preserve">, </w:t>
      </w:r>
      <w:proofErr w:type="spellStart"/>
      <w:r>
        <w:rPr>
          <w:rFonts w:ascii="Times New Roman" w:hAnsi="Times New Roman" w:cs="Times New Roman"/>
          <w:szCs w:val="21"/>
        </w:rPr>
        <w:t>CytoTRACE</w:t>
      </w:r>
      <w:proofErr w:type="spellEnd"/>
      <w:r>
        <w:rPr>
          <w:rFonts w:ascii="Times New Roman" w:hAnsi="Times New Roman" w:cs="Times New Roman"/>
          <w:szCs w:val="21"/>
        </w:rPr>
        <w:t xml:space="preserve"> analysis of hematopoietic clusters (H1–H11), showing entropy values that reflect differentiation potential. Eleven major clusters were identified: mast cells (H1), granulocyte–macrophage progenitors (GMP, H2), T cells (H3), microglia cells (H4), dendritic cells (DCs, H5), neutrophils (H6), hematopoietic stem cells (HSCs, H7), megakaryocytes (H8), B cells (H9), macrophages (H10), and erythroblasts (H11). </w:t>
      </w:r>
      <w:proofErr w:type="gramStart"/>
      <w:r>
        <w:rPr>
          <w:rFonts w:ascii="Times New Roman" w:hAnsi="Times New Roman" w:cs="Times New Roman"/>
          <w:szCs w:val="21"/>
        </w:rPr>
        <w:t>b</w:t>
      </w:r>
      <w:proofErr w:type="gramEnd"/>
      <w:r>
        <w:rPr>
          <w:rFonts w:ascii="Times New Roman" w:hAnsi="Times New Roman" w:cs="Times New Roman"/>
          <w:szCs w:val="21"/>
        </w:rPr>
        <w:t xml:space="preserve">, Expression dynamics of </w:t>
      </w:r>
      <w:r>
        <w:rPr>
          <w:rFonts w:ascii="Times New Roman" w:hAnsi="Times New Roman" w:cs="Times New Roman"/>
          <w:i/>
          <w:iCs/>
          <w:szCs w:val="21"/>
        </w:rPr>
        <w:t>HBZ</w:t>
      </w:r>
      <w:r>
        <w:rPr>
          <w:rFonts w:ascii="Times New Roman" w:hAnsi="Times New Roman" w:cs="Times New Roman"/>
          <w:szCs w:val="21"/>
        </w:rPr>
        <w:t xml:space="preserve"> along the </w:t>
      </w:r>
      <w:proofErr w:type="spellStart"/>
      <w:r>
        <w:rPr>
          <w:rFonts w:ascii="Times New Roman" w:hAnsi="Times New Roman" w:cs="Times New Roman"/>
          <w:szCs w:val="21"/>
        </w:rPr>
        <w:t>pseudotime</w:t>
      </w:r>
      <w:proofErr w:type="spellEnd"/>
      <w:r>
        <w:rPr>
          <w:rFonts w:ascii="Times New Roman" w:hAnsi="Times New Roman" w:cs="Times New Roman"/>
          <w:szCs w:val="21"/>
        </w:rPr>
        <w:t xml:space="preserve"> trajectory of hematopoietic cells, with cluster identity indicated by color. X-axis represents </w:t>
      </w:r>
      <w:proofErr w:type="spellStart"/>
      <w:r>
        <w:rPr>
          <w:rFonts w:ascii="Times New Roman" w:hAnsi="Times New Roman" w:cs="Times New Roman"/>
          <w:szCs w:val="21"/>
        </w:rPr>
        <w:t>pseudotime</w:t>
      </w:r>
      <w:proofErr w:type="spellEnd"/>
      <w:r>
        <w:rPr>
          <w:rFonts w:ascii="Times New Roman" w:hAnsi="Times New Roman" w:cs="Times New Roman"/>
          <w:szCs w:val="21"/>
        </w:rPr>
        <w:t xml:space="preserve"> (arbitrary units inferred by Monocle2); Y-axis represents normalized expression levels. The solid curve denotes a smoothed expression trend. </w:t>
      </w:r>
      <w:proofErr w:type="gramStart"/>
      <w:r>
        <w:rPr>
          <w:rFonts w:ascii="Times New Roman" w:hAnsi="Times New Roman" w:cs="Times New Roman"/>
          <w:szCs w:val="21"/>
        </w:rPr>
        <w:t>c</w:t>
      </w:r>
      <w:proofErr w:type="gramEnd"/>
      <w:r>
        <w:rPr>
          <w:rFonts w:ascii="Times New Roman" w:hAnsi="Times New Roman" w:cs="Times New Roman"/>
          <w:szCs w:val="21"/>
        </w:rPr>
        <w:t>, UMAP plots showing expression levels of</w:t>
      </w:r>
      <w:r>
        <w:rPr>
          <w:rFonts w:ascii="Times New Roman" w:hAnsi="Times New Roman" w:cs="Times New Roman"/>
          <w:i/>
          <w:iCs/>
          <w:szCs w:val="21"/>
        </w:rPr>
        <w:t xml:space="preserve"> HBQ1, HBM,</w:t>
      </w:r>
      <w:r>
        <w:rPr>
          <w:rFonts w:ascii="Times New Roman" w:hAnsi="Times New Roman" w:cs="Times New Roman"/>
          <w:szCs w:val="21"/>
        </w:rPr>
        <w:t xml:space="preserve"> and </w:t>
      </w:r>
      <w:r>
        <w:rPr>
          <w:rFonts w:ascii="Times New Roman" w:hAnsi="Times New Roman" w:cs="Times New Roman"/>
          <w:i/>
          <w:iCs/>
          <w:szCs w:val="21"/>
        </w:rPr>
        <w:t>HBG1</w:t>
      </w:r>
      <w:r>
        <w:rPr>
          <w:rFonts w:ascii="Times New Roman" w:hAnsi="Times New Roman" w:cs="Times New Roman"/>
          <w:szCs w:val="21"/>
        </w:rPr>
        <w:t xml:space="preserve"> across hematopoietic </w:t>
      </w:r>
      <w:r>
        <w:rPr>
          <w:rFonts w:ascii="Times New Roman" w:hAnsi="Times New Roman" w:cs="Times New Roman" w:hint="eastAsia"/>
          <w:szCs w:val="21"/>
        </w:rPr>
        <w:t>sub-cluster</w:t>
      </w:r>
      <w:r>
        <w:rPr>
          <w:rFonts w:ascii="Times New Roman" w:hAnsi="Times New Roman" w:cs="Times New Roman"/>
          <w:szCs w:val="21"/>
        </w:rPr>
        <w:t xml:space="preserve">s. Each dot is a single cell; dot color indicates scaled expression. </w:t>
      </w:r>
      <w:proofErr w:type="gramStart"/>
      <w:r>
        <w:rPr>
          <w:rFonts w:ascii="Times New Roman" w:hAnsi="Times New Roman" w:cs="Times New Roman"/>
          <w:szCs w:val="21"/>
        </w:rPr>
        <w:t>d</w:t>
      </w:r>
      <w:proofErr w:type="gramEnd"/>
      <w:r>
        <w:rPr>
          <w:rFonts w:ascii="Times New Roman" w:hAnsi="Times New Roman" w:cs="Times New Roman"/>
          <w:szCs w:val="21"/>
        </w:rPr>
        <w:t xml:space="preserve">, Schematic model summarizing heterogeneous MC differentiation, illustrating developmental progression toward heart cells, EC </w:t>
      </w:r>
      <w:r>
        <w:rPr>
          <w:rFonts w:ascii="Times New Roman" w:hAnsi="Times New Roman" w:cs="Times New Roman" w:hint="eastAsia"/>
          <w:szCs w:val="21"/>
        </w:rPr>
        <w:t>sub-cluster</w:t>
      </w:r>
      <w:r>
        <w:rPr>
          <w:rFonts w:ascii="Times New Roman" w:hAnsi="Times New Roman" w:cs="Times New Roman"/>
          <w:szCs w:val="21"/>
        </w:rPr>
        <w:t>s, and hematopoietic lineages including erythroblasts, mast cells, and neutrophils.</w:t>
      </w:r>
    </w:p>
    <w:p w:rsidR="005B7CD7" w:rsidRDefault="005B7CD7">
      <w:bookmarkStart w:id="0" w:name="_GoBack"/>
      <w:bookmarkEnd w:id="0"/>
    </w:p>
    <w:sectPr w:rsidR="005B7CD7">
      <w:footerReference w:type="default" r:id="rId5"/>
      <w:pgSz w:w="11906" w:h="16838"/>
      <w:pgMar w:top="1440" w:right="1800" w:bottom="1440" w:left="1800" w:header="851" w:footer="992" w:gutter="0"/>
      <w:lnNumType w:countBy="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416261"/>
    </w:sdtPr>
    <w:sdtEndPr/>
    <w:sdtContent>
      <w:p w:rsidR="009C5B90" w:rsidRDefault="00CF5A3A">
        <w:pPr>
          <w:pStyle w:val="Footer"/>
          <w:jc w:val="center"/>
        </w:pPr>
        <w:r>
          <w:fldChar w:fldCharType="begin"/>
        </w:r>
        <w:r>
          <w:instrText>PAGE   \* MERGEFORMAT</w:instrText>
        </w:r>
        <w:r>
          <w:fldChar w:fldCharType="separate"/>
        </w:r>
        <w:r w:rsidRPr="00CF5A3A">
          <w:rPr>
            <w:noProof/>
            <w:lang w:val="zh-CN"/>
          </w:rPr>
          <w:t>3</w:t>
        </w:r>
        <w:r>
          <w:fldChar w:fldCharType="end"/>
        </w:r>
      </w:p>
    </w:sdtContent>
  </w:sdt>
  <w:p w:rsidR="009C5B90" w:rsidRDefault="00CF5A3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A3A"/>
    <w:rsid w:val="005B7CD7"/>
    <w:rsid w:val="00CF5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CF5A3A"/>
    <w:pPr>
      <w:widowControl w:val="0"/>
      <w:spacing w:after="0" w:line="240" w:lineRule="auto"/>
      <w:jc w:val="both"/>
    </w:pPr>
    <w:rPr>
      <w:rFonts w:eastAsiaTheme="minorEastAsia"/>
      <w:kern w:val="2"/>
      <w:sz w:val="21"/>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unhideWhenUsed/>
    <w:qFormat/>
    <w:rsid w:val="00CF5A3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qFormat/>
    <w:rsid w:val="00CF5A3A"/>
    <w:rPr>
      <w:rFonts w:eastAsiaTheme="minorEastAsia"/>
      <w:kern w:val="2"/>
      <w:sz w:val="18"/>
      <w:szCs w:val="18"/>
      <w:lang w:val="en-US" w:eastAsia="zh-CN"/>
    </w:rPr>
  </w:style>
  <w:style w:type="paragraph" w:styleId="BalloonText">
    <w:name w:val="Balloon Text"/>
    <w:basedOn w:val="Normal"/>
    <w:link w:val="BalloonTextChar"/>
    <w:uiPriority w:val="99"/>
    <w:semiHidden/>
    <w:unhideWhenUsed/>
    <w:rsid w:val="00CF5A3A"/>
    <w:rPr>
      <w:rFonts w:ascii="Tahoma" w:hAnsi="Tahoma" w:cs="Tahoma"/>
      <w:sz w:val="16"/>
      <w:szCs w:val="16"/>
    </w:rPr>
  </w:style>
  <w:style w:type="character" w:customStyle="1" w:styleId="BalloonTextChar">
    <w:name w:val="Balloon Text Char"/>
    <w:basedOn w:val="DefaultParagraphFont"/>
    <w:link w:val="BalloonText"/>
    <w:uiPriority w:val="99"/>
    <w:semiHidden/>
    <w:rsid w:val="00CF5A3A"/>
    <w:rPr>
      <w:rFonts w:ascii="Tahoma" w:eastAsiaTheme="minorEastAsia" w:hAnsi="Tahoma" w:cs="Tahoma"/>
      <w:kern w:val="2"/>
      <w:sz w:val="16"/>
      <w:szCs w:val="16"/>
      <w:lang w:val="en-US" w:eastAsia="zh-CN"/>
    </w:rPr>
  </w:style>
  <w:style w:type="character" w:styleId="LineNumber">
    <w:name w:val="line number"/>
    <w:basedOn w:val="DefaultParagraphFont"/>
    <w:uiPriority w:val="99"/>
    <w:semiHidden/>
    <w:unhideWhenUsed/>
    <w:rsid w:val="00CF5A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CF5A3A"/>
    <w:pPr>
      <w:widowControl w:val="0"/>
      <w:spacing w:after="0" w:line="240" w:lineRule="auto"/>
      <w:jc w:val="both"/>
    </w:pPr>
    <w:rPr>
      <w:rFonts w:eastAsiaTheme="minorEastAsia"/>
      <w:kern w:val="2"/>
      <w:sz w:val="21"/>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unhideWhenUsed/>
    <w:qFormat/>
    <w:rsid w:val="00CF5A3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qFormat/>
    <w:rsid w:val="00CF5A3A"/>
    <w:rPr>
      <w:rFonts w:eastAsiaTheme="minorEastAsia"/>
      <w:kern w:val="2"/>
      <w:sz w:val="18"/>
      <w:szCs w:val="18"/>
      <w:lang w:val="en-US" w:eastAsia="zh-CN"/>
    </w:rPr>
  </w:style>
  <w:style w:type="paragraph" w:styleId="BalloonText">
    <w:name w:val="Balloon Text"/>
    <w:basedOn w:val="Normal"/>
    <w:link w:val="BalloonTextChar"/>
    <w:uiPriority w:val="99"/>
    <w:semiHidden/>
    <w:unhideWhenUsed/>
    <w:rsid w:val="00CF5A3A"/>
    <w:rPr>
      <w:rFonts w:ascii="Tahoma" w:hAnsi="Tahoma" w:cs="Tahoma"/>
      <w:sz w:val="16"/>
      <w:szCs w:val="16"/>
    </w:rPr>
  </w:style>
  <w:style w:type="character" w:customStyle="1" w:styleId="BalloonTextChar">
    <w:name w:val="Balloon Text Char"/>
    <w:basedOn w:val="DefaultParagraphFont"/>
    <w:link w:val="BalloonText"/>
    <w:uiPriority w:val="99"/>
    <w:semiHidden/>
    <w:rsid w:val="00CF5A3A"/>
    <w:rPr>
      <w:rFonts w:ascii="Tahoma" w:eastAsiaTheme="minorEastAsia" w:hAnsi="Tahoma" w:cs="Tahoma"/>
      <w:kern w:val="2"/>
      <w:sz w:val="16"/>
      <w:szCs w:val="16"/>
      <w:lang w:val="en-US" w:eastAsia="zh-CN"/>
    </w:rPr>
  </w:style>
  <w:style w:type="character" w:styleId="LineNumber">
    <w:name w:val="line number"/>
    <w:basedOn w:val="DefaultParagraphFont"/>
    <w:uiPriority w:val="99"/>
    <w:semiHidden/>
    <w:unhideWhenUsed/>
    <w:rsid w:val="00CF5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1223</Words>
  <Characters>6977</Characters>
  <Application>Microsoft Office Word</Application>
  <DocSecurity>0</DocSecurity>
  <Lines>58</Lines>
  <Paragraphs>16</Paragraphs>
  <ScaleCrop>false</ScaleCrop>
  <Company/>
  <LinksUpToDate>false</LinksUpToDate>
  <CharactersWithSpaces>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Chandrasekar Narasaiah (Integra)</dc:creator>
  <cp:lastModifiedBy>Chandrasekar Narasaiah (Integra)</cp:lastModifiedBy>
  <cp:revision>1</cp:revision>
  <dcterms:created xsi:type="dcterms:W3CDTF">2025-12-18T11:30:00Z</dcterms:created>
  <dcterms:modified xsi:type="dcterms:W3CDTF">2025-12-18T11:31:00Z</dcterms:modified>
</cp:coreProperties>
</file>