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58D03" w14:textId="4CA97AFE" w:rsidR="009B1F16" w:rsidRDefault="009B1F16" w:rsidP="009B1F16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0A02D1">
        <w:rPr>
          <w:rFonts w:ascii="Times New Roman" w:eastAsia="宋体" w:hAnsi="Times New Roman" w:cs="Times New Roman"/>
          <w:b/>
          <w:bCs/>
          <w:sz w:val="32"/>
          <w:szCs w:val="32"/>
        </w:rPr>
        <w:t>The ARRIVE checklist</w:t>
      </w:r>
    </w:p>
    <w:p w14:paraId="1CE03872" w14:textId="77777777" w:rsidR="00551C48" w:rsidRPr="00551C48" w:rsidRDefault="00551C48" w:rsidP="009B1F16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14A53DF9" w14:textId="4F24B160" w:rsidR="007F49CE" w:rsidRPr="000A02D1" w:rsidRDefault="00DE0CD6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1. </w:t>
      </w:r>
      <w:r w:rsidR="00657014"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tudy design</w:t>
      </w:r>
    </w:p>
    <w:p w14:paraId="0ED00AB2" w14:textId="38FABFAD" w:rsidR="00927344" w:rsidRPr="000A02D1" w:rsidRDefault="00E23DA6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  <w:t>In this study,</w:t>
      </w:r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 mice left ventricles were collected at</w:t>
      </w:r>
      <w:r w:rsidR="0092734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different embryonic and postnatal stages</w:t>
      </w:r>
      <w:bookmarkStart w:id="0" w:name="_Hlk65071895"/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 (embryonic day 14~16 (n=4), embryonic day 17~20 (n=5), </w:t>
      </w:r>
      <w:r w:rsidR="00927344" w:rsidRPr="000A02D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postnatal day 1~3 (n=6), postnatal day 4~7 (n=5), postnatal month 1~2 (n=5), postnatal month 3~5 (n=7), postnatal month 6~9 (n=6)</w:t>
      </w:r>
      <w:r w:rsidR="00927344" w:rsidRPr="000A02D1">
        <w:rPr>
          <w:rFonts w:ascii="Times New Roman" w:eastAsia="宋体" w:hAnsi="Times New Roman" w:cs="Times New Roman"/>
          <w:sz w:val="24"/>
          <w:szCs w:val="24"/>
        </w:rPr>
        <w:t>)</w:t>
      </w:r>
      <w:bookmarkEnd w:id="0"/>
      <w:r w:rsidR="00927344" w:rsidRPr="000A02D1">
        <w:rPr>
          <w:rFonts w:ascii="Times New Roman" w:eastAsia="宋体" w:hAnsi="Times New Roman" w:cs="Times New Roman"/>
          <w:sz w:val="24"/>
          <w:szCs w:val="24"/>
        </w:rPr>
        <w:t>.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We investigated the gene expressions of common 21 candidate housekeeping genes in mice LV from 7 different developmental stages. A number of methods, such as </w:t>
      </w:r>
      <w:proofErr w:type="spellStart"/>
      <w:r w:rsidR="00927344" w:rsidRPr="000A02D1">
        <w:rPr>
          <w:rFonts w:ascii="Times New Roman" w:eastAsia="宋体" w:hAnsi="Times New Roman" w:cs="Times New Roman"/>
          <w:sz w:val="24"/>
          <w:szCs w:val="24"/>
        </w:rPr>
        <w:t>GeNorm</w:t>
      </w:r>
      <w:proofErr w:type="spellEnd"/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927344" w:rsidRPr="000A02D1">
        <w:rPr>
          <w:rFonts w:ascii="Times New Roman" w:eastAsia="宋体" w:hAnsi="Times New Roman" w:cs="Times New Roman"/>
          <w:sz w:val="24"/>
          <w:szCs w:val="24"/>
        </w:rPr>
        <w:t>NormFinder</w:t>
      </w:r>
      <w:proofErr w:type="spellEnd"/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927344" w:rsidRPr="000A02D1">
        <w:rPr>
          <w:rFonts w:ascii="Times New Roman" w:eastAsia="宋体" w:hAnsi="Times New Roman" w:cs="Times New Roman"/>
          <w:sz w:val="24"/>
          <w:szCs w:val="24"/>
        </w:rPr>
        <w:t>BestKeeper</w:t>
      </w:r>
      <w:proofErr w:type="spellEnd"/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, Delta-Ct and </w:t>
      </w:r>
      <w:proofErr w:type="spellStart"/>
      <w:r w:rsidR="00927344" w:rsidRPr="000A02D1">
        <w:rPr>
          <w:rFonts w:ascii="Times New Roman" w:eastAsia="宋体" w:hAnsi="Times New Roman" w:cs="Times New Roman"/>
          <w:sz w:val="24"/>
          <w:szCs w:val="24"/>
        </w:rPr>
        <w:t>RefFinder</w:t>
      </w:r>
      <w:proofErr w:type="spellEnd"/>
      <w:r w:rsidR="00927344" w:rsidRPr="000A02D1">
        <w:rPr>
          <w:rFonts w:ascii="Times New Roman" w:eastAsia="宋体" w:hAnsi="Times New Roman" w:cs="Times New Roman"/>
          <w:sz w:val="24"/>
          <w:szCs w:val="24"/>
        </w:rPr>
        <w:t xml:space="preserve"> method, were used to identify a set of optimal reference genes in different developmental stages of mice LV.</w:t>
      </w:r>
      <w:r w:rsidR="00551C4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1,5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BA3DEF0" w14:textId="68AC85B6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D927FDE" w14:textId="5A757481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2. Sample size</w:t>
      </w:r>
    </w:p>
    <w:p w14:paraId="629DBF56" w14:textId="28D7D760" w:rsidR="00551C48" w:rsidRPr="000A02D1" w:rsidRDefault="00927344" w:rsidP="00551C4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  <w:t xml:space="preserve">The exact number of experimental mice in each group were showed in 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>Methods, paragraph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1</w:t>
      </w:r>
      <w:r w:rsidR="00551C48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70366EE" w14:textId="58C23AC1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10AF58E" w14:textId="5C7B141D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8BF79F8" w14:textId="47355EF2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3. Inclusion and exclusion criteria</w:t>
      </w:r>
    </w:p>
    <w:p w14:paraId="6588415A" w14:textId="40EAC213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</w:r>
      <w:r w:rsidR="000E3246" w:rsidRPr="000A02D1">
        <w:rPr>
          <w:rFonts w:ascii="Times New Roman" w:eastAsia="宋体" w:hAnsi="Times New Roman" w:cs="Times New Roman"/>
          <w:sz w:val="24"/>
          <w:szCs w:val="24"/>
        </w:rPr>
        <w:t>Normal m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ice (male </w:t>
      </w:r>
      <w:proofErr w:type="spellStart"/>
      <w:r w:rsidRPr="000A02D1">
        <w:rPr>
          <w:rFonts w:ascii="Times New Roman" w:eastAsia="宋体" w:hAnsi="Times New Roman" w:cs="Times New Roman"/>
          <w:sz w:val="24"/>
          <w:szCs w:val="24"/>
        </w:rPr>
        <w:t>C57BL</w:t>
      </w:r>
      <w:proofErr w:type="spellEnd"/>
      <w:r w:rsidRPr="000A02D1">
        <w:rPr>
          <w:rFonts w:ascii="Times New Roman" w:eastAsia="宋体" w:hAnsi="Times New Roman" w:cs="Times New Roman"/>
          <w:sz w:val="24"/>
          <w:szCs w:val="24"/>
        </w:rPr>
        <w:t>/6) of specified ages (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E14~16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E17~20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D1~3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D4~7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M1~2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M3~5</w:t>
      </w:r>
      <w:proofErr w:type="spellEnd"/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3246" w:rsidRPr="000A02D1">
        <w:rPr>
          <w:rFonts w:ascii="Times New Roman" w:eastAsia="宋体" w:hAnsi="Times New Roman" w:cs="Times New Roman"/>
          <w:sz w:val="24"/>
          <w:szCs w:val="24"/>
        </w:rPr>
        <w:t>M6~9</w:t>
      </w:r>
      <w:proofErr w:type="spellEnd"/>
      <w:r w:rsidRPr="000A02D1">
        <w:rPr>
          <w:rFonts w:ascii="Times New Roman" w:eastAsia="宋体" w:hAnsi="Times New Roman" w:cs="Times New Roman"/>
          <w:sz w:val="24"/>
          <w:szCs w:val="24"/>
        </w:rPr>
        <w:t>)</w:t>
      </w:r>
      <w:r w:rsidR="000E3246" w:rsidRPr="000A02D1">
        <w:rPr>
          <w:rFonts w:ascii="Times New Roman" w:eastAsia="宋体" w:hAnsi="Times New Roman" w:cs="Times New Roman"/>
          <w:sz w:val="24"/>
          <w:szCs w:val="24"/>
        </w:rPr>
        <w:t xml:space="preserve"> were included. In case of structural or functional abnormality of the heart, participants were excluded.</w:t>
      </w:r>
      <w:r w:rsidR="00551C4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13BB6E7B" w14:textId="188A30BD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87C8427" w14:textId="28D6062E" w:rsidR="00927344" w:rsidRPr="000A02D1" w:rsidRDefault="000E3246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4. Randomization</w:t>
      </w:r>
    </w:p>
    <w:p w14:paraId="43517EE9" w14:textId="5F09A7E9" w:rsidR="00927344" w:rsidRPr="000A02D1" w:rsidRDefault="000E3246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</w:r>
      <w:r w:rsidR="00551C48">
        <w:rPr>
          <w:rFonts w:ascii="Times New Roman" w:eastAsia="宋体" w:hAnsi="Times New Roman" w:cs="Times New Roman"/>
          <w:sz w:val="24"/>
          <w:szCs w:val="24"/>
        </w:rPr>
        <w:t>N/A</w:t>
      </w:r>
    </w:p>
    <w:p w14:paraId="072142EE" w14:textId="22116726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0AEE99C" w14:textId="35A2E5BC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5. Blinding</w:t>
      </w:r>
    </w:p>
    <w:p w14:paraId="7AB9C6D7" w14:textId="38FBAF38" w:rsidR="00551C48" w:rsidRPr="000A02D1" w:rsidRDefault="00F63744" w:rsidP="00551C4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</w:r>
      <w:bookmarkStart w:id="1" w:name="_Hlk65072077"/>
      <w:r w:rsidRPr="000A02D1">
        <w:rPr>
          <w:rFonts w:ascii="Times New Roman" w:eastAsia="宋体" w:hAnsi="Times New Roman" w:cs="Times New Roman"/>
          <w:sz w:val="24"/>
          <w:szCs w:val="24"/>
        </w:rPr>
        <w:t>In regard to experimental grouping, the data analysts were blind.</w:t>
      </w:r>
      <w:bookmarkEnd w:id="1"/>
      <w:r w:rsidR="00551C48" w:rsidRPr="00551C4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16D62847" w14:textId="440E1EE4" w:rsidR="00927344" w:rsidRPr="000A02D1" w:rsidRDefault="009273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0EED9F7" w14:textId="562CAF32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B4A0289" w14:textId="28C0B46A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6. Outcome measures</w:t>
      </w:r>
    </w:p>
    <w:p w14:paraId="384A6430" w14:textId="5F945E7E" w:rsidR="00551C48" w:rsidRPr="000A02D1" w:rsidRDefault="00F63744" w:rsidP="00551C4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gene expression stabilities of 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common 21 candidate housekeeping genes in mice 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LV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 from 7 different developmental stages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were evaluated by analyzing the raw Ct values in the four independent statistical applications.</w:t>
      </w:r>
      <w:r w:rsidR="00551C48" w:rsidRPr="00551C4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3D60CB8" w14:textId="18F24714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20A49B8" w14:textId="2FBAE0FA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F559516" w14:textId="309B854E" w:rsidR="00F63744" w:rsidRPr="000A02D1" w:rsidRDefault="00F6374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7. Statistical methods</w:t>
      </w:r>
    </w:p>
    <w:p w14:paraId="722C4865" w14:textId="630304C9" w:rsidR="00F63744" w:rsidRPr="00551C48" w:rsidRDefault="00F6374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sz w:val="24"/>
          <w:szCs w:val="24"/>
        </w:rPr>
        <w:tab/>
      </w:r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gene expression stability was evaluated by analyzing the raw Ct values in the four independent statistical applications: </w:t>
      </w:r>
      <w:proofErr w:type="spellStart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GeNorm</w:t>
      </w:r>
      <w:proofErr w:type="spellEnd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Normfinder</w:t>
      </w:r>
      <w:proofErr w:type="spellEnd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BestKeeper</w:t>
      </w:r>
      <w:proofErr w:type="spellEnd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Delta-Ct method. And we also performed a consensual analysis by </w:t>
      </w:r>
      <w:proofErr w:type="spellStart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RefFinder</w:t>
      </w:r>
      <w:proofErr w:type="spellEnd"/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to make a comprehensive variability score for each reference gene.</w:t>
      </w:r>
      <w:r w:rsidR="00551C48" w:rsidRPr="00551C4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5DB76FA" w14:textId="4CF0BE95" w:rsidR="00551C48" w:rsidRPr="000A02D1" w:rsidRDefault="00CC6F14" w:rsidP="00551C4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  <w:t>Continuous variables are expressed as the mean ± the standard deviation (SD) without special instructions. A one-way analysis of variance (ANOVA) was performed to calculate whether there is statistically different among groups. Differences with a P-value &lt;0.05 were considered statistically significant. All statistical analyses were performed using SPSS Statistics, version 23.0 (IBM Corp, Armonk, NY), and graphs were generated using GraphPad Prism 7 (GraphPad Software Inc., CA).</w:t>
      </w:r>
      <w:r w:rsidR="00551C48" w:rsidRPr="00551C4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1F604B3F" w14:textId="4C33634A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A74D896" w14:textId="09121D0D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8. Experimental animals</w:t>
      </w:r>
    </w:p>
    <w:p w14:paraId="165D097E" w14:textId="3A513FA0" w:rsidR="00551C48" w:rsidRPr="000A02D1" w:rsidRDefault="00CC6F14" w:rsidP="00551C4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</w:r>
      <w:r w:rsidR="00F27649" w:rsidRPr="00492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F27649" w:rsidRPr="00492073">
        <w:rPr>
          <w:rFonts w:ascii="Times New Roman" w:hAnsi="Times New Roman" w:cs="Times New Roman"/>
          <w:color w:val="000000" w:themeColor="text1"/>
          <w:sz w:val="24"/>
          <w:szCs w:val="24"/>
        </w:rPr>
        <w:t>C57BL</w:t>
      </w:r>
      <w:proofErr w:type="spellEnd"/>
      <w:r w:rsidR="00F27649" w:rsidRPr="00492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/6 mice were </w:t>
      </w:r>
      <w:r w:rsidR="00F27649" w:rsidRPr="006534C4">
        <w:rPr>
          <w:rFonts w:ascii="Times New Roman" w:hAnsi="Times New Roman" w:cs="Times New Roman"/>
          <w:color w:val="000000" w:themeColor="text1"/>
          <w:sz w:val="24"/>
          <w:szCs w:val="24"/>
        </w:rPr>
        <w:t>purchased from Vital River Laboratory Animal Technology Co., Ltd</w:t>
      </w:r>
      <w:r w:rsidR="00F276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(Beijing, China)</w:t>
      </w:r>
      <w:r w:rsidR="00F276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A02D1">
        <w:rPr>
          <w:rFonts w:ascii="Times New Roman" w:eastAsia="宋体" w:hAnsi="Times New Roman" w:cs="Times New Roman"/>
          <w:sz w:val="24"/>
          <w:szCs w:val="24"/>
        </w:rPr>
        <w:t>Mice left ventricles were collected at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different embryonic and postnatal stages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 (embryonic day 14~16 (n=4), embryonic day 17~20 (n=5), </w:t>
      </w:r>
      <w:r w:rsidRPr="000A02D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postnatal day 1~3 (n=6), postnatal day 4~7 (n=5), postnatal month 1~2 (n=5), postnatal month 3~5 (n=7), postnatal month 6~9 (n=6)</w:t>
      </w:r>
      <w:r w:rsidRPr="000A02D1">
        <w:rPr>
          <w:rFonts w:ascii="Times New Roman" w:eastAsia="宋体" w:hAnsi="Times New Roman" w:cs="Times New Roman"/>
          <w:sz w:val="24"/>
          <w:szCs w:val="24"/>
        </w:rPr>
        <w:t xml:space="preserve">). 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LV in embryonic hearts were identified and collected by careful microdissection under stereomicroscope (Leica) using sharpened microdissection scissors.</w:t>
      </w:r>
      <w:r w:rsidR="00551C4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4C78C00" w14:textId="039E9370" w:rsidR="00551C48" w:rsidRDefault="00551C48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758AD8BF" w14:textId="77777777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A95770" w14:textId="79D019F2" w:rsidR="00DE0CD6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9. Experimental procedures</w:t>
      </w:r>
    </w:p>
    <w:p w14:paraId="5FED127F" w14:textId="408BABC7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</w:r>
      <w:r w:rsidR="009B1F16" w:rsidRPr="000A02D1">
        <w:rPr>
          <w:rFonts w:ascii="宋体" w:eastAsia="宋体" w:hAnsi="宋体" w:cs="宋体" w:hint="eastAsia"/>
          <w:color w:val="000000" w:themeColor="text1"/>
          <w:sz w:val="24"/>
          <w:szCs w:val="24"/>
        </w:rPr>
        <w:t>①</w:t>
      </w:r>
      <w:r w:rsidR="009B1F16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RNA isolation and cDNA synthesis</w:t>
      </w:r>
    </w:p>
    <w:p w14:paraId="24EB7E09" w14:textId="2E23D93F" w:rsidR="00CC6F14" w:rsidRPr="00551C48" w:rsidRDefault="00CC6F14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  <w:t xml:space="preserve">Each RNA isolation was performed from 30 mg of the frozen LV tissue.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MagNA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Lyser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Green Beads (Roche, Switzerland) containing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TRIzol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(Invitrogen, USA) and the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MagNA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lyser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instrument (Roche, Switzerland) were used for tissue homogenate. Then the standard instructions of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Trizol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manufacturer were carried out for total RNA extraction. The concentration and quality were evaluated by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NanoDrop2000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NanoDrop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Technology, USA). For each sample, First Strand cDNA was synthesized from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500ng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total RNA by using the Takara Reverse Transcription Kit (Takara, Japan). All samples within this experiment were processed simultaneously to avoid interexperimental variations.</w:t>
      </w:r>
      <w:r w:rsidR="00551C48" w:rsidRPr="00551C4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794EE852" w14:textId="41EA90DB" w:rsidR="00CC6F14" w:rsidRPr="000A02D1" w:rsidRDefault="009B1F16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</w:r>
      <w:r w:rsidRPr="000A02D1">
        <w:rPr>
          <w:rFonts w:ascii="宋体" w:eastAsia="宋体" w:hAnsi="宋体" w:cs="宋体" w:hint="eastAsia"/>
          <w:color w:val="000000" w:themeColor="text1"/>
          <w:sz w:val="24"/>
          <w:szCs w:val="24"/>
        </w:rPr>
        <w:t>②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Selection of candidate reference genes and Primer design </w:t>
      </w:r>
    </w:p>
    <w:p w14:paraId="633395D0" w14:textId="21F33736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  <w:t xml:space="preserve">In this study, the 21 housekeeping genes (Table 1), which were commonly used as reference genes in previous cardiac studies, were analyzed to provide a better reference guide for identification of molecular mechanisms underlying cardiac development and maturation. According to the published mouse sequences, the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NCBI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primer designing tool was used to generate the RT-qPCR primers sequences (Table 1).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D072880" w14:textId="444F9666" w:rsidR="00CC6F14" w:rsidRPr="000A02D1" w:rsidRDefault="009B1F16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</w:r>
      <w:r w:rsidRPr="000A02D1">
        <w:rPr>
          <w:rFonts w:ascii="宋体" w:eastAsia="宋体" w:hAnsi="宋体" w:cs="宋体" w:hint="eastAsia"/>
          <w:color w:val="000000" w:themeColor="text1"/>
          <w:sz w:val="24"/>
          <w:szCs w:val="24"/>
        </w:rPr>
        <w:t>③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RT-qPCR</w:t>
      </w:r>
    </w:p>
    <w:p w14:paraId="26A98B78" w14:textId="16714B4C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  <w:t xml:space="preserve">RT-qPCR was performed in 384 well plates using the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Viia7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Real Time PCR System (Applied Biosystems). Each 10 µl reaction mixture contained the 5 µl 2×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SYBR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Green Real-Time PCR Master Mix reaction mixture, 0.4 µL of each primer (10 µM),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2μl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cDNA (2.5 ng/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μl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and 2.2 µL double-distilled water. The thermal cycling program: 95℃ for 10 min, followed by 40 cycles of 15 s at 95℃ and 1 min at 60℃. Each sample was performed in three technical replicates and the resulting Ct values averaged.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515853AF" w14:textId="29258ECF" w:rsidR="00CC6F14" w:rsidRPr="000A02D1" w:rsidRDefault="009B1F16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</w:r>
      <w:r w:rsidRPr="000A02D1">
        <w:rPr>
          <w:rFonts w:ascii="宋体" w:eastAsia="宋体" w:hAnsi="宋体" w:cs="宋体" w:hint="eastAsia"/>
          <w:color w:val="000000" w:themeColor="text1"/>
          <w:sz w:val="24"/>
          <w:szCs w:val="24"/>
        </w:rPr>
        <w:t>④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CC6F14"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Evaluation of Expression Stability</w:t>
      </w:r>
    </w:p>
    <w:p w14:paraId="3F8059B7" w14:textId="3BB61C85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ab/>
        <w:t xml:space="preserve">The gene expression stability was evaluated by analyzing the raw Ct values in the four independent statistical applications: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GeNorm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Normfinder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BestKeeper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Delta-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 xml:space="preserve">Ct method. And we also performed a consensual analysis by </w:t>
      </w:r>
      <w:proofErr w:type="spellStart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RefFinder</w:t>
      </w:r>
      <w:proofErr w:type="spellEnd"/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to make a comprehensive variability score for each reference gene.</w:t>
      </w:r>
      <w:r w:rsidR="00551C4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51C4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551C48" w:rsidRPr="00551C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Methods, paragraph </w:t>
      </w:r>
      <w:r w:rsidR="00551C4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551C48">
        <w:rPr>
          <w:rFonts w:ascii="Times New Roman" w:eastAsia="宋体" w:hAnsi="Times New Roman" w:cs="Times New Roman"/>
          <w:sz w:val="24"/>
          <w:szCs w:val="24"/>
        </w:rPr>
        <w:t>)</w:t>
      </w:r>
    </w:p>
    <w:p w14:paraId="58209A47" w14:textId="75CB8C40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CD07A20" w14:textId="5E0F75D6" w:rsidR="00CC6F14" w:rsidRPr="000A02D1" w:rsidRDefault="00CC6F14" w:rsidP="009B1F1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A02D1">
        <w:rPr>
          <w:rFonts w:ascii="Times New Roman" w:eastAsia="宋体" w:hAnsi="Times New Roman" w:cs="Times New Roman"/>
          <w:b/>
          <w:bCs/>
          <w:sz w:val="24"/>
          <w:szCs w:val="24"/>
        </w:rPr>
        <w:t>10. Results</w:t>
      </w:r>
    </w:p>
    <w:p w14:paraId="122868D7" w14:textId="4B3CBDA7" w:rsidR="00CC6F14" w:rsidRPr="000A02D1" w:rsidRDefault="009B1F16" w:rsidP="009B1F1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We summarized these results of the overall gene stability in each dataset with different condition using the heatmap or dot plot graph to illustrate the most suitable 5 reference genes for calculating the gene expression (</w:t>
      </w:r>
      <w:r w:rsidRPr="000A02D1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3</w:t>
      </w:r>
      <w:r w:rsidRPr="000A02D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).</w:t>
      </w:r>
    </w:p>
    <w:sectPr w:rsidR="00CC6F14" w:rsidRPr="000A0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D505F" w14:textId="77777777" w:rsidR="00F507AD" w:rsidRDefault="00F507AD" w:rsidP="00DE0CD6">
      <w:r>
        <w:separator/>
      </w:r>
    </w:p>
  </w:endnote>
  <w:endnote w:type="continuationSeparator" w:id="0">
    <w:p w14:paraId="20F02BE3" w14:textId="77777777" w:rsidR="00F507AD" w:rsidRDefault="00F507AD" w:rsidP="00DE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5A9BB" w14:textId="77777777" w:rsidR="00F507AD" w:rsidRDefault="00F507AD" w:rsidP="00DE0CD6">
      <w:r>
        <w:separator/>
      </w:r>
    </w:p>
  </w:footnote>
  <w:footnote w:type="continuationSeparator" w:id="0">
    <w:p w14:paraId="581FD231" w14:textId="77777777" w:rsidR="00F507AD" w:rsidRDefault="00F507AD" w:rsidP="00DE0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3C"/>
    <w:rsid w:val="000A02D1"/>
    <w:rsid w:val="000E3246"/>
    <w:rsid w:val="001A140A"/>
    <w:rsid w:val="00271DDB"/>
    <w:rsid w:val="0047233C"/>
    <w:rsid w:val="00551C48"/>
    <w:rsid w:val="00657014"/>
    <w:rsid w:val="00796183"/>
    <w:rsid w:val="007F49CE"/>
    <w:rsid w:val="0086127E"/>
    <w:rsid w:val="00927344"/>
    <w:rsid w:val="009B1F16"/>
    <w:rsid w:val="00A00B11"/>
    <w:rsid w:val="00CC6F14"/>
    <w:rsid w:val="00DE0CD6"/>
    <w:rsid w:val="00E23DA6"/>
    <w:rsid w:val="00EA34B4"/>
    <w:rsid w:val="00F1101B"/>
    <w:rsid w:val="00F27649"/>
    <w:rsid w:val="00F507AD"/>
    <w:rsid w:val="00F6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186D5"/>
  <w15:chartTrackingRefBased/>
  <w15:docId w15:val="{4C1BA6E3-C7B1-4364-9D41-18759F2D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Jie</dc:creator>
  <cp:keywords/>
  <dc:description/>
  <cp:lastModifiedBy>Ren Jie</cp:lastModifiedBy>
  <cp:revision>5</cp:revision>
  <dcterms:created xsi:type="dcterms:W3CDTF">2021-02-24T01:20:00Z</dcterms:created>
  <dcterms:modified xsi:type="dcterms:W3CDTF">2021-02-24T07:33:00Z</dcterms:modified>
</cp:coreProperties>
</file>