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3EF53" w14:textId="77777777" w:rsidR="00057C29" w:rsidRDefault="00057C29" w:rsidP="00057C29">
      <w:r>
        <w:t>In order to qualitatively assess our orthologous gene clusters of human disease genes, we compared our clusters to well-studied human disease genes that are members of multi-gene families with known phylogenetic relationships. Specifically, we considered gene families whose evolutionary origins have been studied with extensive phylogenetic analyses, including gene family-specific phylogenetic trees that include an evolutionarily appropriate set of species and gene candidates. In practice, these are the types of in-depth, gene family-specific analyses that should be done on a human disease gene of interest prior to selecting a specific model organism. Thus, we present this analysis as a proof-of-concept in regard to the validity of our clusters and their improvement over one-directional BLAST searches, while demonstrating the contextual aspects that need to be further considered for individual disease genes.</w:t>
      </w:r>
    </w:p>
    <w:p w14:paraId="72E14779" w14:textId="77777777" w:rsidR="00057C29" w:rsidRDefault="00057C29" w:rsidP="00057C29"/>
    <w:p w14:paraId="477FE4C4" w14:textId="77777777" w:rsidR="00057C29" w:rsidRPr="00B26415" w:rsidRDefault="00057C29" w:rsidP="00057C29">
      <w:pPr>
        <w:rPr>
          <w:i/>
        </w:rPr>
      </w:pPr>
      <w:r>
        <w:rPr>
          <w:i/>
        </w:rPr>
        <w:t>Apolipoproteins</w:t>
      </w:r>
    </w:p>
    <w:p w14:paraId="10781E21" w14:textId="77777777" w:rsidR="00057C29" w:rsidRDefault="00057C29" w:rsidP="00057C29"/>
    <w:p w14:paraId="6B28932E" w14:textId="77777777" w:rsidR="00057C29" w:rsidRDefault="00057C29" w:rsidP="00057C29">
      <w:r>
        <w:t xml:space="preserve">Additional file 13, Panel </w:t>
      </w:r>
      <w:proofErr w:type="gramStart"/>
      <w:r>
        <w:t>A</w:t>
      </w:r>
      <w:proofErr w:type="gramEnd"/>
      <w:r>
        <w:t xml:space="preserve"> shows a set of apolipoprotein human disease genes and their corresponding orthologous gene clusters. The </w:t>
      </w:r>
      <w:r>
        <w:rPr>
          <w:i/>
        </w:rPr>
        <w:t>APOB</w:t>
      </w:r>
      <w:r>
        <w:t xml:space="preserve"> gene and the other </w:t>
      </w:r>
      <w:r>
        <w:rPr>
          <w:i/>
        </w:rPr>
        <w:t xml:space="preserve">APO </w:t>
      </w:r>
      <w:r>
        <w:t xml:space="preserve">genes are distinct from one another; </w:t>
      </w:r>
      <w:r>
        <w:rPr>
          <w:i/>
        </w:rPr>
        <w:t>APOB</w:t>
      </w:r>
      <w:r w:rsidRPr="008F397E">
        <w:t xml:space="preserve"> </w:t>
      </w:r>
      <w:r>
        <w:t xml:space="preserve">apolipoproteins form low-density lipoprotein whereas the others form high-density lipoprotein. Furthermore, </w:t>
      </w:r>
      <w:r>
        <w:rPr>
          <w:i/>
        </w:rPr>
        <w:t>APOB</w:t>
      </w:r>
      <w:r>
        <w:t xml:space="preserve"> has been shown to share a common ancestor with the </w:t>
      </w:r>
      <w:r>
        <w:rPr>
          <w:i/>
        </w:rPr>
        <w:t xml:space="preserve">Vtg </w:t>
      </w:r>
      <w:r>
        <w:t xml:space="preserve">gene, which appears to have arisen ~700 million years ago in the early Parahoxozoa </w:t>
      </w:r>
      <w:r>
        <w:fldChar w:fldCharType="begin"/>
      </w:r>
      <w:r>
        <w:instrText xml:space="preserve"> ADDIN PAPERS2_CITATIONS &lt;citation&gt;&lt;uuid&gt;B2F97ECA-44F1-48A8-84BD-E9F142B2EDD3&lt;/uuid&gt;&lt;priority&gt;54&lt;/priority&gt;&lt;publications&gt;&lt;publication&gt;&lt;uuid&gt;2F8FBF76-883E-4163-A407-F9129188E189&lt;/uuid&gt;&lt;volume&gt;584&lt;/volume&gt;&lt;accepted_date&gt;99201002191200000000222000&lt;/accepted_date&gt;&lt;doi&gt;10.1016/j.febslet.2010.02.056&lt;/doi&gt;&lt;startpage&gt;1273&lt;/startpage&gt;&lt;revision_date&gt;99201002161200000000222000&lt;/revision_date&gt;&lt;publication_date&gt;99201003191200000000222000&lt;/publication_date&gt;&lt;url&gt;http://eutils.ncbi.nlm.nih.gov/entrez/eutils/elink.fcgi?dbfrom=pubmed&amp;amp;id=20188099&amp;amp;retmode=ref&amp;amp;cmd=prlinks&lt;/url&gt;&lt;type&gt;400&lt;/type&gt;&lt;title&gt;Comparative genomic and phylogenetic analysis of vitellogenin and other large lipid transfer proteins in metazoans.&lt;/title&gt;&lt;location&gt;200,9,51.7590106,-1.2511766&lt;/location&gt;&lt;submission_date&gt;99200912171200000000222000&lt;/submission_date&gt;&lt;number&gt;6&lt;/number&gt;&lt;institution&gt;Department of Zoology, University of Oxford, Oxford, United Kingdom.&lt;/institution&gt;&lt;subtype&gt;400&lt;/subtype&gt;&lt;endpage&gt;1278&lt;/endpage&gt;&lt;bundle&gt;&lt;publication&gt;&lt;title&gt;FEBS letters&lt;/title&gt;&lt;type&gt;-100&lt;/type&gt;&lt;subtype&gt;-100&lt;/subtype&gt;&lt;uuid&gt;7D27449F-E75B-4175-A918-C9156AF90634&lt;/uuid&gt;&lt;/publication&gt;&lt;/bundle&gt;&lt;authors&gt;&lt;author&gt;&lt;firstName&gt;Alexander&lt;/firstName&gt;&lt;lastName&gt;Hayward&lt;/lastName&gt;&lt;/author&gt;&lt;author&gt;&lt;firstName&gt;Tokiharu&lt;/firstName&gt;&lt;lastName&gt;Takahashi&lt;/lastName&gt;&lt;/author&gt;&lt;author&gt;&lt;firstName&gt;William&lt;/firstName&gt;&lt;middleNames&gt;G&lt;/middleNames&gt;&lt;lastName&gt;Bendena&lt;/lastName&gt;&lt;/author&gt;&lt;author&gt;&lt;firstName&gt;Stephen&lt;/firstName&gt;&lt;middleNames&gt;S&lt;/middleNames&gt;&lt;lastName&gt;Tobe&lt;/lastName&gt;&lt;/author&gt;&lt;author&gt;&lt;firstName&gt;Jerome&lt;/firstName&gt;&lt;middleNames&gt;H L&lt;/middleNames&gt;&lt;lastName&gt;Hui&lt;/lastName&gt;&lt;/author&gt;&lt;/authors&gt;&lt;/publication&gt;&lt;publication&gt;&lt;uuid&gt;FB2C74E8-C847-49AF-A236-B8E216495ADB&lt;/uuid&gt;&lt;volume&gt;48&lt;/volume&gt;&lt;accepted_date&gt;99200811071200000000222000&lt;/accepted_date&gt;&lt;doi&gt;10.1016/j.plipres.2008.11.002&lt;/doi&gt;&lt;startpage&gt;73&lt;/startpage&gt;&lt;revision_date&gt;99200811061200000000222000&lt;/revision_date&gt;&lt;publication_date&gt;99200903001200000000220000&lt;/publication_date&gt;&lt;url&gt;http://eutils.ncbi.nlm.nih.gov/entrez/eutils/elink.fcgi?dbfrom=pubmed&amp;amp;id=19049814&amp;amp;retmode=ref&amp;amp;cmd=prlinks&lt;/url&gt;&lt;type&gt;400&lt;/type&gt;&lt;title&gt;The evolution of plasma cholesterol: direct utility or a "spandrel" of hepatic lipid metabolism?&lt;/title&gt;&lt;location&gt;200,4,44.8026140,-0.5880540&lt;/location&gt;&lt;submission_date&gt;99200810071200000000222000&lt;/submission_date&gt;&lt;number&gt;2&lt;/number&gt;&lt;institution&gt;Université Bordeaux 1, Génomique et Physiologie des Poissons, UMR NuAGe, 33405 Talence, France.&lt;/institution&gt;&lt;subtype&gt;400&lt;/subtype&gt;&lt;endpage&gt;91&lt;/endpage&gt;&lt;bundle&gt;&lt;publication&gt;&lt;title&gt;Progress in lipid research&lt;/title&gt;&lt;type&gt;-100&lt;/type&gt;&lt;subtype&gt;-100&lt;/subtype&gt;&lt;uuid&gt;179318B7-D2CA-4EDC-A4BA-5002E71BE42A&lt;/uuid&gt;&lt;/publication&gt;&lt;/bundle&gt;&lt;authors&gt;&lt;author&gt;&lt;firstName&gt;Patrick&lt;/firstName&gt;&lt;middleNames&gt;J&lt;/middleNames&gt;&lt;lastName&gt;Babin&lt;/lastName&gt;&lt;/author&gt;&lt;author&gt;&lt;firstName&gt;Geoffrey&lt;/firstName&gt;&lt;middleNames&gt;F&lt;/middleNames&gt;&lt;lastName&gt;Gibbons&lt;/lastName&gt;&lt;/author&gt;&lt;/authors&gt;&lt;/publication&gt;&lt;/publications&gt;&lt;cites&gt;&lt;/cites&gt;&lt;/citation&gt;</w:instrText>
      </w:r>
      <w:r>
        <w:fldChar w:fldCharType="separate"/>
      </w:r>
      <w:r w:rsidRPr="00E87B19">
        <w:rPr>
          <w:rFonts w:ascii="Cambria" w:hAnsi="Cambria" w:cs="Cambria"/>
        </w:rPr>
        <w:t>[52, 53]</w:t>
      </w:r>
      <w:r>
        <w:fldChar w:fldCharType="end"/>
      </w:r>
      <w:r>
        <w:t xml:space="preserve">, consistent with our Cluster A5. We note that Cluster A5 does not contain an ortholog in </w:t>
      </w:r>
      <w:r>
        <w:rPr>
          <w:i/>
        </w:rPr>
        <w:t>T. adhaerens</w:t>
      </w:r>
      <w:r>
        <w:t xml:space="preserve"> (but does contain a RBH to </w:t>
      </w:r>
      <w:r>
        <w:rPr>
          <w:i/>
        </w:rPr>
        <w:t>APOB</w:t>
      </w:r>
      <w:r>
        <w:t>), likely due to the difference in domain structures between the</w:t>
      </w:r>
      <w:r>
        <w:rPr>
          <w:i/>
        </w:rPr>
        <w:t xml:space="preserve"> Vtg</w:t>
      </w:r>
      <w:r>
        <w:t xml:space="preserve"> ortholog identified in </w:t>
      </w:r>
      <w:r>
        <w:rPr>
          <w:i/>
        </w:rPr>
        <w:t>T. adhaerens</w:t>
      </w:r>
      <w:r>
        <w:t xml:space="preserve"> and the rest of the gene family, including </w:t>
      </w:r>
      <w:r>
        <w:rPr>
          <w:i/>
        </w:rPr>
        <w:t xml:space="preserve">N. vectensis </w:t>
      </w:r>
      <w:r>
        <w:t>orthologs</w:t>
      </w:r>
      <w:r>
        <w:rPr>
          <w:i/>
        </w:rPr>
        <w:t xml:space="preserve"> </w:t>
      </w:r>
      <w:r>
        <w:rPr>
          <w:i/>
        </w:rPr>
        <w:fldChar w:fldCharType="begin"/>
      </w:r>
      <w:r>
        <w:rPr>
          <w:i/>
        </w:rPr>
        <w:instrText xml:space="preserve"> ADDIN PAPERS2_CITATIONS &lt;citation&gt;&lt;uuid&gt;9BC4F3E7-9FEB-445A-AE41-40CBB3ABF3B5&lt;/uuid&gt;&lt;priority&gt;55&lt;/priority&gt;&lt;publications&gt;&lt;publication&gt;&lt;uuid&gt;2F8FBF76-883E-4163-A407-F9129188E189&lt;/uuid&gt;&lt;volume&gt;584&lt;/volume&gt;&lt;accepted_date&gt;99201002191200000000222000&lt;/accepted_date&gt;&lt;doi&gt;10.1016/j.febslet.2010.02.056&lt;/doi&gt;&lt;startpage&gt;1273&lt;/startpage&gt;&lt;revision_date&gt;99201002161200000000222000&lt;/revision_date&gt;&lt;publication_date&gt;99201003191200000000222000&lt;/publication_date&gt;&lt;url&gt;http://eutils.ncbi.nlm.nih.gov/entrez/eutils/elink.fcgi?dbfrom=pubmed&amp;amp;id=20188099&amp;amp;retmode=ref&amp;amp;cmd=prlinks&lt;/url&gt;&lt;type&gt;400&lt;/type&gt;&lt;title&gt;Comparative genomic and phylogenetic analysis of vitellogenin and other large lipid transfer proteins in metazoans.&lt;/title&gt;&lt;location&gt;200,9,51.7590106,-1.2511766&lt;/location&gt;&lt;submission_date&gt;99200912171200000000222000&lt;/submission_date&gt;&lt;number&gt;6&lt;/number&gt;&lt;institution&gt;Department of Zoology, University of Oxford, Oxford, United Kingdom.&lt;/institution&gt;&lt;subtype&gt;400&lt;/subtype&gt;&lt;endpage&gt;1278&lt;/endpage&gt;&lt;bundle&gt;&lt;publication&gt;&lt;title&gt;FEBS letters&lt;/title&gt;&lt;type&gt;-100&lt;/type&gt;&lt;subtype&gt;-100&lt;/subtype&gt;&lt;uuid&gt;7D27449F-E75B-4175-A918-C9156AF90634&lt;/uuid&gt;&lt;/publication&gt;&lt;/bundle&gt;&lt;authors&gt;&lt;author&gt;&lt;firstName&gt;Alexander&lt;/firstName&gt;&lt;lastName&gt;Hayward&lt;/lastName&gt;&lt;/author&gt;&lt;author&gt;&lt;firstName&gt;Tokiharu&lt;/firstName&gt;&lt;lastName&gt;Takahashi&lt;/lastName&gt;&lt;/author&gt;&lt;author&gt;&lt;firstName&gt;William&lt;/firstName&gt;&lt;middleNames&gt;G&lt;/middleNames&gt;&lt;lastName&gt;Bendena&lt;/lastName&gt;&lt;/author&gt;&lt;author&gt;&lt;firstName&gt;Stephen&lt;/firstName&gt;&lt;middleNames&gt;S&lt;/middleNames&gt;&lt;lastName&gt;Tobe&lt;/lastName&gt;&lt;/author&gt;&lt;author&gt;&lt;firstName&gt;Jerome&lt;/firstName&gt;&lt;middleNames&gt;H L&lt;/middleNames&gt;&lt;lastName&gt;Hui&lt;/lastName&gt;&lt;/author&gt;&lt;/authors&gt;&lt;/publication&gt;&lt;/publications&gt;&lt;cites&gt;&lt;/cites&gt;&lt;/citation&gt;</w:instrText>
      </w:r>
      <w:r>
        <w:rPr>
          <w:i/>
        </w:rPr>
        <w:fldChar w:fldCharType="separate"/>
      </w:r>
      <w:r w:rsidRPr="00E87B19">
        <w:rPr>
          <w:rFonts w:ascii="Cambria" w:hAnsi="Cambria" w:cs="Cambria"/>
        </w:rPr>
        <w:t>[52]</w:t>
      </w:r>
      <w:r>
        <w:rPr>
          <w:i/>
        </w:rPr>
        <w:fldChar w:fldCharType="end"/>
      </w:r>
      <w:r w:rsidRPr="00EB75AC">
        <w:t>.</w:t>
      </w:r>
      <w:r>
        <w:rPr>
          <w:i/>
        </w:rPr>
        <w:t xml:space="preserve"> </w:t>
      </w:r>
      <w:r>
        <w:t xml:space="preserve">Thus Cluster A5 is consistent with the reported phylogenetic gene tree for </w:t>
      </w:r>
      <w:r>
        <w:rPr>
          <w:i/>
        </w:rPr>
        <w:t>APOB</w:t>
      </w:r>
      <w:r>
        <w:t xml:space="preserve"> and </w:t>
      </w:r>
      <w:r>
        <w:rPr>
          <w:i/>
        </w:rPr>
        <w:t>Vtg</w:t>
      </w:r>
      <w:r>
        <w:t xml:space="preserve"> </w:t>
      </w:r>
      <w:r>
        <w:fldChar w:fldCharType="begin"/>
      </w:r>
      <w:r>
        <w:instrText xml:space="preserve"> ADDIN PAPERS2_CITATIONS &lt;citation&gt;&lt;uuid&gt;704B4E62-D89F-42C5-94ED-2AFAB15DC7ED&lt;/uuid&gt;&lt;priority&gt;56&lt;/priority&gt;&lt;publications&gt;&lt;publication&gt;&lt;uuid&gt;2F8FBF76-883E-4163-A407-F9129188E189&lt;/uuid&gt;&lt;volume&gt;584&lt;/volume&gt;&lt;accepted_date&gt;99201002191200000000222000&lt;/accepted_date&gt;&lt;doi&gt;10.1016/j.febslet.2010.02.056&lt;/doi&gt;&lt;startpage&gt;1273&lt;/startpage&gt;&lt;revision_date&gt;99201002161200000000222000&lt;/revision_date&gt;&lt;publication_date&gt;99201003191200000000222000&lt;/publication_date&gt;&lt;url&gt;http://eutils.ncbi.nlm.nih.gov/entrez/eutils/elink.fcgi?dbfrom=pubmed&amp;amp;id=20188099&amp;amp;retmode=ref&amp;amp;cmd=prlinks&lt;/url&gt;&lt;type&gt;400&lt;/type&gt;&lt;title&gt;Comparative genomic and phylogenetic analysis of vitellogenin and other large lipid transfer proteins in metazoans.&lt;/title&gt;&lt;location&gt;200,9,51.7590106,-1.2511766&lt;/location&gt;&lt;submission_date&gt;99200912171200000000222000&lt;/submission_date&gt;&lt;number&gt;6&lt;/number&gt;&lt;institution&gt;Department of Zoology, University of Oxford, Oxford, United Kingdom.&lt;/institution&gt;&lt;subtype&gt;400&lt;/subtype&gt;&lt;endpage&gt;1278&lt;/endpage&gt;&lt;bundle&gt;&lt;publication&gt;&lt;title&gt;FEBS letters&lt;/title&gt;&lt;type&gt;-100&lt;/type&gt;&lt;subtype&gt;-100&lt;/subtype&gt;&lt;uuid&gt;7D27449F-E75B-4175-A918-C9156AF90634&lt;/uuid&gt;&lt;/publication&gt;&lt;/bundle&gt;&lt;authors&gt;&lt;author&gt;&lt;firstName&gt;Alexander&lt;/firstName&gt;&lt;lastName&gt;Hayward&lt;/lastName&gt;&lt;/author&gt;&lt;author&gt;&lt;firstName&gt;Tokiharu&lt;/firstName&gt;&lt;lastName&gt;Takahashi&lt;/lastName&gt;&lt;/author&gt;&lt;author&gt;&lt;firstName&gt;William&lt;/firstName&gt;&lt;middleNames&gt;G&lt;/middleNames&gt;&lt;lastName&gt;Bendena&lt;/lastName&gt;&lt;/author&gt;&lt;author&gt;&lt;firstName&gt;Stephen&lt;/firstName&gt;&lt;middleNames&gt;S&lt;/middleNames&gt;&lt;lastName&gt;Tobe&lt;/lastName&gt;&lt;/author&gt;&lt;author&gt;&lt;firstName&gt;Jerome&lt;/firstName&gt;&lt;middleNames&gt;H L&lt;/middleNames&gt;&lt;lastName&gt;Hui&lt;/lastName&gt;&lt;/author&gt;&lt;/authors&gt;&lt;/publication&gt;&lt;/publications&gt;&lt;cites&gt;&lt;/cites&gt;&lt;/citation&gt;</w:instrText>
      </w:r>
      <w:r>
        <w:fldChar w:fldCharType="separate"/>
      </w:r>
      <w:r w:rsidRPr="00E87B19">
        <w:rPr>
          <w:rFonts w:ascii="Cambria" w:hAnsi="Cambria" w:cs="Cambria"/>
        </w:rPr>
        <w:t>[52]</w:t>
      </w:r>
      <w:r>
        <w:fldChar w:fldCharType="end"/>
      </w:r>
      <w:r>
        <w:t xml:space="preserve"> by grouping the orthologs in </w:t>
      </w:r>
      <w:r>
        <w:rPr>
          <w:i/>
        </w:rPr>
        <w:t>N. vectensis</w:t>
      </w:r>
      <w:r>
        <w:t xml:space="preserve"> and </w:t>
      </w:r>
      <w:r>
        <w:rPr>
          <w:i/>
        </w:rPr>
        <w:t>D. melanogaster</w:t>
      </w:r>
      <w:r>
        <w:t xml:space="preserve"> with the human </w:t>
      </w:r>
      <w:r>
        <w:rPr>
          <w:i/>
        </w:rPr>
        <w:t>APOB</w:t>
      </w:r>
      <w:r>
        <w:t xml:space="preserve">, but excluding the genes that are more </w:t>
      </w:r>
      <w:r>
        <w:rPr>
          <w:i/>
        </w:rPr>
        <w:t>Vtg</w:t>
      </w:r>
      <w:r>
        <w:t xml:space="preserve">-like in </w:t>
      </w:r>
      <w:r>
        <w:rPr>
          <w:i/>
        </w:rPr>
        <w:t>T. adhaerens</w:t>
      </w:r>
      <w:r>
        <w:t xml:space="preserve"> and </w:t>
      </w:r>
      <w:r>
        <w:rPr>
          <w:i/>
        </w:rPr>
        <w:t>C. elegans</w:t>
      </w:r>
      <w:r>
        <w:t>.</w:t>
      </w:r>
    </w:p>
    <w:p w14:paraId="0EA33896" w14:textId="77777777" w:rsidR="00057C29" w:rsidRDefault="00057C29" w:rsidP="00057C29"/>
    <w:p w14:paraId="26BE831F" w14:textId="77777777" w:rsidR="00057C29" w:rsidRPr="009870BC" w:rsidRDefault="00057C29" w:rsidP="00057C29">
      <w:r>
        <w:t xml:space="preserve">However, the other apolipoprotein genes arose from an unrelated evolutionary event, likely pre-dating tetrapods and teleosts in the earliest vertebrates </w:t>
      </w:r>
      <w:r>
        <w:fldChar w:fldCharType="begin"/>
      </w:r>
      <w:r>
        <w:instrText xml:space="preserve"> ADDIN PAPERS2_CITATIONS &lt;citation&gt;&lt;uuid&gt;EA91A3BB-BD6C-4ED3-A531-4CA821C19D3F&lt;/uuid&gt;&lt;priority&gt;57&lt;/priority&gt;&lt;publications&gt;&lt;publication&gt;&lt;uuid&gt;204AAE29-8C55-47DA-BA32-EBFC03CB7263&lt;/uuid&gt;&lt;volume&gt;94&lt;/volume&gt;&lt;startpage&gt;8622&lt;/startpage&gt;&lt;publication_date&gt;99199708051200000000222000&lt;/publication_date&gt;&lt;url&gt;http://eutils.ncbi.nlm.nih.gov/entrez/eutils/elink.fcgi?dbfrom=pubmed&amp;amp;id=9238027&amp;amp;retmode=ref&amp;amp;cmd=prlinks&lt;/url&gt;&lt;type&gt;400&lt;/type&gt;&lt;title&gt;Both apolipoprotein E and A-I genes are present in a nonmammalian vertebrate and are highly expressed during embryonic development.&lt;/title&gt;&lt;location&gt;602,0,0,0&lt;/location&gt;&lt;institution&gt;Unité de Recherche Associée 2227 du Centre National de la Recherche Scientifique, Université Paris-Sud, Bât. 447, 91405 Orsay Cedex, France. Patrick.Babin@ibaic.u-psud.fr&lt;/institution&gt;&lt;number&gt;16&lt;/number&gt;&lt;subtype&gt;400&lt;/subtype&gt;&lt;endpage&gt;8627&lt;/endpage&gt;&lt;bundle&gt;&lt;publication&gt;&lt;url&gt;http://www.pnas.org/&lt;/url&gt;&lt;title&gt;Proceedings of the National Academy of Sciences&lt;/title&gt;&lt;type&gt;-100&lt;/type&gt;&lt;subtype&gt;-100&lt;/subtype&gt;&lt;uuid&gt;783E13B1-03F3-464F-B3F7-D525E960AD4D&lt;/uuid&gt;&lt;/publication&gt;&lt;/bundle&gt;&lt;authors&gt;&lt;author&gt;&lt;firstName&gt;P&lt;/firstName&gt;&lt;middleNames&gt;J&lt;/middleNames&gt;&lt;lastName&gt;Babin&lt;/lastName&gt;&lt;/author&gt;&lt;author&gt;&lt;firstName&gt;C&lt;/firstName&gt;&lt;lastName&gt;Thisse&lt;/lastName&gt;&lt;/author&gt;&lt;author&gt;&lt;firstName&gt;M&lt;/firstName&gt;&lt;lastName&gt;Durliat&lt;/lastName&gt;&lt;/author&gt;&lt;author&gt;&lt;firstName&gt;M&lt;/firstName&gt;&lt;lastName&gt;Andre&lt;/lastName&gt;&lt;/author&gt;&lt;author&gt;&lt;firstName&gt;M&lt;/firstName&gt;&lt;middleNames&gt;A&lt;/middleNames&gt;&lt;lastName&gt;Akimenko&lt;/lastName&gt;&lt;/author&gt;&lt;author&gt;&lt;firstName&gt;B&lt;/firstName&gt;&lt;lastName&gt;Thisse&lt;/lastName&gt;&lt;/author&gt;&lt;/authors&gt;&lt;/publication&gt;&lt;publication&gt;&lt;uuid&gt;FB2C74E8-C847-49AF-A236-B8E216495ADB&lt;/uuid&gt;&lt;volume&gt;48&lt;/volume&gt;&lt;accepted_date&gt;99200811071200000000222000&lt;/accepted_date&gt;&lt;doi&gt;10.1016/j.plipres.2008.11.002&lt;/doi&gt;&lt;startpage&gt;73&lt;/startpage&gt;&lt;revision_date&gt;99200811061200000000222000&lt;/revision_date&gt;&lt;publication_date&gt;99200903001200000000220000&lt;/publication_date&gt;&lt;url&gt;http://eutils.ncbi.nlm.nih.gov/entrez/eutils/elink.fcgi?dbfrom=pubmed&amp;amp;id=19049814&amp;amp;retmode=ref&amp;amp;cmd=prlinks&lt;/url&gt;&lt;type&gt;400&lt;/type&gt;&lt;title&gt;The evolution of plasma cholesterol: direct utility or a "spandrel" of hepatic lipid metabolism?&lt;/title&gt;&lt;location&gt;200,4,44.8026140,-0.5880540&lt;/location&gt;&lt;submission_date&gt;99200810071200000000222000&lt;/submission_date&gt;&lt;number&gt;2&lt;/number&gt;&lt;institution&gt;Université Bordeaux 1, Génomique et Physiologie des Poissons, UMR NuAGe, 33405 Talence, France.&lt;/institution&gt;&lt;subtype&gt;400&lt;/subtype&gt;&lt;endpage&gt;91&lt;/endpage&gt;&lt;bundle&gt;&lt;publication&gt;&lt;title&gt;Progress in lipid research&lt;/title&gt;&lt;type&gt;-100&lt;/type&gt;&lt;subtype&gt;-100&lt;/subtype&gt;&lt;uuid&gt;179318B7-D2CA-4EDC-A4BA-5002E71BE42A&lt;/uuid&gt;&lt;/publication&gt;&lt;/bundle&gt;&lt;authors&gt;&lt;author&gt;&lt;firstName&gt;Patrick&lt;/firstName&gt;&lt;middleNames&gt;J&lt;/middleNames&gt;&lt;lastName&gt;Babin&lt;/lastName&gt;&lt;/author&gt;&lt;author&gt;&lt;firstName&gt;Geoffrey&lt;/firstName&gt;&lt;middleNames&gt;F&lt;/middleNames&gt;&lt;lastName&gt;Gibbons&lt;/lastName&gt;&lt;/author&gt;&lt;/authors&gt;&lt;/publication&gt;&lt;/publications&gt;&lt;cites&gt;&lt;/cites&gt;&lt;/citation&gt;</w:instrText>
      </w:r>
      <w:r>
        <w:fldChar w:fldCharType="separate"/>
      </w:r>
      <w:r w:rsidRPr="00E87B19">
        <w:rPr>
          <w:rFonts w:ascii="Cambria" w:hAnsi="Cambria" w:cs="Cambria"/>
        </w:rPr>
        <w:t>[53, 54]</w:t>
      </w:r>
      <w:r>
        <w:fldChar w:fldCharType="end"/>
      </w:r>
      <w:r>
        <w:t xml:space="preserve">. This appears to have represented the ancestral form of the human </w:t>
      </w:r>
      <w:r w:rsidRPr="007307A3">
        <w:rPr>
          <w:i/>
        </w:rPr>
        <w:t>APOA</w:t>
      </w:r>
      <w:r>
        <w:t xml:space="preserve">, </w:t>
      </w:r>
      <w:r>
        <w:rPr>
          <w:i/>
        </w:rPr>
        <w:t>APOC</w:t>
      </w:r>
      <w:r>
        <w:t xml:space="preserve">, and </w:t>
      </w:r>
      <w:r w:rsidRPr="007307A3">
        <w:rPr>
          <w:i/>
        </w:rPr>
        <w:t>APOE</w:t>
      </w:r>
      <w:r>
        <w:t xml:space="preserve"> genes (and possibly others). However, subsequent local or full gene duplications have diversified the gene family, with the </w:t>
      </w:r>
      <w:r>
        <w:rPr>
          <w:i/>
        </w:rPr>
        <w:t>APOE</w:t>
      </w:r>
      <w:r>
        <w:t xml:space="preserve">, </w:t>
      </w:r>
      <w:r>
        <w:rPr>
          <w:i/>
        </w:rPr>
        <w:t>APOA1</w:t>
      </w:r>
      <w:r w:rsidRPr="009870BC">
        <w:t xml:space="preserve">, </w:t>
      </w:r>
      <w:r>
        <w:t xml:space="preserve">and </w:t>
      </w:r>
      <w:r>
        <w:rPr>
          <w:i/>
        </w:rPr>
        <w:t>APOA5</w:t>
      </w:r>
      <w:r>
        <w:t xml:space="preserve"> human disease genes (and the non-disease gene </w:t>
      </w:r>
      <w:r>
        <w:rPr>
          <w:i/>
        </w:rPr>
        <w:t>APOA4</w:t>
      </w:r>
      <w:r>
        <w:t xml:space="preserve">; data not shown) all having at least six more duplications of 11 or 22 codons than the </w:t>
      </w:r>
      <w:r>
        <w:rPr>
          <w:i/>
        </w:rPr>
        <w:t>APOA2</w:t>
      </w:r>
      <w:r>
        <w:t xml:space="preserve"> and </w:t>
      </w:r>
      <w:r>
        <w:rPr>
          <w:i/>
        </w:rPr>
        <w:t xml:space="preserve">APOC </w:t>
      </w:r>
      <w:r>
        <w:t xml:space="preserve">genes </w:t>
      </w:r>
      <w:r>
        <w:fldChar w:fldCharType="begin"/>
      </w:r>
      <w:r>
        <w:instrText xml:space="preserve"> ADDIN PAPERS2_CITATIONS &lt;citation&gt;&lt;uuid&gt;9362912C-F58D-4B0F-93F5-24E7AF16BE8D&lt;/uuid&gt;&lt;priority&gt;58&lt;/priority&gt;&lt;publications&gt;&lt;publication&gt;&lt;volume&gt;29&lt;/volume&gt;&lt;publication_date&gt;99198800001200000000200000&lt;/publication_date&gt;&lt;number&gt;3&lt;/number&gt;&lt;startpage&gt;245&lt;/startpage&gt;&lt;title&gt;The apolipoprotein multigene family: biosynthesis, structure, structure-function relationships, and evolution.&lt;/title&gt;&lt;uuid&gt;DA05CE45-9BDB-441B-9AE3-F0E741C3B2B9&lt;/uuid&gt;&lt;subtype&gt;400&lt;/subtype&gt;&lt;publisher&gt;ASBMB&lt;/publisher&gt;&lt;type&gt;400&lt;/type&gt;&lt;endpage&gt;271&lt;/endpage&gt;&lt;url&gt;http://www.jlr.org/content/29/3/245.short&lt;/url&gt;&lt;bundle&gt;&lt;publication&gt;&lt;title&gt;Journal of lipid Research&lt;/title&gt;&lt;type&gt;-100&lt;/type&gt;&lt;subtype&gt;-100&lt;/subtype&gt;&lt;uuid&gt;3C24A6CA-FD3B-4712-A5D6-AC9614AFE4CB&lt;/uuid&gt;&lt;/publication&gt;&lt;/bundle&gt;&lt;authors&gt;&lt;author&gt;&lt;firstName&gt;Wen-Hsiung&lt;/firstName&gt;&lt;lastName&gt;Li&lt;/lastName&gt;&lt;/author&gt;&lt;author&gt;&lt;firstName&gt;Masako&lt;/firstName&gt;&lt;lastName&gt;Tanimura&lt;/lastName&gt;&lt;/author&gt;&lt;author&gt;&lt;firstName&gt;Ch-Ch&lt;/firstName&gt;&lt;lastName&gt;Luo&lt;/lastName&gt;&lt;/author&gt;&lt;author&gt;&lt;firstName&gt;Santanu&lt;/firstName&gt;&lt;lastName&gt;Datta&lt;/lastName&gt;&lt;/author&gt;&lt;author&gt;&lt;firstName&gt;L&lt;/firstName&gt;&lt;lastName&gt;Chan&lt;/lastName&gt;&lt;/author&gt;&lt;/authors&gt;&lt;/publication&gt;&lt;publication&gt;&lt;volume&gt;261&lt;/volume&gt;&lt;publication_date&gt;99198605151200000000222000&lt;/publication_date&gt;&lt;number&gt;14&lt;/number&gt;&lt;startpage&gt;6398&lt;/startpage&gt;&lt;title&gt;Evolution of the apolipoproteins. Structure of the rat apo-A-IV gene and its relationship to the human genes for apo-A-I, C-III, and E.&lt;/title&gt;&lt;uuid&gt;4B111139-5B88-4E5B-B2EB-9DE81856C09A&lt;/uuid&gt;&lt;subtype&gt;400&lt;/subtype&gt;&lt;endpage&gt;6407&lt;/endpage&gt;&lt;type&gt;400&lt;/type&gt;&lt;url&gt;http://eutils.ncbi.nlm.nih.gov/entrez/eutils/elink.fcgi?dbfrom=pubmed&amp;amp;id=3009456&amp;amp;retmode=ref&amp;amp;cmd=prlinks&lt;/url&gt;&lt;bundle&gt;&lt;publication&gt;&lt;url&gt;http://www.jbc.org&lt;/url&gt;&lt;title&gt;Journal of Biological Chemistry&lt;/title&gt;&lt;type&gt;-100&lt;/type&gt;&lt;subtype&gt;-100&lt;/subtype&gt;&lt;uuid&gt;AB0BDF98-0606-4E67-BF0E-8E14281BA6CC&lt;/uuid&gt;&lt;/publication&gt;&lt;/bundle&gt;&lt;authors&gt;&lt;author&gt;&lt;firstName&gt;M&lt;/firstName&gt;&lt;middleNames&gt;S&lt;/middleNames&gt;&lt;lastName&gt;Boguski&lt;/lastName&gt;&lt;/author&gt;&lt;author&gt;&lt;firstName&gt;E&lt;/firstName&gt;&lt;middleNames&gt;H&lt;/middleNames&gt;&lt;lastName&gt;Birkenmeier&lt;/lastName&gt;&lt;/author&gt;&lt;author&gt;&lt;firstName&gt;N&lt;/firstName&gt;&lt;middleNames&gt;A&lt;/middleNames&gt;&lt;lastName&gt;Elshourbagy&lt;/lastName&gt;&lt;/author&gt;&lt;author&gt;&lt;firstName&gt;J&lt;/firstName&gt;&lt;middleNames&gt;M&lt;/middleNames&gt;&lt;lastName&gt;Taylor&lt;/lastName&gt;&lt;/author&gt;&lt;author&gt;&lt;firstName&gt;J&lt;/firstName&gt;&lt;middleNames&gt;I&lt;/middleNames&gt;&lt;lastName&gt;Gordon&lt;/lastName&gt;&lt;/author&gt;&lt;/authors&gt;&lt;/publication&gt;&lt;/publications&gt;&lt;cites&gt;&lt;/cites&gt;&lt;/citation&gt;</w:instrText>
      </w:r>
      <w:r>
        <w:fldChar w:fldCharType="separate"/>
      </w:r>
      <w:r w:rsidRPr="00E87B19">
        <w:rPr>
          <w:rFonts w:ascii="Cambria" w:hAnsi="Cambria" w:cs="Cambria"/>
        </w:rPr>
        <w:t>[55, 56]</w:t>
      </w:r>
      <w:r>
        <w:fldChar w:fldCharType="end"/>
      </w:r>
      <w:r>
        <w:t>. This evolutionary history corresponds logically with our Clusters A1-A4.</w:t>
      </w:r>
    </w:p>
    <w:p w14:paraId="75B911AD" w14:textId="77777777" w:rsidR="00057C29" w:rsidRDefault="00057C29" w:rsidP="00057C29"/>
    <w:p w14:paraId="57E81CBF" w14:textId="77777777" w:rsidR="00057C29" w:rsidRDefault="00057C29" w:rsidP="00057C29">
      <w:r>
        <w:rPr>
          <w:i/>
        </w:rPr>
        <w:t>Caspases</w:t>
      </w:r>
    </w:p>
    <w:p w14:paraId="7EA3B1CF" w14:textId="77777777" w:rsidR="00057C29" w:rsidRDefault="00057C29" w:rsidP="00057C29"/>
    <w:p w14:paraId="68E95E03" w14:textId="77777777" w:rsidR="00057C29" w:rsidRDefault="00057C29" w:rsidP="00057C29">
      <w:pPr>
        <w:widowControl w:val="0"/>
        <w:autoSpaceDE w:val="0"/>
        <w:autoSpaceDN w:val="0"/>
        <w:adjustRightInd w:val="0"/>
        <w:spacing w:after="240"/>
      </w:pPr>
      <w:r>
        <w:t xml:space="preserve">Caspase (cysteinyl aspartate proteinase) enzymes have multiple roles in metazoan programmed cell death (apoptosis) and inflammation, which are central to many human diseases. Specifically, </w:t>
      </w:r>
      <w:r>
        <w:rPr>
          <w:i/>
        </w:rPr>
        <w:t>CASP8</w:t>
      </w:r>
      <w:r w:rsidRPr="005C3A9C">
        <w:t>,</w:t>
      </w:r>
      <w:r>
        <w:rPr>
          <w:i/>
        </w:rPr>
        <w:t xml:space="preserve"> CASP10 </w:t>
      </w:r>
      <w:r w:rsidRPr="005C3A9C">
        <w:t>and</w:t>
      </w:r>
      <w:r>
        <w:rPr>
          <w:i/>
        </w:rPr>
        <w:t xml:space="preserve"> CASP12 </w:t>
      </w:r>
      <w:r>
        <w:t xml:space="preserve">were amongst our OMIM set of human disease genes, and we show their corresponding clusters in Additional file 13, Panel B. These three caspases group in two clusters; </w:t>
      </w:r>
      <w:r>
        <w:rPr>
          <w:i/>
        </w:rPr>
        <w:t>CASP12</w:t>
      </w:r>
      <w:r>
        <w:t xml:space="preserve"> forms Cluster B1 with five other human non-disease genes (including </w:t>
      </w:r>
      <w:r w:rsidRPr="00196F63">
        <w:rPr>
          <w:i/>
        </w:rPr>
        <w:t>CASP1</w:t>
      </w:r>
      <w:r>
        <w:t xml:space="preserve">, </w:t>
      </w:r>
      <w:r w:rsidRPr="00196F63">
        <w:rPr>
          <w:i/>
        </w:rPr>
        <w:t>CASP4</w:t>
      </w:r>
      <w:r>
        <w:t xml:space="preserve">, </w:t>
      </w:r>
      <w:r w:rsidRPr="00196F63">
        <w:rPr>
          <w:i/>
        </w:rPr>
        <w:t>CASP5</w:t>
      </w:r>
      <w:r>
        <w:t xml:space="preserve">, </w:t>
      </w:r>
      <w:r w:rsidRPr="00196F63">
        <w:rPr>
          <w:i/>
        </w:rPr>
        <w:lastRenderedPageBreak/>
        <w:t>CARD16</w:t>
      </w:r>
      <w:r>
        <w:t xml:space="preserve"> and </w:t>
      </w:r>
      <w:r w:rsidRPr="00196F63">
        <w:rPr>
          <w:i/>
        </w:rPr>
        <w:t>CARD17</w:t>
      </w:r>
      <w:r>
        <w:t xml:space="preserve">; data not shown), while </w:t>
      </w:r>
      <w:r>
        <w:rPr>
          <w:i/>
        </w:rPr>
        <w:t>CASP8</w:t>
      </w:r>
      <w:r>
        <w:t xml:space="preserve"> and </w:t>
      </w:r>
      <w:r>
        <w:rPr>
          <w:i/>
        </w:rPr>
        <w:t>CASP10</w:t>
      </w:r>
      <w:r>
        <w:t xml:space="preserve"> form Cluster B2. These relationships are consistent with previous phylogenetic analyses of caspases, where </w:t>
      </w:r>
      <w:r>
        <w:rPr>
          <w:i/>
        </w:rPr>
        <w:t xml:space="preserve">CASP8 </w:t>
      </w:r>
      <w:r w:rsidRPr="00222C0C">
        <w:t>and</w:t>
      </w:r>
      <w:r>
        <w:rPr>
          <w:i/>
        </w:rPr>
        <w:t xml:space="preserve"> CASP10</w:t>
      </w:r>
      <w:r>
        <w:t xml:space="preserve"> form their own subfamily of initiator caspases with a death effector domain (DED) in place of the caspase recruitment domain (CARD) </w:t>
      </w:r>
      <w:r>
        <w:fldChar w:fldCharType="begin"/>
      </w:r>
      <w:r>
        <w:instrText xml:space="preserve"> ADDIN PAPERS2_CITATIONS &lt;citation&gt;&lt;uuid&gt;A8C8055F-4621-4DC1-99D3-9C144EEDFEB6&lt;/uuid&gt;&lt;priority&gt;59&lt;/priority&gt;&lt;publications&gt;&lt;publication&gt;&lt;uuid&gt;32B105F0-A145-4FD1-9C4E-4278B4A5057B&lt;/uuid&gt;&lt;volume&gt;63&lt;/volume&gt;&lt;accepted_date&gt;99200602121200000000222000&lt;/accepted_date&gt;&lt;doi&gt;10.1007/s00239-005-0236-7&lt;/doi&gt;&lt;startpage&gt;95&lt;/startpage&gt;&lt;publication_date&gt;99200607001200000000220000&lt;/publication_date&gt;&lt;url&gt;http://eutils.ncbi.nlm.nih.gov/entrez/eutils/elink.fcgi?dbfrom=pubmed&amp;amp;id=16770683&amp;amp;retmode=ref&amp;amp;cmd=prlinks&lt;/url&gt;&lt;type&gt;400&lt;/type&gt;&lt;title&gt;Highly conserved caspase and Bcl-2 homologues from the sea anemone Aiptasia pallida: lower metazoans as models for the study of apoptosis evolution.&lt;/title&gt;&lt;location&gt;200,9,44.5628484,-123.2789936&lt;/location&gt;&lt;submission_date&gt;99200510041200000000222000&lt;/submission_date&gt;&lt;number&gt;1&lt;/number&gt;&lt;institution&gt;Department of Zoology, Oregon State University, Corvallis, OR 97331, USA. dunns@science.oregonstate.edu&lt;/institution&gt;&lt;subtype&gt;400&lt;/subtype&gt;&lt;endpage&gt;107&lt;/endpage&gt;&lt;bundle&gt;&lt;publication&gt;&lt;title&gt;Journal of molecular evolution&lt;/title&gt;&lt;type&gt;-100&lt;/type&gt;&lt;subtype&gt;-100&lt;/subtype&gt;&lt;uuid&gt;C94D284D-152E-4B15-B47A-3B7B30131D96&lt;/uuid&gt;&lt;/publication&gt;&lt;/bundle&gt;&lt;authors&gt;&lt;author&gt;&lt;firstName&gt;Simon&lt;/firstName&gt;&lt;middleNames&gt;R&lt;/middleNames&gt;&lt;lastName&gt;Dunn&lt;/lastName&gt;&lt;/author&gt;&lt;author&gt;&lt;firstName&gt;Wendy&lt;/firstName&gt;&lt;middleNames&gt;S&lt;/middleNames&gt;&lt;lastName&gt;Phillips&lt;/lastName&gt;&lt;/author&gt;&lt;author&gt;&lt;firstName&gt;Joseph&lt;/firstName&gt;&lt;middleNames&gt;W&lt;/middleNames&gt;&lt;lastName&gt;Spatafora&lt;/lastName&gt;&lt;/author&gt;&lt;author&gt;&lt;firstName&gt;Douglas&lt;/firstName&gt;&lt;middleNames&gt;R&lt;/middleNames&gt;&lt;lastName&gt;Green&lt;/lastName&gt;&lt;/author&gt;&lt;author&gt;&lt;firstName&gt;Virginia&lt;/firstName&gt;&lt;middleNames&gt;M&lt;/middleNames&gt;&lt;lastName&gt;Weis&lt;/lastName&gt;&lt;/author&gt;&lt;/authors&gt;&lt;/publication&gt;&lt;publication&gt;&lt;volume&gt;9&lt;/volume&gt;&lt;publication_date&gt;99200204001200000000220000&lt;/publication_date&gt;&lt;number&gt;4&lt;/number&gt;&lt;doi&gt;10.1038/sj/cdd/4400989&lt;/doi&gt;&lt;startpage&gt;358&lt;/startpage&gt;&lt;title&gt;Alice in caspase land. A phylogenetic analysis of caspases from worm to man&lt;/title&gt;&lt;uuid&gt;E3761F2F-40EB-460F-BBDC-1442C106E3EB&lt;/uuid&gt;&lt;subtype&gt;400&lt;/subtype&gt;&lt;endpage&gt;361&lt;/endpage&gt;&lt;type&gt;400&lt;/type&gt;&lt;url&gt;http://www.nature.com/cdd/journal/v9/n4/abs/4400989a.html&lt;/url&gt;&lt;bundle&gt;&lt;publication&gt;&lt;title&gt;Cell Death and Differentiation&lt;/title&gt;&lt;type&gt;-100&lt;/type&gt;&lt;subtype&gt;-100&lt;/subtype&gt;&lt;uuid&gt;AE281E9E-6E3A-4DFB-A9B8-3D79659AC9D9&lt;/uuid&gt;&lt;/publication&gt;&lt;/bundle&gt;&lt;authors&gt;&lt;author&gt;&lt;firstName&gt;M&lt;/firstName&gt;&lt;lastName&gt;Lamkanfi&lt;/lastName&gt;&lt;/author&gt;&lt;/authors&gt;&lt;/publication&gt;&lt;publication&gt;&lt;volume&gt;9&lt;/volume&gt;&lt;publication_date&gt;99200803001200000000220000&lt;/publication_date&gt;&lt;number&gt;3&lt;/number&gt;&lt;doi&gt;10.1038/nrm2312&lt;/doi&gt;&lt;startpage&gt;231&lt;/startpage&gt;&lt;title&gt;Apoptosis: controlled demolition at the cellular level&lt;/title&gt;&lt;uuid&gt;1E425808-B87F-41DD-9228-62B5B573E500&lt;/uuid&gt;&lt;subtype&gt;400&lt;/subtype&gt;&lt;endpage&gt;241&lt;/endpage&gt;&lt;type&gt;400&lt;/type&gt;&lt;url&gt;http://www.nature.com/doifinder/10.1038/nrm2312&lt;/url&gt;&lt;bundle&gt;&lt;publication&gt;&lt;title&gt;Nature reviews. Molecular cell biology&lt;/title&gt;&lt;type&gt;-100&lt;/type&gt;&lt;subtype&gt;-100&lt;/subtype&gt;&lt;uuid&gt;24C12126-B311-4407-BF8C-E2F96477FC52&lt;/uuid&gt;&lt;/publication&gt;&lt;/bundle&gt;&lt;authors&gt;&lt;author&gt;&lt;firstName&gt;Rebecca&lt;/firstName&gt;&lt;middleNames&gt;C&lt;/middleNames&gt;&lt;lastName&gt;Taylor&lt;/lastName&gt;&lt;/author&gt;&lt;author&gt;&lt;firstName&gt;Sean&lt;/firstName&gt;&lt;middleNames&gt;P&lt;/middleNames&gt;&lt;lastName&gt;Cullen&lt;/lastName&gt;&lt;/author&gt;&lt;author&gt;&lt;firstName&gt;Seamus&lt;/firstName&gt;&lt;middleNames&gt;J&lt;/middleNames&gt;&lt;lastName&gt;Martin&lt;/lastName&gt;&lt;/author&gt;&lt;/authors&gt;&lt;/publication&gt;&lt;/publications&gt;&lt;cites&gt;&lt;/cites&gt;&lt;/citation&gt;</w:instrText>
      </w:r>
      <w:r>
        <w:fldChar w:fldCharType="separate"/>
      </w:r>
      <w:r w:rsidRPr="00E87B19">
        <w:rPr>
          <w:rFonts w:ascii="Cambria" w:hAnsi="Cambria" w:cs="Cambria"/>
        </w:rPr>
        <w:t>[57-59]</w:t>
      </w:r>
      <w:r>
        <w:fldChar w:fldCharType="end"/>
      </w:r>
      <w:r>
        <w:t xml:space="preserve">; an ortholog to this subfamily has previously been identified in the sponge </w:t>
      </w:r>
      <w:r>
        <w:rPr>
          <w:i/>
        </w:rPr>
        <w:t>A. queenslandica</w:t>
      </w:r>
      <w:r w:rsidRPr="00675CDC">
        <w:t>, but not outside of the Metazoa</w:t>
      </w:r>
      <w:r>
        <w:t xml:space="preserve"> </w:t>
      </w:r>
      <w:r>
        <w:fldChar w:fldCharType="begin"/>
      </w:r>
      <w:r>
        <w:instrText xml:space="preserve"> ADDIN PAPERS2_CITATIONS &lt;citation&gt;&lt;uuid&gt;F16220ED-4D4C-4ACF-9FAE-AF713560D8A3&lt;/uuid&gt;&lt;priority&gt;60&lt;/priority&gt;&lt;publications&gt;&lt;publication&gt;&lt;uuid&gt;80169F2E-4E13-4FE3-AF62-54835892670E&lt;/uuid&gt;&lt;volume&gt;466&lt;/volume&gt;&lt;doi&gt;10.1038/nature09201&lt;/doi&gt;&lt;startpage&gt;720&lt;/startpage&gt;&lt;publication_date&gt;99201005081200000000222000&lt;/publication_date&gt;&lt;url&gt;http://dx.doi.org/10.1038/nature09201&lt;/url&gt;&lt;type&gt;400&lt;/type&gt;&lt;title&gt;The Amphimedon queenslandica genome and the evolution of animal complexity&lt;/title&gt;&lt;publisher&gt;Nature Publishing Group&lt;/publisher&gt;&lt;number&gt;7307&lt;/number&gt;&lt;subtype&gt;400&lt;/subtype&gt;&lt;endpage&gt;726&lt;/endpage&gt;&lt;bundle&gt;&lt;publication&gt;&lt;publisher&gt;Nature Publishing Group&lt;/publisher&gt;&lt;title&gt;Nature&lt;/title&gt;&lt;type&gt;-100&lt;/type&gt;&lt;subtype&gt;-100&lt;/subtype&gt;&lt;uuid&gt;7467A493-E080-469D-9F33-3EEA39E10BAF&lt;/uuid&gt;&lt;/publication&gt;&lt;/bundle&gt;&lt;authors&gt;&lt;author&gt;&lt;firstName&gt;Mansi&lt;/firstName&gt;&lt;lastName&gt;Srivastava&lt;/lastName&gt;&lt;/author&gt;&lt;author&gt;&lt;firstName&gt;Oleg&lt;/firstName&gt;&lt;lastName&gt;Simakov&lt;/lastName&gt;&lt;/author&gt;&lt;author&gt;&lt;firstName&gt;Jarrod&lt;/firstName&gt;&lt;lastName&gt;Chapman&lt;/lastName&gt;&lt;/author&gt;&lt;author&gt;&lt;firstName&gt;Bryony&lt;/firstName&gt;&lt;lastName&gt;Fahey&lt;/lastName&gt;&lt;/author&gt;&lt;author&gt;&lt;firstName&gt;Marie&lt;/firstName&gt;&lt;middleNames&gt;E A&lt;/middleNames&gt;&lt;lastName&gt;Gauthier&lt;/lastName&gt;&lt;/author&gt;&lt;author&gt;&lt;firstName&gt;Therese&lt;/firstName&gt;&lt;lastName&gt;Mitros&lt;/lastName&gt;&lt;/author&gt;&lt;author&gt;&lt;firstName&gt;Gemma&lt;/firstName&gt;&lt;middleNames&gt;S&lt;/middleNames&gt;&lt;lastName&gt;Richards&lt;/lastName&gt;&lt;/author&gt;&lt;author&gt;&lt;firstName&gt;Cecilia&lt;/firstName&gt;&lt;lastName&gt;Conaco&lt;/lastName&gt;&lt;/author&gt;&lt;author&gt;&lt;firstName&gt;Michael&lt;/firstName&gt;&lt;lastName&gt;Dacre&lt;/lastName&gt;&lt;/author&gt;&lt;author&gt;&lt;firstName&gt;Uffe&lt;/firstName&gt;&lt;lastName&gt;Hellsten&lt;/lastName&gt;&lt;/author&gt;&lt;author&gt;&lt;firstName&gt;Claire&lt;/firstName&gt;&lt;lastName&gt;Larroux&lt;/lastName&gt;&lt;/author&gt;&lt;author&gt;&lt;firstName&gt;Nicholas&lt;/firstName&gt;&lt;middleNames&gt;H&lt;/middleNames&gt;&lt;lastName&gt;Putnam&lt;/lastName&gt;&lt;/author&gt;&lt;author&gt;&lt;firstName&gt;Mario&lt;/firstName&gt;&lt;lastName&gt;Stanke&lt;/lastName&gt;&lt;/author&gt;&lt;author&gt;&lt;firstName&gt;Maja&lt;/firstName&gt;&lt;lastName&gt;Adamska&lt;/lastName&gt;&lt;/author&gt;&lt;author&gt;&lt;firstName&gt;Aaron&lt;/firstName&gt;&lt;lastName&gt;Darling&lt;/lastName&gt;&lt;/author&gt;&lt;author&gt;&lt;firstName&gt;Sandie&lt;/firstName&gt;&lt;middleNames&gt;M&lt;/middleNames&gt;&lt;lastName&gt;Degnan&lt;/lastName&gt;&lt;/author&gt;&lt;author&gt;&lt;firstName&gt;Todd&lt;/firstName&gt;&lt;middleNames&gt;H&lt;/middleNames&gt;&lt;lastName&gt;Oakley&lt;/lastName&gt;&lt;/author&gt;&lt;author&gt;&lt;firstName&gt;David&lt;/firstName&gt;&lt;middleNames&gt;C&lt;/middleNames&gt;&lt;lastName&gt;Plachetzki&lt;/lastName&gt;&lt;/author&gt;&lt;author&gt;&lt;firstName&gt;Yufeng&lt;/firstName&gt;&lt;lastName&gt;Zhai&lt;/lastName&gt;&lt;/author&gt;&lt;author&gt;&lt;firstName&gt;Marcin&lt;/firstName&gt;&lt;lastName&gt;Adamski&lt;/lastName&gt;&lt;/author&gt;&lt;author&gt;&lt;firstName&gt;Andrew&lt;/firstName&gt;&lt;lastName&gt;Calcino&lt;/lastName&gt;&lt;/author&gt;&lt;author&gt;&lt;firstName&gt;Scott&lt;/firstName&gt;&lt;middleNames&gt;F&lt;/middleNames&gt;&lt;lastName&gt;Cummins&lt;/lastName&gt;&lt;/author&gt;&lt;author&gt;&lt;firstName&gt;David&lt;/firstName&gt;&lt;middleNames&gt;M&lt;/middleNames&gt;&lt;lastName&gt;Goodstein&lt;/lastName&gt;&lt;/author&gt;&lt;author&gt;&lt;firstName&gt;Christina&lt;/firstName&gt;&lt;lastName&gt;Harris&lt;/lastName&gt;&lt;/author&gt;&lt;author&gt;&lt;firstName&gt;Daniel&lt;/firstName&gt;&lt;middleNames&gt;J&lt;/middleNames&gt;&lt;lastName&gt;Jackson&lt;/lastName&gt;&lt;/author&gt;&lt;author&gt;&lt;firstName&gt;Sally&lt;/firstName&gt;&lt;middleNames&gt;P&lt;/middleNames&gt;&lt;lastName&gt;Leys&lt;/lastName&gt;&lt;/author&gt;&lt;author&gt;&lt;firstName&gt;Shengqiang&lt;/firstName&gt;&lt;lastName&gt;Shu&lt;/lastName&gt;&lt;/author&gt;&lt;author&gt;&lt;nonDroppingParticle&gt;Ben&lt;/nonDroppingParticle&gt;&lt;lastName&gt;J Woodcroft&lt;/lastName&gt;&lt;/author&gt;&lt;author&gt;&lt;firstName&gt;Michel&lt;/firstName&gt;&lt;lastName&gt;Vervoort&lt;/lastName&gt;&lt;/author&gt;&lt;author&gt;&lt;firstName&gt;Kenneth&lt;/firstName&gt;&lt;middleNames&gt;S&lt;/middleNames&gt;&lt;lastName&gt;Kosik&lt;/lastName&gt;&lt;/author&gt;&lt;author&gt;&lt;firstName&gt;Gerard&lt;/firstName&gt;&lt;lastName&gt;Manning&lt;/lastName&gt;&lt;/author&gt;&lt;author&gt;&lt;firstName&gt;Bernard&lt;/firstName&gt;&lt;middleNames&gt;M&lt;/middleNames&gt;&lt;lastName&gt;Degnan&lt;/lastName&gt;&lt;/author&gt;&lt;author&gt;&lt;firstName&gt;Daniel&lt;/firstName&gt;&lt;middleNames&gt;S&lt;/middleNames&gt;&lt;lastName&gt;Rokhsar&lt;/lastName&gt;&lt;/author&gt;&lt;/authors&gt;&lt;/publication&gt;&lt;/publications&gt;&lt;cites&gt;&lt;/cites&gt;&lt;/citation&gt;</w:instrText>
      </w:r>
      <w:r>
        <w:fldChar w:fldCharType="separate"/>
      </w:r>
      <w:r w:rsidRPr="00E87B19">
        <w:rPr>
          <w:rFonts w:ascii="Cambria" w:hAnsi="Cambria" w:cs="Cambria"/>
        </w:rPr>
        <w:t>[28]</w:t>
      </w:r>
      <w:r>
        <w:fldChar w:fldCharType="end"/>
      </w:r>
      <w:r>
        <w:t xml:space="preserve">. Furthermore, the absence of an ortholog (but presence of an RBH) in </w:t>
      </w:r>
      <w:r>
        <w:rPr>
          <w:i/>
        </w:rPr>
        <w:t>D. melanogaster</w:t>
      </w:r>
      <w:r>
        <w:t xml:space="preserve"> and </w:t>
      </w:r>
      <w:r>
        <w:rPr>
          <w:i/>
        </w:rPr>
        <w:t>C. elegans</w:t>
      </w:r>
      <w:r>
        <w:t xml:space="preserve"> is expected, as those species have similar, but lineage-specific caspases (e.g. DREDD, DECAY, DRICE, and DRONC) </w:t>
      </w:r>
      <w:r>
        <w:fldChar w:fldCharType="begin"/>
      </w:r>
      <w:r>
        <w:instrText xml:space="preserve"> ADDIN PAPERS2_CITATIONS &lt;citation&gt;&lt;uuid&gt;675BCD4E-F0E0-4D48-AEF8-C1DD217A9EC2&lt;/uuid&gt;&lt;priority&gt;61&lt;/priority&gt;&lt;publications&gt;&lt;publication&gt;&lt;volume&gt;9&lt;/volume&gt;&lt;publication_date&gt;99200204001200000000220000&lt;/publication_date&gt;&lt;number&gt;4&lt;/number&gt;&lt;doi&gt;10.1038/sj/cdd/4400989&lt;/doi&gt;&lt;startpage&gt;358&lt;/startpage&gt;&lt;title&gt;Alice in caspase land. A phylogenetic analysis of caspases from worm to man&lt;/title&gt;&lt;uuid&gt;E3761F2F-40EB-460F-BBDC-1442C106E3EB&lt;/uuid&gt;&lt;subtype&gt;400&lt;/subtype&gt;&lt;endpage&gt;361&lt;/endpage&gt;&lt;type&gt;400&lt;/type&gt;&lt;url&gt;http://www.nature.com/cdd/journal/v9/n4/abs/4400989a.html&lt;/url&gt;&lt;bundle&gt;&lt;publication&gt;&lt;title&gt;Cell Death and Differentiation&lt;/title&gt;&lt;type&gt;-100&lt;/type&gt;&lt;subtype&gt;-100&lt;/subtype&gt;&lt;uuid&gt;AE281E9E-6E3A-4DFB-A9B8-3D79659AC9D9&lt;/uuid&gt;&lt;/publication&gt;&lt;/bundle&gt;&lt;authors&gt;&lt;author&gt;&lt;firstName&gt;M&lt;/firstName&gt;&lt;lastName&gt;Lamkanfi&lt;/lastName&gt;&lt;/author&gt;&lt;/authors&gt;&lt;/publication&gt;&lt;publication&gt;&lt;uuid&gt;32B105F0-A145-4FD1-9C4E-4278B4A5057B&lt;/uuid&gt;&lt;volume&gt;63&lt;/volume&gt;&lt;accepted_date&gt;99200602121200000000222000&lt;/accepted_date&gt;&lt;doi&gt;10.1007/s00239-005-0236-7&lt;/doi&gt;&lt;startpage&gt;95&lt;/startpage&gt;&lt;publication_date&gt;99200607001200000000220000&lt;/publication_date&gt;&lt;url&gt;http://eutils.ncbi.nlm.nih.gov/entrez/eutils/elink.fcgi?dbfrom=pubmed&amp;amp;id=16770683&amp;amp;retmode=ref&amp;amp;cmd=prlinks&lt;/url&gt;&lt;type&gt;400&lt;/type&gt;&lt;title&gt;Highly conserved caspase and Bcl-2 homologues from the sea anemone Aiptasia pallida: lower metazoans as models for the study of apoptosis evolution.&lt;/title&gt;&lt;location&gt;200,9,44.5628484,-123.2789936&lt;/location&gt;&lt;submission_date&gt;99200510041200000000222000&lt;/submission_date&gt;&lt;number&gt;1&lt;/number&gt;&lt;institution&gt;Department of Zoology, Oregon State University, Corvallis, OR 97331, USA. dunns@science.oregonstate.edu&lt;/institution&gt;&lt;subtype&gt;400&lt;/subtype&gt;&lt;endpage&gt;107&lt;/endpage&gt;&lt;bundle&gt;&lt;publication&gt;&lt;title&gt;Journal of molecular evolution&lt;/title&gt;&lt;type&gt;-100&lt;/type&gt;&lt;subtype&gt;-100&lt;/subtype&gt;&lt;uuid&gt;C94D284D-152E-4B15-B47A-3B7B30131D96&lt;/uuid&gt;&lt;/publication&gt;&lt;/bundle&gt;&lt;authors&gt;&lt;author&gt;&lt;firstName&gt;Simon&lt;/firstName&gt;&lt;middleNames&gt;R&lt;/middleNames&gt;&lt;lastName&gt;Dunn&lt;/lastName&gt;&lt;/author&gt;&lt;author&gt;&lt;firstName&gt;Wendy&lt;/firstName&gt;&lt;middleNames&gt;S&lt;/middleNames&gt;&lt;lastName&gt;Phillips&lt;/lastName&gt;&lt;/author&gt;&lt;author&gt;&lt;firstName&gt;Joseph&lt;/firstName&gt;&lt;middleNames&gt;W&lt;/middleNames&gt;&lt;lastName&gt;Spatafora&lt;/lastName&gt;&lt;/author&gt;&lt;author&gt;&lt;firstName&gt;Douglas&lt;/firstName&gt;&lt;middleNames&gt;R&lt;/middleNames&gt;&lt;lastName&gt;Green&lt;/lastName&gt;&lt;/author&gt;&lt;author&gt;&lt;firstName&gt;Virginia&lt;/firstName&gt;&lt;middleNames&gt;M&lt;/middleNames&gt;&lt;lastName&gt;Weis&lt;/lastName&gt;&lt;/author&gt;&lt;/authors&gt;&lt;/publication&gt;&lt;/publications&gt;&lt;cites&gt;&lt;/cites&gt;&lt;/citation&gt;</w:instrText>
      </w:r>
      <w:r>
        <w:fldChar w:fldCharType="separate"/>
      </w:r>
      <w:r w:rsidRPr="00E87B19">
        <w:rPr>
          <w:rFonts w:ascii="Cambria" w:hAnsi="Cambria" w:cs="Cambria"/>
        </w:rPr>
        <w:t>[57, 58]</w:t>
      </w:r>
      <w:r>
        <w:fldChar w:fldCharType="end"/>
      </w:r>
      <w:r>
        <w:t xml:space="preserve">. </w:t>
      </w:r>
      <w:r>
        <w:rPr>
          <w:i/>
        </w:rPr>
        <w:t>CASP12</w:t>
      </w:r>
      <w:r>
        <w:t xml:space="preserve">, on the other hand, is an inflammatory caspase more closely related to </w:t>
      </w:r>
      <w:r>
        <w:rPr>
          <w:i/>
        </w:rPr>
        <w:t>CASP1</w:t>
      </w:r>
      <w:r w:rsidRPr="006138A7">
        <w:t>,</w:t>
      </w:r>
      <w:r>
        <w:rPr>
          <w:i/>
        </w:rPr>
        <w:t xml:space="preserve"> CASP4</w:t>
      </w:r>
      <w:r w:rsidRPr="006138A7">
        <w:t>,</w:t>
      </w:r>
      <w:r>
        <w:rPr>
          <w:i/>
        </w:rPr>
        <w:t xml:space="preserve"> CASP5</w:t>
      </w:r>
      <w:r w:rsidRPr="005E6739">
        <w:t>,</w:t>
      </w:r>
      <w:r>
        <w:t xml:space="preserve"> and</w:t>
      </w:r>
      <w:r>
        <w:rPr>
          <w:i/>
        </w:rPr>
        <w:t xml:space="preserve"> CASP11 </w:t>
      </w:r>
      <w:r>
        <w:t xml:space="preserve">than to </w:t>
      </w:r>
      <w:r>
        <w:rPr>
          <w:i/>
        </w:rPr>
        <w:t xml:space="preserve">CASP8 </w:t>
      </w:r>
      <w:r w:rsidRPr="006138A7">
        <w:t>and</w:t>
      </w:r>
      <w:r>
        <w:rPr>
          <w:i/>
        </w:rPr>
        <w:t xml:space="preserve"> CASP10 </w:t>
      </w:r>
      <w:r>
        <w:rPr>
          <w:i/>
        </w:rPr>
        <w:fldChar w:fldCharType="begin"/>
      </w:r>
      <w:r>
        <w:rPr>
          <w:i/>
        </w:rPr>
        <w:instrText xml:space="preserve"> ADDIN PAPERS2_CITATIONS &lt;citation&gt;&lt;uuid&gt;5A0E98D7-39B9-4FDF-8D88-14ACB205D5BE&lt;/uuid&gt;&lt;priority&gt;62&lt;/priority&gt;&lt;publications&gt;&lt;publication&gt;&lt;volume&gt;9&lt;/volume&gt;&lt;publication_date&gt;99200803001200000000220000&lt;/publication_date&gt;&lt;number&gt;3&lt;/number&gt;&lt;doi&gt;10.1038/nrm2312&lt;/doi&gt;&lt;startpage&gt;231&lt;/startpage&gt;&lt;title&gt;Apoptosis: controlled demolition at the cellular level&lt;/title&gt;&lt;uuid&gt;1E425808-B87F-41DD-9228-62B5B573E500&lt;/uuid&gt;&lt;subtype&gt;400&lt;/subtype&gt;&lt;endpage&gt;241&lt;/endpage&gt;&lt;type&gt;400&lt;/type&gt;&lt;url&gt;http://www.nature.com/doifinder/10.1038/nrm2312&lt;/url&gt;&lt;bundle&gt;&lt;publication&gt;&lt;title&gt;Nature reviews. Molecular cell biology&lt;/title&gt;&lt;type&gt;-100&lt;/type&gt;&lt;subtype&gt;-100&lt;/subtype&gt;&lt;uuid&gt;24C12126-B311-4407-BF8C-E2F96477FC52&lt;/uuid&gt;&lt;/publication&gt;&lt;/bundle&gt;&lt;authors&gt;&lt;author&gt;&lt;firstName&gt;Rebecca&lt;/firstName&gt;&lt;middleNames&gt;C&lt;/middleNames&gt;&lt;lastName&gt;Taylor&lt;/lastName&gt;&lt;/author&gt;&lt;author&gt;&lt;firstName&gt;Sean&lt;/firstName&gt;&lt;middleNames&gt;P&lt;/middleNames&gt;&lt;lastName&gt;Cullen&lt;/lastName&gt;&lt;/author&gt;&lt;author&gt;&lt;firstName&gt;Seamus&lt;/firstName&gt;&lt;middleNames&gt;J&lt;/middleNames&gt;&lt;lastName&gt;Martin&lt;/lastName&gt;&lt;/author&gt;&lt;/authors&gt;&lt;/publication&gt;&lt;publication&gt;&lt;volume&gt;11&lt;/volume&gt;&lt;publication_date&gt;99200312121200000000222000&lt;/publication_date&gt;&lt;number&gt;4&lt;/number&gt;&lt;doi&gt;10.1038/sj.cdd.4401364&lt;/doi&gt;&lt;startpage&gt;365&lt;/startpage&gt;&lt;title&gt;Caspase-12: an overview&lt;/title&gt;&lt;uuid&gt;EC48E8EA-8341-47CA-8DE4-3474DB9A75E2&lt;/uuid&gt;&lt;subtype&gt;400&lt;/subtype&gt;&lt;endpage&gt;368&lt;/endpage&gt;&lt;type&gt;400&lt;/type&gt;&lt;url&gt;http://www.nature.com/doifinder/10.1038/sj.cdd.4401364&lt;/url&gt;&lt;bundle&gt;&lt;publication&gt;&lt;title&gt;Cell Death and Differentiation&lt;/title&gt;&lt;type&gt;-100&lt;/type&gt;&lt;subtype&gt;-100&lt;/subtype&gt;&lt;uuid&gt;AE281E9E-6E3A-4DFB-A9B8-3D79659AC9D9&lt;/uuid&gt;&lt;/publication&gt;&lt;/bundle&gt;&lt;authors&gt;&lt;author&gt;&lt;firstName&gt;M&lt;/firstName&gt;&lt;lastName&gt;Lamkanfi&lt;/lastName&gt;&lt;/author&gt;&lt;author&gt;&lt;firstName&gt;M&lt;/firstName&gt;&lt;lastName&gt;Kalai&lt;/lastName&gt;&lt;/author&gt;&lt;author&gt;&lt;firstName&gt;P&lt;/firstName&gt;&lt;lastName&gt;Vandenabeele&lt;/lastName&gt;&lt;/author&gt;&lt;/authors&gt;&lt;/publication&gt;&lt;/publications&gt;&lt;cites&gt;&lt;/cites&gt;&lt;/citation&gt;</w:instrText>
      </w:r>
      <w:r>
        <w:rPr>
          <w:i/>
        </w:rPr>
        <w:fldChar w:fldCharType="separate"/>
      </w:r>
      <w:r w:rsidRPr="00E87B19">
        <w:rPr>
          <w:rFonts w:ascii="Cambria" w:hAnsi="Cambria" w:cs="Cambria"/>
        </w:rPr>
        <w:t>[59, 60]</w:t>
      </w:r>
      <w:r>
        <w:rPr>
          <w:i/>
        </w:rPr>
        <w:fldChar w:fldCharType="end"/>
      </w:r>
      <w:r w:rsidRPr="006138A7">
        <w:t>.</w:t>
      </w:r>
    </w:p>
    <w:p w14:paraId="5BC89731" w14:textId="77777777" w:rsidR="00057C29" w:rsidRPr="00D413A9" w:rsidRDefault="00057C29" w:rsidP="00057C29">
      <w:pPr>
        <w:widowControl w:val="0"/>
        <w:autoSpaceDE w:val="0"/>
        <w:autoSpaceDN w:val="0"/>
        <w:adjustRightInd w:val="0"/>
        <w:spacing w:after="240"/>
        <w:rPr>
          <w:i/>
        </w:rPr>
      </w:pPr>
      <w:r w:rsidRPr="00D413A9">
        <w:rPr>
          <w:i/>
        </w:rPr>
        <w:t>TGF-</w:t>
      </w:r>
      <w:r w:rsidRPr="00D413A9">
        <w:rPr>
          <w:rFonts w:cs="Lucida Grande"/>
          <w:i/>
          <w:color w:val="000000"/>
        </w:rPr>
        <w:t>β pathway</w:t>
      </w:r>
      <w:r>
        <w:rPr>
          <w:rFonts w:cs="Lucida Grande"/>
          <w:i/>
          <w:color w:val="000000"/>
        </w:rPr>
        <w:t xml:space="preserve"> components</w:t>
      </w:r>
    </w:p>
    <w:p w14:paraId="395D278A" w14:textId="77777777" w:rsidR="00057C29" w:rsidRDefault="00057C29" w:rsidP="00057C29">
      <w:pPr>
        <w:rPr>
          <w:rFonts w:cs="Lucida Grande"/>
          <w:color w:val="000000"/>
        </w:rPr>
      </w:pPr>
      <w:r>
        <w:t xml:space="preserve">Transforming growth factor </w:t>
      </w:r>
      <w:r w:rsidRPr="002814F2">
        <w:rPr>
          <w:rFonts w:cs="Lucida Grande"/>
          <w:color w:val="000000"/>
        </w:rPr>
        <w:t>β</w:t>
      </w:r>
      <w:r>
        <w:t xml:space="preserve"> (TGF-</w:t>
      </w:r>
      <w:r w:rsidRPr="002814F2">
        <w:rPr>
          <w:rFonts w:cs="Lucida Grande"/>
          <w:color w:val="000000"/>
        </w:rPr>
        <w:t>β</w:t>
      </w:r>
      <w:r>
        <w:rPr>
          <w:rFonts w:cs="Lucida Grande"/>
          <w:color w:val="000000"/>
        </w:rPr>
        <w:t xml:space="preserve">) signaling is an important developmental pathway found only in metazoans </w:t>
      </w:r>
      <w:r>
        <w:rPr>
          <w:rFonts w:cs="Lucida Grande"/>
          <w:color w:val="000000"/>
        </w:rPr>
        <w:fldChar w:fldCharType="begin"/>
      </w:r>
      <w:r>
        <w:rPr>
          <w:rFonts w:cs="Lucida Grande"/>
          <w:color w:val="000000"/>
        </w:rPr>
        <w:instrText xml:space="preserve"> ADDIN PAPERS2_CITATIONS &lt;citation&gt;&lt;uuid&gt;6245A5A2-2839-4108-850B-5990845557B1&lt;/uuid&gt;&lt;priority&gt;63&lt;/priority&gt;&lt;publications&gt;&lt;publication&gt;&lt;uuid&gt;4445D9B9-5B56-4C8C-A240-FB2C56B67B4D&lt;/uuid&gt;&lt;volume&gt;74&lt;/volume&gt;&lt;doi&gt;10.1101/sqb.2009.74.028&lt;/doi&gt;&lt;startpage&gt;81&lt;/startpage&gt;&lt;publication_date&gt;99200900001200000000200000&lt;/publication_date&gt;&lt;url&gt;http://eutils.ncbi.nlm.nih.gov/entrez/eutils/elink.fcgi?dbfrom=pubmed&amp;amp;id=19903747&amp;amp;retmode=ref&amp;amp;cmd=prlinks&lt;/url&gt;&lt;type&gt;400&lt;/type&gt;&lt;title&gt;The dawn of developmental signaling in the metazoa.&lt;/title&gt;&lt;location&gt;200,5,-27.4979958,153.0121364&lt;/location&gt;&lt;institution&gt;School of Biological Sciences, University of Queensland, Brisbane, Australia 4072.&lt;/institution&gt;&lt;subtype&gt;400&lt;/subtype&gt;&lt;endpage&gt;90&lt;/endpage&gt;&lt;bundle&gt;&lt;publication&gt;&lt;title&gt;Cold Spring Harbor symposia on quantitative biology&lt;/title&gt;&lt;type&gt;-100&lt;/type&gt;&lt;subtype&gt;-100&lt;/subtype&gt;&lt;uuid&gt;85992487-5ED9-47FA-A47C-F0A7DD6E547B&lt;/uuid&gt;&lt;/publication&gt;&lt;/bundle&gt;&lt;authors&gt;&lt;author&gt;&lt;firstName&gt;G&lt;/firstName&gt;&lt;middleNames&gt;S&lt;/middleNames&gt;&lt;lastName&gt;Richards&lt;/lastName&gt;&lt;/author&gt;&lt;author&gt;&lt;firstName&gt;B&lt;/firstName&gt;&lt;middleNames&gt;M&lt;/middleNames&gt;&lt;lastName&gt;Degnan&lt;/lastName&gt;&lt;/author&gt;&lt;/authors&gt;&lt;/publication&gt;&lt;publication&gt;&lt;volume&gt;6&lt;/volume&gt;&lt;publication_date&gt;99201100001200000000200000&lt;/publication_date&gt;&lt;number&gt;9&lt;/number&gt;&lt;</w:instrText>
      </w:r>
      <w:r>
        <w:rPr>
          <w:rFonts w:cs="Lucida Grande" w:hint="eastAsia"/>
          <w:color w:val="000000"/>
        </w:rPr>
        <w:instrText>doi&gt;10.1371/journal.pone.0024152.t002&lt;/doi&gt;&lt;startpage&gt;e24152&lt;/startpage&gt;&lt;title&gt;Evolution of the TGF-</w:instrText>
      </w:r>
      <w:r>
        <w:rPr>
          <w:rFonts w:cs="Lucida Grande" w:hint="eastAsia"/>
          <w:color w:val="000000"/>
        </w:rPr>
        <w:instrText>β</w:instrText>
      </w:r>
      <w:r>
        <w:rPr>
          <w:rFonts w:cs="Lucida Grande" w:hint="eastAsia"/>
          <w:color w:val="000000"/>
        </w:rPr>
        <w:instrText xml:space="preserve"> Signaling Pathway and Its Potential Role in the Ctenophore, Mnemiopsis leidyi&lt;/title&gt;&lt;uuid&gt;4C58045C-EE99-4F2A-9F09-D9BB0D246F00&lt;/uuid&gt;&lt;subtype&gt;400&lt;/subty</w:instrText>
      </w:r>
      <w:r>
        <w:rPr>
          <w:rFonts w:cs="Lucida Grande"/>
          <w:color w:val="000000"/>
        </w:rPr>
        <w:instrText>pe&gt;&lt;publisher&gt;Public Library of Science&lt;/publisher&gt;&lt;type&gt;400&lt;/type&gt;&lt;url&gt;http://dx.plos.org/10.1371/journal.pone.0024152&lt;/url&gt;&lt;bundle&gt;&lt;publication&gt;&lt;url&gt;http://www.plosone.org/&lt;/url&gt;&lt;title&gt;PLoS One&lt;/title&gt;&lt;type&gt;-100&lt;/type&gt;&lt;subtype&gt;-100&lt;/subtype&gt;&lt;uuid&gt;77078747-A905-49C1-AF77-29BE7FBE63FA&lt;/uuid&gt;&lt;/publication&gt;&lt;/bundle&gt;&lt;authors&gt;&lt;author&gt;&lt;firstName&gt;K.&lt;/firstName&gt;&lt;lastName&gt;Pang&lt;/lastName&gt;&lt;/author&gt;&lt;author&gt;&lt;firstName&gt;J.F.&lt;/firstName&gt;&lt;lastName&gt;Ryan&lt;/lastName&gt;&lt;/author&gt;&lt;author&gt;&lt;firstName&gt;A.D.&lt;/firstName&gt;&lt;lastName&gt;Baxevanis&lt;/lastName&gt;&lt;/author&gt;&lt;author&gt;&lt;firstName&gt;M&lt;/firstName&gt;&lt;middleNames&gt;Q&lt;/middleNames&gt;&lt;lastName&gt;Martindale&lt;/lastName&gt;&lt;/author&gt;&lt;/authors&gt;&lt;/publication&gt;&lt;publication&gt;&lt;uuid&gt;5A7E5967-813A-4349-94E1-EDC4612EDBB9&lt;/uuid&gt;&lt;volume&gt;38&lt;/volume&gt;&lt;accepted_date&gt;99201208271200000000222000&lt;/accepted_date&gt;&lt;doi&gt;10.1016/j.dci.2012.08.008&lt;/doi&gt;&lt;startpage&gt;525&lt;/startpage&gt;&lt;revision_date&gt;99201207281200000000222000&lt;/revision_date&gt;&lt;publication_date&gt;99201212001200000000220000&lt;/publication_date&gt;&lt;url&gt;http://eutils.ncbi.nlm.nih.gov/entrez</w:instrText>
      </w:r>
      <w:r>
        <w:rPr>
          <w:rFonts w:cs="Lucida Grande" w:hint="eastAsia"/>
          <w:color w:val="000000"/>
        </w:rPr>
        <w:instrText>/eutils/elink.fcgi?dbfrom=pubmed&amp;amp;id=23010490&amp;amp;retmode=ref&amp;amp;cmd=prlinks&lt;/url&gt;&lt;type&gt;400&lt;/type&gt;&lt;title&gt;Regulation of cnidarian-dinoflagellate mutualisms: Evidence that activation of a host TGF</w:instrText>
      </w:r>
      <w:r>
        <w:rPr>
          <w:rFonts w:cs="Lucida Grande" w:hint="eastAsia"/>
          <w:color w:val="000000"/>
        </w:rPr>
        <w:instrText>β</w:instrText>
      </w:r>
      <w:r>
        <w:rPr>
          <w:rFonts w:cs="Lucida Grande" w:hint="eastAsia"/>
          <w:color w:val="000000"/>
        </w:rPr>
        <w:instrText xml:space="preserve"> innate immune pathway promotes tolerance of the symbion</w:instrText>
      </w:r>
      <w:r>
        <w:rPr>
          <w:rFonts w:cs="Lucida Grande"/>
          <w:color w:val="000000"/>
        </w:rPr>
        <w:instrText>t.&lt;/title&gt;&lt;location&gt;200,9,44.5628538,-123.2789766&lt;/location&gt;&lt;submission_date&gt;99201206041200000000222000&lt;/submission_date&gt;&lt;number&gt;4&lt;/number&gt;&lt;institution&gt;Department of Zoology, Oregon State University, Corvallis, 97331, USA. olivier@bio-consult.biz&lt;/institution&gt;&lt;subtype&gt;400&lt;/subtype&gt;&lt;endpage&gt;537&lt;/endpage&gt;&lt;bundle&gt;&lt;publication&gt;&lt;publisher&gt;Elsevier Ltd&lt;/publisher&gt;&lt;title&gt;Developmental and comparative immunology&lt;/title&gt;&lt;type&gt;-100&lt;/type&gt;&lt;subtype&gt;-100&lt;/subtype&gt;&lt;uuid&gt;23C0000F-68AD-4505-BF08-DA761101503A&lt;/uuid&gt;&lt;/publication&gt;&lt;/bundle&gt;&lt;authors&gt;&lt;author&gt;&lt;firstName&gt;Olivier&lt;/firstName&gt;&lt;lastName&gt;Detournay&lt;/lastName&gt;&lt;/author&gt;&lt;author&gt;&lt;firstName&gt;Christine&lt;/firstName&gt;&lt;middleNames&gt;E&lt;/middleNames&gt;&lt;lastName&gt;Schnitzler&lt;/lastName&gt;&lt;/author&gt;&lt;author&gt;&lt;firstName&gt;Angela&lt;/firstName&gt;&lt;lastName&gt;Poole&lt;/lastName&gt;&lt;/author&gt;&lt;author&gt;&lt;firstName&gt;Virginia&lt;/firstName&gt;&lt;middleNames&gt;M&lt;/middleNames&gt;&lt;lastName&gt;Weis&lt;/lastName&gt;&lt;/author&gt;&lt;/authors&gt;&lt;/publication&gt;&lt;/publications&gt;&lt;cites&gt;&lt;/cites&gt;&lt;/citation&gt;</w:instrText>
      </w:r>
      <w:r>
        <w:rPr>
          <w:rFonts w:cs="Lucida Grande"/>
          <w:color w:val="000000"/>
        </w:rPr>
        <w:fldChar w:fldCharType="separate"/>
      </w:r>
      <w:r w:rsidRPr="00E87B19">
        <w:rPr>
          <w:rFonts w:ascii="Cambria" w:hAnsi="Cambria" w:cs="Cambria"/>
        </w:rPr>
        <w:t>[61-63]</w:t>
      </w:r>
      <w:r>
        <w:rPr>
          <w:rFonts w:cs="Lucida Grande"/>
          <w:color w:val="000000"/>
        </w:rPr>
        <w:fldChar w:fldCharType="end"/>
      </w:r>
      <w:r>
        <w:rPr>
          <w:rFonts w:cs="Lucida Grande"/>
          <w:color w:val="000000"/>
        </w:rPr>
        <w:t>. In our disease gene set, we find multiple components of the pathway, including multiple ligands, receptors, and intracellular SMAD proteins. Within the ligands, we find disease genes from both the TGF</w:t>
      </w:r>
      <w:r w:rsidRPr="00063AD9">
        <w:t>-</w:t>
      </w:r>
      <w:r w:rsidRPr="00063AD9">
        <w:rPr>
          <w:rFonts w:cs="Lucida Grande"/>
          <w:color w:val="000000"/>
        </w:rPr>
        <w:t>β</w:t>
      </w:r>
      <w:r>
        <w:rPr>
          <w:rFonts w:cs="Lucida Grande"/>
          <w:color w:val="000000"/>
        </w:rPr>
        <w:t xml:space="preserve">-like and BMP-like groups, including </w:t>
      </w:r>
      <w:r>
        <w:rPr>
          <w:rFonts w:cs="Lucida Grande"/>
          <w:i/>
          <w:color w:val="000000"/>
        </w:rPr>
        <w:t>TGFB1-3</w:t>
      </w:r>
      <w:r>
        <w:rPr>
          <w:rFonts w:cs="Lucida Grande"/>
          <w:color w:val="000000"/>
        </w:rPr>
        <w:t xml:space="preserve">, </w:t>
      </w:r>
      <w:r>
        <w:rPr>
          <w:rFonts w:cs="Lucida Grande"/>
          <w:i/>
          <w:color w:val="000000"/>
        </w:rPr>
        <w:t>Myostatin</w:t>
      </w:r>
      <w:r>
        <w:rPr>
          <w:rFonts w:cs="Lucida Grande"/>
          <w:color w:val="000000"/>
        </w:rPr>
        <w:t xml:space="preserve">, </w:t>
      </w:r>
      <w:r>
        <w:rPr>
          <w:rFonts w:cs="Lucida Grande"/>
          <w:i/>
          <w:color w:val="000000"/>
        </w:rPr>
        <w:t>LEFTY2</w:t>
      </w:r>
      <w:r>
        <w:rPr>
          <w:rFonts w:cs="Lucida Grande"/>
          <w:color w:val="000000"/>
        </w:rPr>
        <w:t xml:space="preserve">, </w:t>
      </w:r>
      <w:r>
        <w:rPr>
          <w:rFonts w:cs="Lucida Grande"/>
          <w:i/>
          <w:color w:val="000000"/>
        </w:rPr>
        <w:t>BMP2/4</w:t>
      </w:r>
      <w:r>
        <w:rPr>
          <w:rFonts w:cs="Lucida Grande"/>
          <w:color w:val="000000"/>
        </w:rPr>
        <w:t xml:space="preserve">, and </w:t>
      </w:r>
      <w:r>
        <w:rPr>
          <w:rFonts w:cs="Lucida Grande"/>
          <w:i/>
          <w:color w:val="000000"/>
        </w:rPr>
        <w:t xml:space="preserve">GDF3 </w:t>
      </w:r>
      <w:r>
        <w:rPr>
          <w:rFonts w:cs="Lucida Grande"/>
          <w:color w:val="000000"/>
        </w:rPr>
        <w:t>(Additional file 13, Panel C). The TGF</w:t>
      </w:r>
      <w:r>
        <w:t>-</w:t>
      </w:r>
      <w:r>
        <w:rPr>
          <w:rFonts w:cs="Lucida Grande"/>
          <w:color w:val="000000"/>
        </w:rPr>
        <w:t>β-like ligands form Clusters C1-C3, whereas all of the BMP-like ligands cluster together in Cluster C4.</w:t>
      </w:r>
    </w:p>
    <w:p w14:paraId="45C2B2D2" w14:textId="77777777" w:rsidR="00057C29" w:rsidRDefault="00057C29" w:rsidP="00057C29">
      <w:pPr>
        <w:rPr>
          <w:rFonts w:cs="Lucida Grande"/>
          <w:color w:val="000000"/>
        </w:rPr>
      </w:pPr>
    </w:p>
    <w:p w14:paraId="59530C63" w14:textId="77777777" w:rsidR="00057C29" w:rsidRPr="007F6EA9" w:rsidRDefault="00057C29" w:rsidP="00057C29">
      <w:pPr>
        <w:rPr>
          <w:rFonts w:ascii="Cambria" w:hAnsi="Cambria" w:cs="Cambria"/>
        </w:rPr>
      </w:pPr>
      <w:r>
        <w:rPr>
          <w:rFonts w:cs="Lucida Grande"/>
          <w:color w:val="000000"/>
        </w:rPr>
        <w:t xml:space="preserve">Cluster C1 represents the </w:t>
      </w:r>
      <w:r w:rsidRPr="00063AD9">
        <w:t>TGF-</w:t>
      </w:r>
      <w:r w:rsidRPr="00063AD9">
        <w:rPr>
          <w:rFonts w:cs="Lucida Grande"/>
          <w:color w:val="000000"/>
        </w:rPr>
        <w:t xml:space="preserve">β </w:t>
      </w:r>
      <w:r w:rsidRPr="00063AD9">
        <w:rPr>
          <w:rFonts w:cs="Lucida Grande"/>
          <w:i/>
          <w:color w:val="000000"/>
        </w:rPr>
        <w:t>sensu stricto</w:t>
      </w:r>
      <w:r w:rsidRPr="00063AD9">
        <w:rPr>
          <w:rFonts w:cs="Lucida Grande"/>
          <w:color w:val="000000"/>
        </w:rPr>
        <w:t xml:space="preserve"> ligand</w:t>
      </w:r>
      <w:r>
        <w:rPr>
          <w:rFonts w:cs="Lucida Grande"/>
          <w:color w:val="000000"/>
        </w:rPr>
        <w:t>s (</w:t>
      </w:r>
      <w:r>
        <w:rPr>
          <w:rFonts w:cs="Lucida Grande"/>
          <w:i/>
          <w:color w:val="000000"/>
        </w:rPr>
        <w:t>TGFB1-3</w:t>
      </w:r>
      <w:r>
        <w:rPr>
          <w:rFonts w:cs="Lucida Grande"/>
          <w:color w:val="000000"/>
        </w:rPr>
        <w:t xml:space="preserve">). These ligands were originally thought to exist only in vertebrates, but the identification of homologs in </w:t>
      </w:r>
      <w:r>
        <w:rPr>
          <w:rFonts w:cs="Lucida Grande"/>
          <w:i/>
          <w:color w:val="000000"/>
        </w:rPr>
        <w:t xml:space="preserve">A. queenslandica </w:t>
      </w:r>
      <w:r>
        <w:rPr>
          <w:rFonts w:cs="Lucida Grande"/>
          <w:color w:val="000000"/>
        </w:rPr>
        <w:t xml:space="preserve">and </w:t>
      </w:r>
      <w:r>
        <w:rPr>
          <w:rFonts w:cs="Lucida Grande"/>
          <w:i/>
          <w:color w:val="000000"/>
        </w:rPr>
        <w:t>M. leidyi</w:t>
      </w:r>
      <w:r w:rsidRPr="009F4746">
        <w:rPr>
          <w:rFonts w:cs="Lucida Grande"/>
          <w:color w:val="000000"/>
        </w:rPr>
        <w:t>,</w:t>
      </w:r>
      <w:r>
        <w:rPr>
          <w:rFonts w:cs="Lucida Grande"/>
          <w:i/>
          <w:color w:val="000000"/>
        </w:rPr>
        <w:t xml:space="preserve"> </w:t>
      </w:r>
      <w:r>
        <w:rPr>
          <w:rFonts w:cs="Lucida Grande"/>
          <w:color w:val="000000"/>
        </w:rPr>
        <w:t>as well as similar ligands in other species,</w:t>
      </w:r>
      <w:r>
        <w:rPr>
          <w:rFonts w:cs="Lucida Grande"/>
          <w:i/>
          <w:color w:val="000000"/>
        </w:rPr>
        <w:t xml:space="preserve"> </w:t>
      </w:r>
      <w:r>
        <w:rPr>
          <w:rFonts w:cs="Lucida Grande"/>
          <w:color w:val="000000"/>
        </w:rPr>
        <w:t xml:space="preserve">suggested they emerged at the base of the Metazoa </w:t>
      </w:r>
      <w:r>
        <w:rPr>
          <w:rFonts w:cs="Lucida Grande"/>
          <w:color w:val="000000"/>
        </w:rPr>
        <w:fldChar w:fldCharType="begin"/>
      </w:r>
      <w:r>
        <w:rPr>
          <w:rFonts w:cs="Lucida Grande"/>
          <w:color w:val="000000"/>
        </w:rPr>
        <w:instrText xml:space="preserve"> ADDIN PAPERS2_CITATIONS &lt;citation&gt;&lt;uuid&gt;1AC18FB3-5945-4C49-BED5-13B3BF95FC05&lt;/uuid&gt;&lt;priority&gt;64&lt;/priority&gt;&lt;publications&gt;&lt;publication&gt;&lt;uuid&gt;5A7E5967-813A-4349-94E1-EDC4612EDBB9&lt;/uuid&gt;&lt;volume&gt;38&lt;/volume&gt;&lt;accepted_date&gt;99201208271200000000222000&lt;/accepted_date&gt;&lt;doi&gt;10.1016/j.dci.2012.08.008&lt;/doi&gt;&lt;startpage&gt;525&lt;/startpage&gt;&lt;revision_date&gt;99201207281200000000222000&lt;/revision_date&gt;&lt;publication_date&gt;99201212001200000000220000&lt;/publication_date&gt;&lt;url&gt;http://eutils.ncbi.nlm.nih.gov/entrez/eutils/elink.fcgi?dbfrom=p</w:instrText>
      </w:r>
      <w:r>
        <w:rPr>
          <w:rFonts w:cs="Lucida Grande" w:hint="eastAsia"/>
          <w:color w:val="000000"/>
        </w:rPr>
        <w:instrText>ubmed&amp;amp;id=23010490&amp;amp;retmode=ref&amp;amp;cmd=prlinks&lt;/url&gt;&lt;type&gt;400&lt;/type&gt;&lt;title&gt;Regulation of cnidarian-dinoflagellate mutualisms: Evidence that activation of a host TGF</w:instrText>
      </w:r>
      <w:r>
        <w:rPr>
          <w:rFonts w:cs="Lucida Grande" w:hint="eastAsia"/>
          <w:color w:val="000000"/>
        </w:rPr>
        <w:instrText>β</w:instrText>
      </w:r>
      <w:r>
        <w:rPr>
          <w:rFonts w:cs="Lucida Grande" w:hint="eastAsia"/>
          <w:color w:val="000000"/>
        </w:rPr>
        <w:instrText xml:space="preserve"> innate immune pathway promotes tolerance of the symbiont.&lt;/title&gt;&lt;location&gt;200,9,4</w:instrText>
      </w:r>
      <w:r>
        <w:rPr>
          <w:rFonts w:cs="Lucida Grande"/>
          <w:color w:val="000000"/>
        </w:rPr>
        <w:instrText>4.5628538,-123.2789766&lt;/location&gt;&lt;submission_date&gt;99201206041200000000222000&lt;/submission_date&gt;&lt;number&gt;4&lt;/number&gt;&lt;institution&gt;Department of Zoology, Oregon State University, Corvallis, 97331, USA. olivier@bio-consult.biz&lt;/institution&gt;&lt;subtype&gt;400&lt;/subtype&gt;&lt;endpage&gt;537&lt;/endpage&gt;&lt;bundle&gt;&lt;publication&gt;&lt;publisher&gt;Elsevier Ltd&lt;/publisher&gt;&lt;title&gt;Developmental and comparative immunology&lt;/title&gt;&lt;type&gt;-100&lt;/type&gt;&lt;subtype&gt;-100&lt;/subtype&gt;&lt;uuid&gt;23C0000F-68AD-4505-BF08-DA761101503A&lt;/uuid&gt;&lt;/publication&gt;&lt;/bundle&gt;&lt;authors&gt;&lt;author&gt;&lt;firstName&gt;Olivier&lt;/firstName&gt;&lt;lastName&gt;Detournay&lt;/lastName&gt;&lt;/author&gt;&lt;author&gt;&lt;firstName&gt;Christine&lt;/firstName&gt;&lt;middleNames&gt;E&lt;/middleNames&gt;&lt;lastName&gt;Schnitzler&lt;/lastName&gt;&lt;/author&gt;&lt;author&gt;&lt;firstName&gt;Angela&lt;/firstName&gt;&lt;lastName&gt;Poole&lt;/lastName&gt;&lt;/author&gt;&lt;author&gt;&lt;firstName&gt;Virginia&lt;/firstName&gt;&lt;middleNames&gt;M&lt;/middleNames&gt;&lt;lastName&gt;Weis&lt;/lastName&gt;&lt;/author&gt;&lt;/authors&gt;&lt;/publication&gt;&lt;publication&gt;&lt;uuid&gt;4445D9B9-5B56-4C8C-A240-FB2C56B67B4D&lt;/uuid&gt;&lt;volume&gt;74&lt;/volume&gt;&lt;doi&gt;10.1101/sqb.2009.74.028&lt;/doi&gt;&lt;startpage&gt;81&lt;/startpage&gt;&lt;publication_date&gt;99200900001200000000200000&lt;/publication_date&gt;&lt;url&gt;http://eutils.ncbi.nlm.nih.gov/entrez/eutils/elink.fcgi?dbfrom=pubmed&amp;amp;id=19903747&amp;amp;retmode=ref&amp;amp;cmd=prlinks&lt;/url&gt;&lt;type&gt;400&lt;/type&gt;&lt;title&gt;The dawn of developmental signaling in the metazoa.&lt;/title&gt;&lt;location&gt;200,5,-27.4979958,153.0121364&lt;/location&gt;&lt;institution&gt;School of Biological Sciences, University of Queensland, Brisbane, Australia 4072.&lt;/institution&gt;&lt;subtype&gt;400&lt;/subtype&gt;&lt;endpage&gt;90&lt;/endpage&gt;&lt;bundle&gt;&lt;publication&gt;&lt;title&gt;Cold Spring Harbor symposia on quantitative biology&lt;/title&gt;&lt;type&gt;-100&lt;/type&gt;&lt;subtype&gt;-100&lt;/subtype&gt;&lt;uuid&gt;85992487-5ED9-47FA-A47C-F0A7DD6E547B&lt;/uuid&gt;&lt;/publication&gt;&lt;/bundle&gt;&lt;authors&gt;&lt;author&gt;&lt;firstName&gt;G&lt;/firstName&gt;&lt;middleNames&gt;S&lt;/middleNames&gt;&lt;lastName&gt;Richards&lt;/lastName&gt;&lt;/author&gt;&lt;author&gt;&lt;firstName&gt;B&lt;/firstName&gt;&lt;middleNames&gt;M&lt;/middleNames&gt;&lt;lastName&gt;Degnan&lt;/lastName&gt;&lt;/author&gt;&lt;/authors&gt;&lt;/publication&gt;&lt;publication&gt;&lt;volume&gt;6&lt;/volume&gt;&lt;publication_date&gt;99201100001200000000200000&lt;/publication_date&gt;&lt;number&gt;9&lt;/num</w:instrText>
      </w:r>
      <w:r>
        <w:rPr>
          <w:rFonts w:cs="Lucida Grande" w:hint="eastAsia"/>
          <w:color w:val="000000"/>
        </w:rPr>
        <w:instrText>ber&gt;&lt;doi&gt;10.1371/journal.pone.0024152.t002&lt;/doi&gt;&lt;startpage&gt;e24152&lt;/startpage&gt;&lt;title&gt;Evolution of the TGF-</w:instrText>
      </w:r>
      <w:r>
        <w:rPr>
          <w:rFonts w:cs="Lucida Grande" w:hint="eastAsia"/>
          <w:color w:val="000000"/>
        </w:rPr>
        <w:instrText>β</w:instrText>
      </w:r>
      <w:r>
        <w:rPr>
          <w:rFonts w:cs="Lucida Grande" w:hint="eastAsia"/>
          <w:color w:val="000000"/>
        </w:rPr>
        <w:instrText xml:space="preserve"> Signaling Pathway and Its Potential Role in the Ctenophore, Mnemiopsis leidyi&lt;/title&gt;&lt;uuid&gt;4C58045C-EE99-4F2A-9F09-D9BB0D246F00&lt;/uuid&gt;&lt;subtype&gt;400&lt;/</w:instrText>
      </w:r>
      <w:r>
        <w:rPr>
          <w:rFonts w:cs="Lucida Grande"/>
          <w:color w:val="000000"/>
        </w:rPr>
        <w:instrText>subtype&gt;&lt;publisher&gt;Public Library of Science&lt;/publisher&gt;&lt;type&gt;400&lt;/type&gt;&lt;url&gt;http://dx.plos.org/10.1371/journal.pone.0024152&lt;/url&gt;&lt;bundle&gt;&lt;publication&gt;&lt;url&gt;http://www.plosone.org/&lt;/url&gt;&lt;title&gt;PLoS One&lt;/title&gt;&lt;type&gt;-100&lt;/type&gt;&lt;subtype&gt;-100&lt;/subtype&gt;&lt;uuid&gt;77078747-A905-49C1-AF77-29BE7FBE63FA&lt;/uuid&gt;&lt;/publication&gt;&lt;/bundle&gt;&lt;authors&gt;&lt;author&gt;&lt;firstName&gt;K.&lt;/firstName&gt;&lt;lastName&gt;Pang&lt;/lastName&gt;&lt;/author&gt;&lt;author&gt;&lt;firstName&gt;J.F.&lt;/firstName&gt;&lt;lastName&gt;Ryan&lt;/lastName&gt;&lt;/author&gt;&lt;author&gt;&lt;firstName&gt;A.D.&lt;/firstName&gt;&lt;lastName&gt;Baxevanis&lt;/lastName&gt;&lt;/author&gt;&lt;author&gt;&lt;firstName&gt;M&lt;/firstName&gt;&lt;middleNames&gt;Q&lt;/middleNames&gt;&lt;lastName&gt;Martindale&lt;/lastName&gt;&lt;/author&gt;&lt;/authors&gt;&lt;/publication&gt;&lt;/publications&gt;&lt;cites&gt;&lt;/cites&gt;&lt;/citation&gt;</w:instrText>
      </w:r>
      <w:r>
        <w:rPr>
          <w:rFonts w:cs="Lucida Grande"/>
          <w:color w:val="000000"/>
        </w:rPr>
        <w:fldChar w:fldCharType="separate"/>
      </w:r>
      <w:r w:rsidRPr="00E87B19">
        <w:rPr>
          <w:rFonts w:ascii="Cambria" w:hAnsi="Cambria" w:cs="Cambria"/>
        </w:rPr>
        <w:t>[61-63]</w:t>
      </w:r>
      <w:r>
        <w:rPr>
          <w:rFonts w:cs="Lucida Grande"/>
          <w:color w:val="000000"/>
        </w:rPr>
        <w:fldChar w:fldCharType="end"/>
      </w:r>
      <w:r>
        <w:rPr>
          <w:rFonts w:cs="Lucida Grande"/>
          <w:color w:val="000000"/>
        </w:rPr>
        <w:t xml:space="preserve">. In this cluster, orthologs are found in all Deuterostomes and also the poriferan </w:t>
      </w:r>
      <w:r>
        <w:rPr>
          <w:rFonts w:cs="Lucida Grande"/>
          <w:i/>
          <w:color w:val="000000"/>
        </w:rPr>
        <w:t>A. queenslancia</w:t>
      </w:r>
      <w:r w:rsidRPr="009F4746">
        <w:rPr>
          <w:rFonts w:cs="Lucida Grande"/>
          <w:color w:val="000000"/>
        </w:rPr>
        <w:t>.</w:t>
      </w:r>
      <w:r>
        <w:rPr>
          <w:rFonts w:cs="Lucida Grande"/>
          <w:i/>
          <w:color w:val="000000"/>
        </w:rPr>
        <w:t xml:space="preserve"> </w:t>
      </w:r>
      <w:r>
        <w:rPr>
          <w:rFonts w:cs="Lucida Grande"/>
          <w:color w:val="000000"/>
        </w:rPr>
        <w:t xml:space="preserve">This demonstrates the ability of our orthologous gene-clustering algorithm to identify distant orthologs in cases where many species, from the Parahoxozoa up until Deuterostomia, have lost the underlying gene. However, our clusters only identify the </w:t>
      </w:r>
      <w:r>
        <w:rPr>
          <w:rFonts w:cs="Lucida Grande"/>
          <w:i/>
          <w:color w:val="000000"/>
        </w:rPr>
        <w:t>A. queenslandica</w:t>
      </w:r>
      <w:r>
        <w:rPr>
          <w:rFonts w:cs="Lucida Grande"/>
          <w:color w:val="000000"/>
        </w:rPr>
        <w:t xml:space="preserve"> ortholog and not the </w:t>
      </w:r>
      <w:r>
        <w:rPr>
          <w:rFonts w:cs="Lucida Grande"/>
          <w:i/>
          <w:color w:val="000000"/>
        </w:rPr>
        <w:t>M. leidyi</w:t>
      </w:r>
      <w:r>
        <w:rPr>
          <w:rFonts w:cs="Lucida Grande"/>
          <w:color w:val="000000"/>
        </w:rPr>
        <w:t xml:space="preserve"> ortholog, demonstrating that largely diverged sequences are harder to classify. It has been previously demonstrated that the </w:t>
      </w:r>
      <w:r>
        <w:rPr>
          <w:rFonts w:cs="Lucida Grande"/>
          <w:i/>
          <w:color w:val="000000"/>
        </w:rPr>
        <w:t>M. leidyi</w:t>
      </w:r>
      <w:r>
        <w:rPr>
          <w:rFonts w:cs="Lucida Grande"/>
          <w:color w:val="000000"/>
        </w:rPr>
        <w:t xml:space="preserve"> </w:t>
      </w:r>
      <w:r w:rsidRPr="00063AD9">
        <w:t>TGF-</w:t>
      </w:r>
      <w:r w:rsidRPr="00063AD9">
        <w:rPr>
          <w:rFonts w:cs="Lucida Grande"/>
          <w:color w:val="000000"/>
        </w:rPr>
        <w:t xml:space="preserve">β </w:t>
      </w:r>
      <w:r w:rsidRPr="00063AD9">
        <w:rPr>
          <w:rFonts w:cs="Lucida Grande"/>
          <w:i/>
          <w:color w:val="000000"/>
        </w:rPr>
        <w:t>sensu stricto</w:t>
      </w:r>
      <w:r w:rsidRPr="00063AD9">
        <w:rPr>
          <w:rFonts w:cs="Lucida Grande"/>
          <w:color w:val="000000"/>
        </w:rPr>
        <w:t xml:space="preserve"> ligand</w:t>
      </w:r>
      <w:r>
        <w:rPr>
          <w:rFonts w:cs="Lucida Grande"/>
          <w:color w:val="000000"/>
        </w:rPr>
        <w:t xml:space="preserve"> is the least homologous member of the ligand family </w:t>
      </w:r>
      <w:r>
        <w:rPr>
          <w:rFonts w:cs="Lucida Grande"/>
          <w:color w:val="000000"/>
        </w:rPr>
        <w:fldChar w:fldCharType="begin"/>
      </w:r>
      <w:r>
        <w:rPr>
          <w:rFonts w:cs="Lucida Grande"/>
          <w:color w:val="000000"/>
        </w:rPr>
        <w:instrText xml:space="preserve"> ADDIN PAPERS2_CITATIONS &lt;citation&gt;&lt;uuid&gt;08B12541-BA49-4AAD-B1E0-AF1DAFB88A7F&lt;/uuid&gt;&lt;priority&gt;65&lt;/priority&gt;&lt;publications&gt;&lt;publication&gt;&lt;uuid&gt;5A7E5967-813A-4349-94E1-EDC4612EDBB9&lt;/uuid&gt;&lt;volume&gt;38&lt;/volume&gt;&lt;accepted_date&gt;99201208271200000000222000&lt;/accepted_date&gt;&lt;doi&gt;10.1016/j.dci.2012.08.008&lt;/doi&gt;&lt;startpage&gt;525&lt;/startpage&gt;&lt;revision_date&gt;99201207281200000000222000&lt;/revision_date&gt;&lt;publication_date&gt;99201212001200000000220000&lt;/publication_date&gt;&lt;url&gt;http://eutils.ncbi.nlm.nih.gov/entrez/eutils/elink.fcgi?dbfrom=p</w:instrText>
      </w:r>
      <w:r>
        <w:rPr>
          <w:rFonts w:cs="Lucida Grande" w:hint="eastAsia"/>
          <w:color w:val="000000"/>
        </w:rPr>
        <w:instrText>ubmed&amp;amp;id=23010490&amp;amp;retmode=ref&amp;amp;cmd=prlinks&lt;/url&gt;&lt;type&gt;400&lt;/type&gt;&lt;title&gt;Regulation of cnidarian-dinoflagellate mutualisms: Evidence that activation of a host TGF</w:instrText>
      </w:r>
      <w:r>
        <w:rPr>
          <w:rFonts w:cs="Lucida Grande" w:hint="eastAsia"/>
          <w:color w:val="000000"/>
        </w:rPr>
        <w:instrText>β</w:instrText>
      </w:r>
      <w:r>
        <w:rPr>
          <w:rFonts w:cs="Lucida Grande" w:hint="eastAsia"/>
          <w:color w:val="000000"/>
        </w:rPr>
        <w:instrText xml:space="preserve"> innate immune pathway promotes tolerance of the symbiont.&lt;/title&gt;&lt;location&gt;200,9,4</w:instrText>
      </w:r>
      <w:r>
        <w:rPr>
          <w:rFonts w:cs="Lucida Grande"/>
          <w:color w:val="000000"/>
        </w:rPr>
        <w:instrText>4.5628538,-123.2789766&lt;/location&gt;&lt;submission_date&gt;99201206041200000000222000&lt;/submission_date&gt;&lt;number&gt;4&lt;/number&gt;&lt;institution&gt;Department of Zoology, Oregon State University, Corvallis, 97331, USA. olivier@bio-consult.biz&lt;/institution&gt;&lt;subtype&gt;400&lt;/subtype&gt;&lt;endpage&gt;537&lt;/endpage&gt;&lt;bundle&gt;&lt;publication&gt;&lt;publisher&gt;Elsevier Ltd&lt;/publisher&gt;&lt;title&gt;Developmental and comparative immunology&lt;/title&gt;&lt;type&gt;-100&lt;/type&gt;&lt;subtype&gt;-100&lt;/subtype&gt;&lt;uuid&gt;23C0000F-68AD-4505-BF08-DA761101503A&lt;/uuid&gt;&lt;/publication&gt;&lt;/bundle&gt;&lt;authors&gt;&lt;author&gt;&lt;firstName&gt;Olivier&lt;/firstName&gt;&lt;lastName&gt;Detournay&lt;/lastName&gt;&lt;/author&gt;&lt;author&gt;&lt;firstName&gt;Christine&lt;/firstName&gt;&lt;middleNames&gt;E&lt;/middleNames&gt;&lt;lastName&gt;Schnitzler&lt;/lastName&gt;&lt;/author&gt;&lt;author&gt;&lt;firstName&gt;Angela&lt;/firstName&gt;&lt;lastName&gt;Poole&lt;/lastName&gt;&lt;/author&gt;&lt;author&gt;&lt;firstName&gt;Virginia&lt;/firstName&gt;&lt;middleNames&gt;M&lt;/middleNames&gt;&lt;lastName&gt;Weis&lt;/lastName&gt;&lt;/author&gt;&lt;/authors&gt;&lt;/publication&gt;&lt;publication&gt;&lt;volume&gt;6&lt;/volume&gt;&lt;publication_date&gt;99201100001200000000200000&lt;/publication_date&gt;&lt;number&gt;9&lt;/number&gt;&lt;doi&gt;10.1371/jour</w:instrText>
      </w:r>
      <w:r>
        <w:rPr>
          <w:rFonts w:cs="Lucida Grande" w:hint="eastAsia"/>
          <w:color w:val="000000"/>
        </w:rPr>
        <w:instrText>nal.pone.0024152.t002&lt;/doi&gt;&lt;startpage&gt;e24152&lt;/startpage&gt;&lt;title&gt;Evolution of the TGF-</w:instrText>
      </w:r>
      <w:r>
        <w:rPr>
          <w:rFonts w:cs="Lucida Grande" w:hint="eastAsia"/>
          <w:color w:val="000000"/>
        </w:rPr>
        <w:instrText>β</w:instrText>
      </w:r>
      <w:r>
        <w:rPr>
          <w:rFonts w:cs="Lucida Grande" w:hint="eastAsia"/>
          <w:color w:val="000000"/>
        </w:rPr>
        <w:instrText xml:space="preserve"> Signaling Pathway and Its Potential Role in the Ctenophore, Mnemiopsis leidyi&lt;/title&gt;&lt;uuid&gt;4C58045C-EE99-4F2A-9F09-D9BB0D246F00&lt;/uuid&gt;&lt;subtype&gt;400&lt;/subtype&gt;&lt;publisher&gt;Pu</w:instrText>
      </w:r>
      <w:r>
        <w:rPr>
          <w:rFonts w:cs="Lucida Grande"/>
          <w:color w:val="000000"/>
        </w:rPr>
        <w:instrText>blic Library of Science&lt;/publisher&gt;&lt;type&gt;400&lt;/type&gt;&lt;url&gt;http://dx.plos.org/10.1371/journal.pone.0024152&lt;/url&gt;&lt;bundle&gt;&lt;publication&gt;&lt;url&gt;http://www.plosone.org/&lt;/url&gt;&lt;title&gt;PLoS One&lt;/title&gt;&lt;type&gt;-100&lt;/type&gt;&lt;subtype&gt;-100&lt;/subtype&gt;&lt;uuid&gt;77078747-A905-49C1-AF77-29BE7FBE63FA&lt;/uuid&gt;&lt;/publication&gt;&lt;/bundle&gt;&lt;authors&gt;&lt;author&gt;&lt;firstName&gt;K.&lt;/firstName&gt;&lt;lastName&gt;Pang&lt;/lastName&gt;&lt;/author&gt;&lt;author&gt;&lt;firstName&gt;J.F.&lt;/firstName&gt;&lt;lastName&gt;Ryan&lt;/lastName&gt;&lt;/author&gt;&lt;author&gt;&lt;firstName&gt;A.D.&lt;/firstName&gt;&lt;lastName&gt;Baxevanis&lt;/lastName&gt;&lt;/author&gt;&lt;author&gt;&lt;firstName&gt;M&lt;/firstName&gt;&lt;middleNames&gt;Q&lt;/middleNames&gt;&lt;lastName&gt;Martindale&lt;/lastName&gt;&lt;/author&gt;&lt;/authors&gt;&lt;/publication&gt;&lt;/publications&gt;&lt;cites&gt;&lt;/cites&gt;&lt;/citation&gt;</w:instrText>
      </w:r>
      <w:r>
        <w:rPr>
          <w:rFonts w:cs="Lucida Grande"/>
          <w:color w:val="000000"/>
        </w:rPr>
        <w:fldChar w:fldCharType="separate"/>
      </w:r>
      <w:r w:rsidRPr="00E87B19">
        <w:rPr>
          <w:rFonts w:ascii="Cambria" w:hAnsi="Cambria" w:cs="Cambria"/>
        </w:rPr>
        <w:t>[62, 63]</w:t>
      </w:r>
      <w:r>
        <w:rPr>
          <w:rFonts w:cs="Lucida Grande"/>
          <w:color w:val="000000"/>
        </w:rPr>
        <w:fldChar w:fldCharType="end"/>
      </w:r>
      <w:r>
        <w:rPr>
          <w:rFonts w:cs="Lucida Grande"/>
          <w:color w:val="000000"/>
        </w:rPr>
        <w:t xml:space="preserve">. We note that although the </w:t>
      </w:r>
      <w:r>
        <w:rPr>
          <w:rFonts w:cs="Lucida Grande"/>
          <w:i/>
          <w:color w:val="000000"/>
        </w:rPr>
        <w:t>A. queenslandica</w:t>
      </w:r>
      <w:r>
        <w:rPr>
          <w:rFonts w:cs="Lucida Grande"/>
          <w:color w:val="000000"/>
        </w:rPr>
        <w:t xml:space="preserve"> ortholog is most similar to the </w:t>
      </w:r>
      <w:r>
        <w:rPr>
          <w:rFonts w:cs="Lucida Grande"/>
          <w:i/>
          <w:color w:val="000000"/>
        </w:rPr>
        <w:t>TGFB3</w:t>
      </w:r>
      <w:r>
        <w:rPr>
          <w:rFonts w:cs="Lucida Grande"/>
          <w:color w:val="000000"/>
        </w:rPr>
        <w:t xml:space="preserve"> human counterpart (based on the RBH results), the clustering suggests that the ancestral form duplicated in the Deuterostomes to form the larger class of three </w:t>
      </w:r>
      <w:r w:rsidRPr="00063AD9">
        <w:t>TGF-</w:t>
      </w:r>
      <w:r w:rsidRPr="00063AD9">
        <w:rPr>
          <w:rFonts w:cs="Lucida Grande"/>
          <w:color w:val="000000"/>
        </w:rPr>
        <w:t>β</w:t>
      </w:r>
      <w:r>
        <w:rPr>
          <w:rFonts w:cs="Lucida Grande"/>
          <w:color w:val="000000"/>
        </w:rPr>
        <w:t xml:space="preserve"> </w:t>
      </w:r>
      <w:r>
        <w:rPr>
          <w:rFonts w:cs="Lucida Grande"/>
          <w:i/>
          <w:color w:val="000000"/>
        </w:rPr>
        <w:t>sensu stricto</w:t>
      </w:r>
      <w:r>
        <w:rPr>
          <w:rFonts w:cs="Lucida Grande"/>
          <w:color w:val="000000"/>
        </w:rPr>
        <w:t xml:space="preserve"> ligands seen in humans.</w:t>
      </w:r>
    </w:p>
    <w:p w14:paraId="620F1398" w14:textId="77777777" w:rsidR="00057C29" w:rsidRDefault="00057C29" w:rsidP="00057C29">
      <w:pPr>
        <w:rPr>
          <w:rFonts w:cs="Lucida Grande"/>
          <w:color w:val="000000"/>
        </w:rPr>
      </w:pPr>
    </w:p>
    <w:p w14:paraId="776FA20E" w14:textId="77777777" w:rsidR="00057C29" w:rsidRPr="00E86673" w:rsidRDefault="00057C29" w:rsidP="00057C29">
      <w:pPr>
        <w:rPr>
          <w:rFonts w:cs="Lucida Grande"/>
          <w:color w:val="000000"/>
        </w:rPr>
      </w:pPr>
      <w:r>
        <w:rPr>
          <w:rFonts w:cs="Lucida Grande"/>
          <w:color w:val="000000"/>
        </w:rPr>
        <w:t>Cluster C2 contains the human disease gene myostatin (</w:t>
      </w:r>
      <w:r>
        <w:rPr>
          <w:rFonts w:cs="Lucida Grande"/>
          <w:i/>
          <w:color w:val="000000"/>
        </w:rPr>
        <w:t>MSTN</w:t>
      </w:r>
      <w:r>
        <w:rPr>
          <w:rFonts w:cs="Lucida Grande"/>
          <w:color w:val="000000"/>
        </w:rPr>
        <w:t>) as well as five other human non-disease genes representing inhibins (</w:t>
      </w:r>
      <w:r>
        <w:rPr>
          <w:rFonts w:cs="Lucida Grande"/>
          <w:i/>
          <w:color w:val="000000"/>
        </w:rPr>
        <w:t>INHBA/B/C/E</w:t>
      </w:r>
      <w:r>
        <w:rPr>
          <w:rFonts w:cs="Lucida Grande"/>
          <w:color w:val="000000"/>
        </w:rPr>
        <w:t xml:space="preserve">) and </w:t>
      </w:r>
      <w:r>
        <w:rPr>
          <w:rFonts w:cs="Lucida Grande"/>
          <w:i/>
          <w:color w:val="000000"/>
        </w:rPr>
        <w:t>GDF11</w:t>
      </w:r>
      <w:r>
        <w:rPr>
          <w:rFonts w:cs="Lucida Grande"/>
          <w:color w:val="000000"/>
        </w:rPr>
        <w:t xml:space="preserve"> (data not shown). Cluster C3 contains the human disease gene </w:t>
      </w:r>
      <w:r>
        <w:rPr>
          <w:rFonts w:cs="Lucida Grande"/>
          <w:i/>
          <w:color w:val="000000"/>
        </w:rPr>
        <w:t>LEFTY2</w:t>
      </w:r>
      <w:r>
        <w:rPr>
          <w:rFonts w:cs="Lucida Grande"/>
          <w:color w:val="000000"/>
        </w:rPr>
        <w:t xml:space="preserve"> as well as </w:t>
      </w:r>
      <w:r>
        <w:rPr>
          <w:rFonts w:cs="Lucida Grande"/>
          <w:i/>
          <w:color w:val="000000"/>
        </w:rPr>
        <w:t>LEFTY1</w:t>
      </w:r>
      <w:r>
        <w:rPr>
          <w:rFonts w:cs="Lucida Grande"/>
          <w:color w:val="000000"/>
        </w:rPr>
        <w:t xml:space="preserve">, a non-disease gene (data not shown). Taken together, the grouping of Clusters C1-C3 is meaningful from both a sequence-similarity perspective as well as a phylogenetic origins perspective. While these various classes of </w:t>
      </w:r>
      <w:r w:rsidRPr="00063AD9">
        <w:t>TGF-</w:t>
      </w:r>
      <w:r w:rsidRPr="00063AD9">
        <w:rPr>
          <w:rFonts w:cs="Lucida Grande"/>
          <w:color w:val="000000"/>
        </w:rPr>
        <w:t>β</w:t>
      </w:r>
      <w:r>
        <w:rPr>
          <w:rFonts w:cs="Lucida Grande"/>
          <w:color w:val="000000"/>
        </w:rPr>
        <w:t xml:space="preserve"> are all distinct, they likely have a common ancestor dating back to the earliest metazoans. However, the </w:t>
      </w:r>
      <w:r w:rsidRPr="00E86673">
        <w:rPr>
          <w:rFonts w:cs="Lucida Grande"/>
          <w:color w:val="000000"/>
        </w:rPr>
        <w:t>Lefty</w:t>
      </w:r>
      <w:r>
        <w:rPr>
          <w:rFonts w:cs="Lucida Grande"/>
          <w:color w:val="000000"/>
        </w:rPr>
        <w:t xml:space="preserve"> ligands have been found only in Deuterostomes (Cluster C3 identifies a possible ortholog in </w:t>
      </w:r>
      <w:r>
        <w:rPr>
          <w:rFonts w:cs="Lucida Grande"/>
          <w:i/>
          <w:color w:val="000000"/>
        </w:rPr>
        <w:t>C. teleta</w:t>
      </w:r>
      <w:r>
        <w:rPr>
          <w:rFonts w:cs="Lucida Grande"/>
          <w:color w:val="000000"/>
        </w:rPr>
        <w:t xml:space="preserve"> as well), whereas the </w:t>
      </w:r>
      <w:r w:rsidRPr="00063AD9">
        <w:t>TGF-</w:t>
      </w:r>
      <w:r w:rsidRPr="00063AD9">
        <w:rPr>
          <w:rFonts w:cs="Lucida Grande"/>
          <w:color w:val="000000"/>
        </w:rPr>
        <w:t>β</w:t>
      </w:r>
      <w:r>
        <w:rPr>
          <w:rFonts w:cs="Lucida Grande"/>
          <w:color w:val="000000"/>
        </w:rPr>
        <w:t xml:space="preserve"> </w:t>
      </w:r>
      <w:r>
        <w:rPr>
          <w:rFonts w:cs="Lucida Grande"/>
          <w:i/>
          <w:color w:val="000000"/>
        </w:rPr>
        <w:t>sensu stricto</w:t>
      </w:r>
      <w:r>
        <w:rPr>
          <w:rFonts w:cs="Lucida Grande"/>
          <w:color w:val="000000"/>
        </w:rPr>
        <w:t xml:space="preserve"> and myostatin, activin and inhibin ligands arose from more ancient duplications </w:t>
      </w:r>
      <w:r>
        <w:rPr>
          <w:rFonts w:cs="Lucida Grande"/>
          <w:color w:val="000000"/>
        </w:rPr>
        <w:fldChar w:fldCharType="begin"/>
      </w:r>
      <w:r>
        <w:rPr>
          <w:rFonts w:cs="Lucida Grande"/>
          <w:color w:val="000000"/>
        </w:rPr>
        <w:instrText xml:space="preserve"> ADDIN PAPERS2_CITATIONS &lt;citation&gt;&lt;uuid&gt;1671F16A-90D0-4AFF-B105-5B5E5E71C59C&lt;/uuid&gt;&lt;priority&gt;66&lt;/priority&gt;&lt;publications&gt;&lt;publication&gt;&lt;volume&gt;6&lt;/volume&gt;&lt;publication_date&gt;99201100001200000000200000&lt;/publication_date&gt;&lt;number&gt;9&lt;/number&gt;&lt;doi&gt;10.1371/journal.p</w:instrText>
      </w:r>
      <w:r>
        <w:rPr>
          <w:rFonts w:cs="Lucida Grande" w:hint="eastAsia"/>
          <w:color w:val="000000"/>
        </w:rPr>
        <w:instrText>one.0024152.t002&lt;/doi&gt;&lt;startpage&gt;e24152&lt;/startpage&gt;&lt;title&gt;Evolution of the TGF-</w:instrText>
      </w:r>
      <w:r>
        <w:rPr>
          <w:rFonts w:cs="Lucida Grande" w:hint="eastAsia"/>
          <w:color w:val="000000"/>
        </w:rPr>
        <w:instrText>β</w:instrText>
      </w:r>
      <w:r>
        <w:rPr>
          <w:rFonts w:cs="Lucida Grande" w:hint="eastAsia"/>
          <w:color w:val="000000"/>
        </w:rPr>
        <w:instrText xml:space="preserve"> Signaling Pathway and Its Potential Role in the Ctenophore, Mnemiopsis leidyi&lt;/title&gt;&lt;uuid&gt;4C58045C-EE99-4F2A-9F09-D9BB0D246F00&lt;/uuid&gt;&lt;subtype&gt;400&lt;/subtype&gt;&lt;publisher&gt;Public </w:instrText>
      </w:r>
      <w:r>
        <w:rPr>
          <w:rFonts w:cs="Lucida Grande"/>
          <w:color w:val="000000"/>
        </w:rPr>
        <w:instrText>Library of Science&lt;/publisher&gt;&lt;type&gt;400&lt;/type&gt;&lt;url&gt;http://dx.plos.org/10.1371/journal.pone.0024152&lt;/url&gt;&lt;bundle&gt;&lt;publication&gt;&lt;url&gt;http://www.plosone.org/&lt;/url&gt;&lt;title&gt;PLoS One&lt;/title&gt;&lt;type&gt;-100&lt;/type&gt;&lt;subtype&gt;-100&lt;/subtype&gt;&lt;uuid&gt;77078747-A905-49C1-AF77-29BE7FBE63FA&lt;/uuid&gt;&lt;/publication&gt;&lt;/bundle&gt;&lt;authors&gt;&lt;author&gt;&lt;firstName&gt;K.&lt;/firstName&gt;&lt;lastName&gt;Pang&lt;/lastName&gt;&lt;/author&gt;&lt;author&gt;&lt;firstName&gt;J.F.&lt;/firstName&gt;&lt;lastName&gt;Ryan&lt;/lastName&gt;&lt;/author&gt;&lt;author&gt;&lt;firstName&gt;A.D.&lt;/firstName&gt;&lt;lastName&gt;Baxevanis&lt;/lastName&gt;&lt;/author&gt;&lt;author&gt;&lt;firstName&gt;M&lt;/firstName&gt;&lt;middleNames&gt;Q&lt;/middleNames&gt;&lt;lastName&gt;Martindale&lt;/lastName&gt;&lt;/author&gt;&lt;/authors&gt;&lt;/publication&gt;&lt;publication&gt;&lt;uuid&gt;5A7E5967-813A-4349-94E1-EDC4612EDBB9&lt;/uuid&gt;&lt;volume&gt;38&lt;/volume&gt;&lt;accepted_date&gt;99201208271200000000222000&lt;/accepted_date&gt;&lt;doi&gt;10.1016/j.dci.2012.08.008&lt;/doi&gt;&lt;startpage&gt;525&lt;/startpage&gt;&lt;revision_date&gt;99201207281200000000222000&lt;/revision_date&gt;&lt;publication_date&gt;99201212001200000000220000&lt;/publication_date&gt;&lt;url&gt;http://eutils.ncbi.nlm.nih.gov/entrez/eutils/elink.fcgi?db</w:instrText>
      </w:r>
      <w:r>
        <w:rPr>
          <w:rFonts w:cs="Lucida Grande" w:hint="eastAsia"/>
          <w:color w:val="000000"/>
        </w:rPr>
        <w:instrText>from=pubmed&amp;amp;id=23010490&amp;amp;retmode=ref&amp;amp;cmd=prlinks&lt;/url&gt;&lt;type&gt;400&lt;/type&gt;&lt;title&gt;Regulation of cnidarian-dinoflagellate mutualisms: Evidence that activation of a host TGF</w:instrText>
      </w:r>
      <w:r>
        <w:rPr>
          <w:rFonts w:cs="Lucida Grande" w:hint="eastAsia"/>
          <w:color w:val="000000"/>
        </w:rPr>
        <w:instrText>β</w:instrText>
      </w:r>
      <w:r>
        <w:rPr>
          <w:rFonts w:cs="Lucida Grande" w:hint="eastAsia"/>
          <w:color w:val="000000"/>
        </w:rPr>
        <w:instrText xml:space="preserve"> innate immune pathway promotes tolerance of the symbiont.&lt;/title&gt;&lt;location&gt;2</w:instrText>
      </w:r>
      <w:r>
        <w:rPr>
          <w:rFonts w:cs="Lucida Grande"/>
          <w:color w:val="000000"/>
        </w:rPr>
        <w:instrText>00,9,44.5628538,-123.2789766&lt;/location&gt;&lt;submission_date&gt;99201206041200000000222000&lt;/submission_date&gt;&lt;number&gt;4&lt;/number&gt;&lt;institution&gt;Department of Zoology, Oregon State University, Corvallis, 97331, USA. olivier@bio-consult.biz&lt;/institution&gt;&lt;subtype&gt;400&lt;/subtype&gt;&lt;endpage&gt;537&lt;/endpage&gt;&lt;bundle&gt;&lt;publication&gt;&lt;publisher&gt;Elsevier Ltd&lt;/publisher&gt;&lt;title&gt;Developmental and comparative immunology&lt;/title&gt;&lt;type&gt;-100&lt;/type&gt;&lt;subtype&gt;-100&lt;/subtype&gt;&lt;uuid&gt;23C0000F-68AD-4505-BF08-DA761101503A&lt;/uuid&gt;&lt;/publication&gt;&lt;/bundle&gt;&lt;authors&gt;&lt;author&gt;&lt;firstName&gt;Olivier&lt;/firstName&gt;&lt;lastName&gt;Detournay&lt;/lastName&gt;&lt;/author&gt;&lt;author&gt;&lt;firstName&gt;Christine&lt;/firstName&gt;&lt;middleNames&gt;E&lt;/middleNames&gt;&lt;lastName&gt;Schnitzler&lt;/lastName&gt;&lt;/author&gt;&lt;author&gt;&lt;firstName&gt;Angela&lt;/firstName&gt;&lt;lastName&gt;Poole&lt;/lastName&gt;&lt;/author&gt;&lt;author&gt;&lt;firstName&gt;Virginia&lt;/firstName&gt;&lt;middleNames&gt;M&lt;/middleNames&gt;&lt;lastName&gt;Weis&lt;/lastName&gt;&lt;/author&gt;&lt;/authors&gt;&lt;/publication&gt;&lt;/publications&gt;&lt;cites&gt;&lt;/cites&gt;&lt;/citation&gt;</w:instrText>
      </w:r>
      <w:r>
        <w:rPr>
          <w:rFonts w:cs="Lucida Grande"/>
          <w:color w:val="000000"/>
        </w:rPr>
        <w:fldChar w:fldCharType="separate"/>
      </w:r>
      <w:r w:rsidRPr="00E87B19">
        <w:rPr>
          <w:rFonts w:ascii="Cambria" w:hAnsi="Cambria" w:cs="Cambria"/>
        </w:rPr>
        <w:t>[62, 63]</w:t>
      </w:r>
      <w:r>
        <w:rPr>
          <w:rFonts w:cs="Lucida Grande"/>
          <w:color w:val="000000"/>
        </w:rPr>
        <w:fldChar w:fldCharType="end"/>
      </w:r>
      <w:r>
        <w:rPr>
          <w:rFonts w:cs="Lucida Grande"/>
          <w:color w:val="000000"/>
        </w:rPr>
        <w:t xml:space="preserve">. Furthermore, the representatives from the </w:t>
      </w:r>
      <w:r>
        <w:t xml:space="preserve">myostatin cluster are found in more protostome and non-bilaterian lineages than the </w:t>
      </w:r>
      <w:r w:rsidRPr="00063AD9">
        <w:t>TGF-</w:t>
      </w:r>
      <w:r w:rsidRPr="00063AD9">
        <w:rPr>
          <w:rFonts w:cs="Lucida Grande"/>
          <w:color w:val="000000"/>
        </w:rPr>
        <w:t>β</w:t>
      </w:r>
      <w:r>
        <w:rPr>
          <w:rFonts w:cs="Lucida Grande"/>
          <w:color w:val="000000"/>
        </w:rPr>
        <w:t xml:space="preserve"> </w:t>
      </w:r>
      <w:r>
        <w:rPr>
          <w:rFonts w:cs="Lucida Grande"/>
          <w:i/>
          <w:color w:val="000000"/>
        </w:rPr>
        <w:t xml:space="preserve">sensu stricto </w:t>
      </w:r>
      <w:r>
        <w:rPr>
          <w:rFonts w:cs="Lucida Grande"/>
          <w:color w:val="000000"/>
        </w:rPr>
        <w:t xml:space="preserve">ligands. Thus, each cluster represents a set of </w:t>
      </w:r>
      <w:r w:rsidRPr="00063AD9">
        <w:t>TGF-</w:t>
      </w:r>
      <w:r w:rsidRPr="00063AD9">
        <w:rPr>
          <w:rFonts w:cs="Lucida Grande"/>
          <w:color w:val="000000"/>
        </w:rPr>
        <w:t>β</w:t>
      </w:r>
      <w:r>
        <w:rPr>
          <w:rFonts w:cs="Lucida Grande"/>
          <w:color w:val="000000"/>
        </w:rPr>
        <w:t>-like ligands that exhibit both sequence similarity and distinct evolutionary origins.</w:t>
      </w:r>
    </w:p>
    <w:p w14:paraId="10A8EC40" w14:textId="77777777" w:rsidR="00057C29" w:rsidRDefault="00057C29" w:rsidP="00057C29">
      <w:pPr>
        <w:rPr>
          <w:rFonts w:cs="Lucida Grande"/>
          <w:color w:val="000000"/>
        </w:rPr>
      </w:pPr>
    </w:p>
    <w:p w14:paraId="3B7BFBC9" w14:textId="77777777" w:rsidR="00057C29" w:rsidRDefault="00057C29" w:rsidP="00057C29">
      <w:pPr>
        <w:rPr>
          <w:rFonts w:cs="Lucida Grande"/>
          <w:color w:val="000000"/>
        </w:rPr>
      </w:pPr>
      <w:r>
        <w:rPr>
          <w:rFonts w:cs="Lucida Grande"/>
          <w:color w:val="000000"/>
        </w:rPr>
        <w:t xml:space="preserve">The other class of </w:t>
      </w:r>
      <w:r w:rsidRPr="00063AD9">
        <w:t>TGF-</w:t>
      </w:r>
      <w:r w:rsidRPr="00063AD9">
        <w:rPr>
          <w:rFonts w:cs="Lucida Grande"/>
          <w:color w:val="000000"/>
        </w:rPr>
        <w:t>β</w:t>
      </w:r>
      <w:r>
        <w:rPr>
          <w:rFonts w:cs="Lucida Grande"/>
          <w:color w:val="000000"/>
        </w:rPr>
        <w:t xml:space="preserve"> ligands is the BMP-like ligands, represented by the human disease genes in Cluster C4. In each of the non-Deuterostome species studied here, Cluster C4 contains at most one ortholog to the full set of human BMP-like ligand disease genes. Generally, that ortholog is an RBH to </w:t>
      </w:r>
      <w:r w:rsidRPr="00B91313">
        <w:rPr>
          <w:rFonts w:cs="Lucida Grande"/>
          <w:i/>
          <w:color w:val="000000"/>
        </w:rPr>
        <w:t>BMP2</w:t>
      </w:r>
      <w:r w:rsidRPr="00B91313">
        <w:rPr>
          <w:rFonts w:cs="Lucida Grande"/>
          <w:color w:val="000000"/>
        </w:rPr>
        <w:t>,</w:t>
      </w:r>
      <w:r>
        <w:rPr>
          <w:rFonts w:cs="Lucida Grande"/>
          <w:color w:val="000000"/>
        </w:rPr>
        <w:t xml:space="preserve"> but not always. T</w:t>
      </w:r>
      <w:r w:rsidRPr="00B91313">
        <w:rPr>
          <w:rFonts w:cs="Lucida Grande"/>
          <w:color w:val="000000"/>
        </w:rPr>
        <w:t xml:space="preserve">his is a case where duplications in the earliest </w:t>
      </w:r>
      <w:r>
        <w:rPr>
          <w:rFonts w:cs="Lucida Grande"/>
          <w:color w:val="000000"/>
        </w:rPr>
        <w:t>Deuterostomes are not determined by the clustering to create a new, unique subfamily of paralogous genes, and using RBH relationships alone would not reveal this level of detail regarding gene family evolution.</w:t>
      </w:r>
    </w:p>
    <w:p w14:paraId="1E773220" w14:textId="77777777" w:rsidR="00057C29" w:rsidRDefault="00057C29" w:rsidP="00057C29">
      <w:pPr>
        <w:rPr>
          <w:rFonts w:cs="Lucida Grande"/>
          <w:color w:val="000000"/>
        </w:rPr>
      </w:pPr>
    </w:p>
    <w:p w14:paraId="5DCAC2E0" w14:textId="77777777" w:rsidR="00057C29" w:rsidRDefault="00057C29" w:rsidP="00057C29">
      <w:pPr>
        <w:rPr>
          <w:rFonts w:cs="Lucida Grande"/>
          <w:color w:val="000000"/>
        </w:rPr>
      </w:pPr>
      <w:r>
        <w:rPr>
          <w:rFonts w:cs="Lucida Grande"/>
          <w:color w:val="000000"/>
        </w:rPr>
        <w:t xml:space="preserve">The </w:t>
      </w:r>
      <w:r w:rsidRPr="00063AD9">
        <w:t>TGF-</w:t>
      </w:r>
      <w:r w:rsidRPr="00063AD9">
        <w:rPr>
          <w:rFonts w:cs="Lucida Grande"/>
          <w:color w:val="000000"/>
        </w:rPr>
        <w:t>β</w:t>
      </w:r>
      <w:r>
        <w:rPr>
          <w:rFonts w:cs="Lucida Grande"/>
          <w:color w:val="000000"/>
        </w:rPr>
        <w:t xml:space="preserve"> receptor genes are generally classified as type </w:t>
      </w:r>
      <w:proofErr w:type="gramStart"/>
      <w:r>
        <w:rPr>
          <w:rFonts w:cs="Lucida Grande"/>
          <w:color w:val="000000"/>
        </w:rPr>
        <w:t>I or type II</w:t>
      </w:r>
      <w:proofErr w:type="gramEnd"/>
      <w:r>
        <w:rPr>
          <w:rFonts w:cs="Lucida Grande"/>
          <w:color w:val="000000"/>
        </w:rPr>
        <w:t xml:space="preserve">; our human disease gene set includes only the type II receptors in Cluster C5. This cluster also contains the human non-disease gene </w:t>
      </w:r>
      <w:r>
        <w:rPr>
          <w:rFonts w:cs="Lucida Grande"/>
          <w:i/>
          <w:color w:val="000000"/>
        </w:rPr>
        <w:t>ACVR2A</w:t>
      </w:r>
      <w:r>
        <w:rPr>
          <w:rFonts w:cs="Lucida Grande"/>
          <w:color w:val="000000"/>
        </w:rPr>
        <w:t xml:space="preserve"> (data not shown). We note that a </w:t>
      </w:r>
      <w:r w:rsidRPr="00063AD9">
        <w:t>TGF-</w:t>
      </w:r>
      <w:r w:rsidRPr="00063AD9">
        <w:rPr>
          <w:rFonts w:cs="Lucida Grande"/>
          <w:color w:val="000000"/>
        </w:rPr>
        <w:t>β</w:t>
      </w:r>
      <w:r>
        <w:rPr>
          <w:rFonts w:cs="Lucida Grande"/>
          <w:color w:val="000000"/>
        </w:rPr>
        <w:t xml:space="preserve"> type II receptor was previously identified in </w:t>
      </w:r>
      <w:r>
        <w:rPr>
          <w:rFonts w:cs="Lucida Grande"/>
          <w:i/>
          <w:color w:val="000000"/>
        </w:rPr>
        <w:t>M. leidyi</w:t>
      </w:r>
      <w:r>
        <w:rPr>
          <w:rFonts w:cs="Lucida Grande"/>
          <w:color w:val="000000"/>
        </w:rPr>
        <w:t xml:space="preserve"> </w:t>
      </w:r>
      <w:r>
        <w:rPr>
          <w:rFonts w:cs="Lucida Grande"/>
          <w:color w:val="000000"/>
        </w:rPr>
        <w:fldChar w:fldCharType="begin"/>
      </w:r>
      <w:r>
        <w:rPr>
          <w:rFonts w:cs="Lucida Grande"/>
          <w:color w:val="000000"/>
        </w:rPr>
        <w:instrText xml:space="preserve"> ADDIN PAPERS2_CITATIONS &lt;citation&gt;&lt;uuid&gt;5A3A1849-028C-404E-A166-C00FEFE0816B&lt;/uuid&gt;&lt;priority&gt;67&lt;/priority&gt;&lt;publications&gt;&lt;publication&gt;&lt;volume&gt;6&lt;/volume&gt;&lt;publication_date&gt;99201100001200000000200000&lt;/publication_date&gt;&lt;number&gt;9&lt;/number&gt;&lt;doi&gt;10.1371/journal.p</w:instrText>
      </w:r>
      <w:r>
        <w:rPr>
          <w:rFonts w:cs="Lucida Grande" w:hint="eastAsia"/>
          <w:color w:val="000000"/>
        </w:rPr>
        <w:instrText>one.0024152.t002&lt;/doi&gt;&lt;startpage&gt;e24152&lt;/startpage&gt;&lt;title&gt;Evolution of the TGF-</w:instrText>
      </w:r>
      <w:r>
        <w:rPr>
          <w:rFonts w:cs="Lucida Grande" w:hint="eastAsia"/>
          <w:color w:val="000000"/>
        </w:rPr>
        <w:instrText>β</w:instrText>
      </w:r>
      <w:r>
        <w:rPr>
          <w:rFonts w:cs="Lucida Grande" w:hint="eastAsia"/>
          <w:color w:val="000000"/>
        </w:rPr>
        <w:instrText xml:space="preserve"> Signaling Pathway and Its Potential Role in the Ctenophore, Mnemiopsis leidyi&lt;/title&gt;&lt;uuid&gt;4C58045C-EE99-4F2A-9F09-D9BB0D246F00&lt;/uuid&gt;&lt;subtype&gt;400&lt;/subtype&gt;&lt;publisher&gt;Public </w:instrText>
      </w:r>
      <w:r>
        <w:rPr>
          <w:rFonts w:cs="Lucida Grande"/>
          <w:color w:val="000000"/>
        </w:rPr>
        <w:instrText>Library of Science&lt;/publisher&gt;&lt;type&gt;400&lt;/type&gt;&lt;url&gt;http://dx.plos.org/10.1371/journal.pone.0024152&lt;/url&gt;&lt;bundle&gt;&lt;publication&gt;&lt;url&gt;http://www.plosone.org/&lt;/url&gt;&lt;title&gt;PLoS One&lt;/title&gt;&lt;type&gt;-100&lt;/type&gt;&lt;subtype&gt;-100&lt;/subtype&gt;&lt;uuid&gt;77078747-A905-49C1-AF77-29BE7FBE63FA&lt;/uuid&gt;&lt;/publication&gt;&lt;/bundle&gt;&lt;authors&gt;&lt;author&gt;&lt;firstName&gt;K.&lt;/firstName&gt;&lt;lastName&gt;Pang&lt;/lastName&gt;&lt;/author&gt;&lt;author&gt;&lt;firstName&gt;J.F.&lt;/firstName&gt;&lt;lastName&gt;Ryan&lt;/lastName&gt;&lt;/author&gt;&lt;author&gt;&lt;firstName&gt;A.D.&lt;/firstName&gt;&lt;lastName&gt;Baxevanis&lt;/lastName&gt;&lt;/author&gt;&lt;author&gt;&lt;firstName&gt;M&lt;/firstName&gt;&lt;middleNames&gt;Q&lt;/middleNames&gt;&lt;lastName&gt;Martindale&lt;/lastName&gt;&lt;/author&gt;&lt;/authors&gt;&lt;/publication&gt;&lt;/publications&gt;&lt;cites&gt;&lt;/cites&gt;&lt;/citation&gt;</w:instrText>
      </w:r>
      <w:r>
        <w:rPr>
          <w:rFonts w:cs="Lucida Grande"/>
          <w:color w:val="000000"/>
        </w:rPr>
        <w:fldChar w:fldCharType="separate"/>
      </w:r>
      <w:r w:rsidRPr="00E87B19">
        <w:rPr>
          <w:rFonts w:ascii="Cambria" w:hAnsi="Cambria" w:cs="Cambria"/>
        </w:rPr>
        <w:t>[62]</w:t>
      </w:r>
      <w:r>
        <w:rPr>
          <w:rFonts w:cs="Lucida Grande"/>
          <w:color w:val="000000"/>
        </w:rPr>
        <w:fldChar w:fldCharType="end"/>
      </w:r>
      <w:r>
        <w:rPr>
          <w:rFonts w:cs="Lucida Grande"/>
          <w:color w:val="000000"/>
        </w:rPr>
        <w:t>, but was an outgroup to the rest of the gene family, explaining why it was likely excluded from this cluster.</w:t>
      </w:r>
    </w:p>
    <w:p w14:paraId="46A2EFA1" w14:textId="77777777" w:rsidR="00057C29" w:rsidRDefault="00057C29" w:rsidP="00057C29">
      <w:pPr>
        <w:rPr>
          <w:rFonts w:cs="Lucida Grande"/>
          <w:color w:val="000000"/>
        </w:rPr>
      </w:pPr>
    </w:p>
    <w:p w14:paraId="73CFCEAC" w14:textId="77777777" w:rsidR="00057C29" w:rsidRPr="00021FCD" w:rsidRDefault="00057C29" w:rsidP="00057C29">
      <w:pPr>
        <w:rPr>
          <w:rFonts w:cs="Lucida Grande"/>
          <w:color w:val="000000"/>
        </w:rPr>
      </w:pPr>
      <w:r>
        <w:rPr>
          <w:rFonts w:cs="Lucida Grande"/>
          <w:color w:val="000000"/>
        </w:rPr>
        <w:t xml:space="preserve">Lastly, the </w:t>
      </w:r>
      <w:r w:rsidRPr="000D2114">
        <w:rPr>
          <w:rFonts w:cs="Lucida Grande"/>
          <w:color w:val="000000"/>
        </w:rPr>
        <w:t>SMAD</w:t>
      </w:r>
      <w:r>
        <w:rPr>
          <w:rFonts w:cs="Lucida Grande"/>
          <w:color w:val="000000"/>
        </w:rPr>
        <w:t xml:space="preserve"> proteins are important to the </w:t>
      </w:r>
      <w:r w:rsidRPr="00063AD9">
        <w:t>TGF-</w:t>
      </w:r>
      <w:r w:rsidRPr="00063AD9">
        <w:rPr>
          <w:rFonts w:cs="Lucida Grande"/>
          <w:color w:val="000000"/>
        </w:rPr>
        <w:t>β</w:t>
      </w:r>
      <w:r>
        <w:rPr>
          <w:rFonts w:cs="Lucida Grande"/>
          <w:color w:val="000000"/>
        </w:rPr>
        <w:t xml:space="preserve"> signaling pathway. Our human disease gene set contains five </w:t>
      </w:r>
      <w:r>
        <w:rPr>
          <w:rFonts w:cs="Lucida Grande"/>
          <w:i/>
          <w:color w:val="000000"/>
        </w:rPr>
        <w:t>SMAD</w:t>
      </w:r>
      <w:r>
        <w:rPr>
          <w:rFonts w:cs="Lucida Grande"/>
          <w:color w:val="000000"/>
        </w:rPr>
        <w:t xml:space="preserve"> genes that are grouped into three meaningful clusters. The inhibitory I-SMADs (</w:t>
      </w:r>
      <w:r>
        <w:rPr>
          <w:rFonts w:cs="Lucida Grande"/>
          <w:i/>
          <w:color w:val="000000"/>
        </w:rPr>
        <w:t>SMAD6</w:t>
      </w:r>
      <w:r>
        <w:rPr>
          <w:rFonts w:cs="Lucida Grande"/>
          <w:color w:val="000000"/>
        </w:rPr>
        <w:t xml:space="preserve"> and </w:t>
      </w:r>
      <w:r>
        <w:rPr>
          <w:rFonts w:cs="Lucida Grande"/>
          <w:i/>
          <w:color w:val="000000"/>
        </w:rPr>
        <w:t>SMAD7</w:t>
      </w:r>
      <w:r>
        <w:rPr>
          <w:rFonts w:cs="Lucida Grande"/>
          <w:color w:val="000000"/>
        </w:rPr>
        <w:t xml:space="preserve">) form Clusters C6 and C7, whereas the receptor-associated SMADs (R-SMADs) and common-mediator SMADs (Co-SMADs) group in Cluster C8. This clustering is logical because the non-inhibitory R-SMADs and Co-SMADs have multiple orthologs in the earliest metazoans </w:t>
      </w:r>
      <w:r>
        <w:rPr>
          <w:rFonts w:cs="Lucida Grande"/>
          <w:color w:val="000000"/>
        </w:rPr>
        <w:fldChar w:fldCharType="begin"/>
      </w:r>
      <w:r>
        <w:rPr>
          <w:rFonts w:cs="Lucida Grande"/>
          <w:color w:val="000000"/>
        </w:rPr>
        <w:instrText xml:space="preserve"> ADDIN PAPERS2_CITATIONS &lt;citation&gt;&lt;uuid&gt;2EB4ADAE-BC98-448A-8AD0-919909AC159A&lt;/uuid&gt;&lt;priority&gt;68&lt;/priority&gt;&lt;publications&gt;&lt;publication&gt;&lt;volume&gt;6&lt;/volume&gt;&lt;publication_date&gt;99201100001200000000200000&lt;/publication_date&gt;&lt;number&gt;9&lt;/number&gt;&lt;doi&gt;10.1371/journal.p</w:instrText>
      </w:r>
      <w:r>
        <w:rPr>
          <w:rFonts w:cs="Lucida Grande" w:hint="eastAsia"/>
          <w:color w:val="000000"/>
        </w:rPr>
        <w:instrText>one.0024152.t002&lt;/doi&gt;&lt;startpage&gt;e24152&lt;/startpage&gt;&lt;title&gt;Evolution of the TGF-</w:instrText>
      </w:r>
      <w:r>
        <w:rPr>
          <w:rFonts w:cs="Lucida Grande" w:hint="eastAsia"/>
          <w:color w:val="000000"/>
        </w:rPr>
        <w:instrText>β</w:instrText>
      </w:r>
      <w:r>
        <w:rPr>
          <w:rFonts w:cs="Lucida Grande" w:hint="eastAsia"/>
          <w:color w:val="000000"/>
        </w:rPr>
        <w:instrText xml:space="preserve"> Signaling Pathway and Its Potential Role in the Ctenophore, Mnemiopsis leidyi&lt;/title&gt;&lt;uuid&gt;4C58045C-EE99-4F2A-9F09-D9BB0D246F00&lt;/uuid&gt;&lt;subtype&gt;400&lt;/subtype&gt;&lt;publisher&gt;Public </w:instrText>
      </w:r>
      <w:r>
        <w:rPr>
          <w:rFonts w:cs="Lucida Grande"/>
          <w:color w:val="000000"/>
        </w:rPr>
        <w:instrText>Library of Science&lt;/publisher&gt;&lt;type&gt;400&lt;/type&gt;&lt;url&gt;http://dx.plos.org/10.1371/journal.pone.0024152&lt;/url&gt;&lt;bundle&gt;&lt;publication&gt;&lt;url&gt;http://www.plosone.org/&lt;/url&gt;&lt;title&gt;PLoS One&lt;/title&gt;&lt;type&gt;-100&lt;/type&gt;&lt;subtype&gt;-100&lt;/subtype&gt;&lt;uuid&gt;77078747-A905-49C1-AF77-29BE7FBE63FA&lt;/uuid&gt;&lt;/publication&gt;&lt;/bundle&gt;&lt;authors&gt;&lt;author&gt;&lt;firstName&gt;K.&lt;/firstName&gt;&lt;lastName&gt;Pang&lt;/lastName&gt;&lt;/author&gt;&lt;author&gt;&lt;firstName&gt;J.F.&lt;/firstName&gt;&lt;lastName&gt;Ryan&lt;/lastName&gt;&lt;/author&gt;&lt;author&gt;&lt;firstName&gt;A.D.&lt;/firstName&gt;&lt;lastName&gt;Baxevanis&lt;/lastName&gt;&lt;/author&gt;&lt;author&gt;&lt;firstName&gt;M&lt;/firstName&gt;&lt;middleNames&gt;Q&lt;/middleNames&gt;&lt;lastName&gt;Martindale&lt;/lastName&gt;&lt;/author&gt;&lt;/authors&gt;&lt;/publication&gt;&lt;/publications&gt;&lt;cites&gt;&lt;/cites&gt;&lt;/citation&gt;</w:instrText>
      </w:r>
      <w:r>
        <w:rPr>
          <w:rFonts w:cs="Lucida Grande"/>
          <w:color w:val="000000"/>
        </w:rPr>
        <w:fldChar w:fldCharType="separate"/>
      </w:r>
      <w:r w:rsidRPr="00E87B19">
        <w:rPr>
          <w:rFonts w:ascii="Cambria" w:hAnsi="Cambria" w:cs="Cambria"/>
        </w:rPr>
        <w:t>[62]</w:t>
      </w:r>
      <w:r>
        <w:rPr>
          <w:rFonts w:cs="Lucida Grande"/>
          <w:color w:val="000000"/>
        </w:rPr>
        <w:fldChar w:fldCharType="end"/>
      </w:r>
      <w:r>
        <w:rPr>
          <w:rFonts w:cs="Lucida Grande"/>
          <w:color w:val="000000"/>
        </w:rPr>
        <w:t xml:space="preserve">, suggesting the entire class is defined by its early origins opposed to more recent duplications and/or divergence. In addition to the human disease genes shown, Cluster C8 also contains other non-disease-associated SMADs: </w:t>
      </w:r>
      <w:r>
        <w:rPr>
          <w:rFonts w:cs="Lucida Grande"/>
          <w:i/>
          <w:color w:val="000000"/>
        </w:rPr>
        <w:t>SMAD2</w:t>
      </w:r>
      <w:r>
        <w:rPr>
          <w:rFonts w:cs="Lucida Grande"/>
          <w:color w:val="000000"/>
        </w:rPr>
        <w:t xml:space="preserve">, </w:t>
      </w:r>
      <w:r>
        <w:rPr>
          <w:rFonts w:cs="Lucida Grande"/>
          <w:i/>
          <w:color w:val="000000"/>
        </w:rPr>
        <w:t>SMAD5</w:t>
      </w:r>
      <w:r>
        <w:rPr>
          <w:rFonts w:cs="Lucida Grande"/>
          <w:color w:val="000000"/>
        </w:rPr>
        <w:t xml:space="preserve">, and </w:t>
      </w:r>
      <w:r>
        <w:rPr>
          <w:rFonts w:cs="Lucida Grande"/>
          <w:i/>
          <w:color w:val="000000"/>
        </w:rPr>
        <w:t xml:space="preserve">SMAD9 </w:t>
      </w:r>
      <w:r>
        <w:rPr>
          <w:rFonts w:cs="Lucida Grande"/>
          <w:color w:val="000000"/>
        </w:rPr>
        <w:t xml:space="preserve">(data not shown). On the other hand, the inhibitory I-SMADs in Clusters C6 and C7 are similar to each other (and distinct from the R/Co-SMADs), but have different evolutionary origins. </w:t>
      </w:r>
      <w:r>
        <w:rPr>
          <w:rFonts w:cs="Lucida Grande"/>
          <w:i/>
          <w:color w:val="000000"/>
        </w:rPr>
        <w:t>SMAD6</w:t>
      </w:r>
      <w:r>
        <w:rPr>
          <w:rFonts w:cs="Lucida Grande"/>
          <w:color w:val="000000"/>
        </w:rPr>
        <w:t xml:space="preserve"> has distant orthologs in many protostomes and non-bilaterian metazoans </w:t>
      </w:r>
      <w:r>
        <w:rPr>
          <w:rFonts w:cs="Lucida Grande"/>
          <w:color w:val="000000"/>
        </w:rPr>
        <w:fldChar w:fldCharType="begin"/>
      </w:r>
      <w:r>
        <w:rPr>
          <w:rFonts w:cs="Lucida Grande"/>
          <w:color w:val="000000"/>
        </w:rPr>
        <w:instrText xml:space="preserve"> ADDIN PAPERS2_CITATIONS &lt;citation&gt;&lt;uuid&gt;EB5A0DC6-A56E-43EE-B202-E6C11CB61093&lt;/uuid&gt;&lt;priority&gt;69&lt;/priority&gt;&lt;publications&gt;&lt;publication&gt;&lt;volume&gt;6&lt;/volume&gt;&lt;publication_date&gt;99201100001200000000200000&lt;/publication_date&gt;&lt;number&gt;9&lt;/number&gt;&lt;doi&gt;10.1371/journal.p</w:instrText>
      </w:r>
      <w:r>
        <w:rPr>
          <w:rFonts w:cs="Lucida Grande" w:hint="eastAsia"/>
          <w:color w:val="000000"/>
        </w:rPr>
        <w:instrText>one.0024152.t002&lt;/doi&gt;&lt;startpage&gt;e24152&lt;/startpage&gt;&lt;title&gt;Evolution of the TGF-</w:instrText>
      </w:r>
      <w:r>
        <w:rPr>
          <w:rFonts w:cs="Lucida Grande" w:hint="eastAsia"/>
          <w:color w:val="000000"/>
        </w:rPr>
        <w:instrText>β</w:instrText>
      </w:r>
      <w:r>
        <w:rPr>
          <w:rFonts w:cs="Lucida Grande" w:hint="eastAsia"/>
          <w:color w:val="000000"/>
        </w:rPr>
        <w:instrText xml:space="preserve"> Signaling Pathway and Its Potential Role in the Ctenophore, Mnemiopsis leidyi&lt;/title&gt;&lt;uuid&gt;4C58045C-EE99-4F2A-9F09-D9BB0D246F00&lt;/uuid&gt;&lt;subtype&gt;400&lt;/subtype&gt;&lt;publisher&gt;Public </w:instrText>
      </w:r>
      <w:r>
        <w:rPr>
          <w:rFonts w:cs="Lucida Grande"/>
          <w:color w:val="000000"/>
        </w:rPr>
        <w:instrText>Library of Science&lt;/publisher&gt;&lt;type&gt;400&lt;/type&gt;&lt;url&gt;http://dx.plos.org/10.1371/journal.pone.0024152&lt;/url&gt;&lt;bundle&gt;&lt;publication&gt;&lt;url&gt;http://www.plosone.org/&lt;/url&gt;&lt;title&gt;PLoS One&lt;/title&gt;&lt;type&gt;-100&lt;/type&gt;&lt;subtype&gt;-100&lt;/subtype&gt;&lt;uuid&gt;77078747-A905-49C1-AF77-29BE7FBE63FA&lt;/uuid&gt;&lt;/publication&gt;&lt;/bundle&gt;&lt;authors&gt;&lt;author&gt;&lt;firstName&gt;K.&lt;/firstName&gt;&lt;lastName&gt;Pang&lt;/lastName&gt;&lt;/author&gt;&lt;author&gt;&lt;firstName&gt;J.F.&lt;/firstName&gt;&lt;lastName&gt;Ryan&lt;/lastName&gt;&lt;/author&gt;&lt;author&gt;&lt;firstName&gt;A.D.&lt;/firstName&gt;&lt;lastName&gt;Baxevanis&lt;/lastName&gt;&lt;/author&gt;&lt;author&gt;&lt;firstName&gt;M&lt;/firstName&gt;&lt;middleNames&gt;Q&lt;/middleNames&gt;&lt;lastName&gt;Martindale&lt;/lastName&gt;&lt;/author&gt;&lt;/authors&gt;&lt;/publication&gt;&lt;/publications&gt;&lt;cites&gt;&lt;/cites&gt;&lt;/citation&gt;</w:instrText>
      </w:r>
      <w:r>
        <w:rPr>
          <w:rFonts w:cs="Lucida Grande"/>
          <w:color w:val="000000"/>
        </w:rPr>
        <w:fldChar w:fldCharType="separate"/>
      </w:r>
      <w:r w:rsidRPr="00E87B19">
        <w:rPr>
          <w:rFonts w:ascii="Cambria" w:hAnsi="Cambria" w:cs="Cambria"/>
        </w:rPr>
        <w:t>[62]</w:t>
      </w:r>
      <w:r>
        <w:rPr>
          <w:rFonts w:cs="Lucida Grande"/>
          <w:color w:val="000000"/>
        </w:rPr>
        <w:fldChar w:fldCharType="end"/>
      </w:r>
      <w:r>
        <w:rPr>
          <w:rFonts w:cs="Lucida Grande"/>
          <w:color w:val="000000"/>
        </w:rPr>
        <w:t xml:space="preserve">, but </w:t>
      </w:r>
      <w:r>
        <w:rPr>
          <w:rFonts w:cs="Lucida Grande"/>
          <w:i/>
          <w:color w:val="000000"/>
        </w:rPr>
        <w:t>SMAD7</w:t>
      </w:r>
      <w:r>
        <w:rPr>
          <w:rFonts w:cs="Lucida Grande"/>
          <w:color w:val="000000"/>
        </w:rPr>
        <w:t xml:space="preserve"> appears to be a paralog of </w:t>
      </w:r>
      <w:r>
        <w:rPr>
          <w:rFonts w:cs="Lucida Grande"/>
          <w:i/>
          <w:color w:val="000000"/>
        </w:rPr>
        <w:t>SMAD6</w:t>
      </w:r>
      <w:r>
        <w:rPr>
          <w:rFonts w:cs="Lucida Grande"/>
          <w:color w:val="000000"/>
        </w:rPr>
        <w:t xml:space="preserve"> that arose from a duplication in the early vertebrates. In this case, the clusters separate the two into distinct, meaningful classes of I-SMADs.</w:t>
      </w:r>
    </w:p>
    <w:p w14:paraId="06389EDD" w14:textId="77777777" w:rsidR="00057C29" w:rsidRDefault="00057C29" w:rsidP="00057C29">
      <w:pPr>
        <w:rPr>
          <w:rFonts w:cs="Lucida Grande"/>
          <w:color w:val="000000"/>
        </w:rPr>
      </w:pPr>
    </w:p>
    <w:p w14:paraId="79C0B96E" w14:textId="453339DC" w:rsidR="00C664DB" w:rsidRPr="00057C29" w:rsidRDefault="00057C29" w:rsidP="00057C29">
      <w:r>
        <w:rPr>
          <w:rFonts w:cs="Lucida Grande"/>
          <w:color w:val="000000"/>
        </w:rPr>
        <w:t xml:space="preserve">Finally, we highlight one potential drawback of our clusters based on Cluster C8. An ortholog is identified in both of the non-metazoans </w:t>
      </w:r>
      <w:r>
        <w:rPr>
          <w:rFonts w:cs="Lucida Grande"/>
          <w:i/>
          <w:color w:val="000000"/>
        </w:rPr>
        <w:t xml:space="preserve">C. owczarzaki </w:t>
      </w:r>
      <w:r>
        <w:rPr>
          <w:rFonts w:cs="Lucida Grande"/>
          <w:color w:val="000000"/>
        </w:rPr>
        <w:t xml:space="preserve">and </w:t>
      </w:r>
      <w:r>
        <w:rPr>
          <w:rFonts w:cs="Lucida Grande"/>
          <w:i/>
          <w:color w:val="000000"/>
        </w:rPr>
        <w:t xml:space="preserve">M. </w:t>
      </w:r>
      <w:r w:rsidRPr="00A1251C">
        <w:rPr>
          <w:rFonts w:cs="Lucida Grande"/>
          <w:i/>
          <w:color w:val="000000"/>
        </w:rPr>
        <w:t>brevicollis</w:t>
      </w:r>
      <w:r>
        <w:rPr>
          <w:rFonts w:cs="Lucida Grande"/>
          <w:color w:val="000000"/>
        </w:rPr>
        <w:t xml:space="preserve">, although these species are not known to have any SMAD proteins </w:t>
      </w:r>
      <w:r>
        <w:rPr>
          <w:rFonts w:cs="Lucida Grande"/>
          <w:color w:val="000000"/>
        </w:rPr>
        <w:fldChar w:fldCharType="begin"/>
      </w:r>
      <w:r>
        <w:rPr>
          <w:rFonts w:cs="Lucida Grande"/>
          <w:color w:val="000000"/>
        </w:rPr>
        <w:instrText xml:space="preserve"> ADDIN PAPERS2_CITATIONS &lt;citation&gt;&lt;uuid&gt;4DD1E7F2-E689-49EB-9454-8CC0574F3EB3&lt;/uuid&gt;&lt;priority&gt;70&lt;/priority&gt;&lt;publications&gt;&lt;publication&gt;&lt;volume&gt;6&lt;/volume&gt;&lt;publication_date&gt;99201100001200000000200000&lt;/publication_date&gt;&lt;number&gt;9&lt;/number&gt;&lt;doi&gt;10.1371/journal.p</w:instrText>
      </w:r>
      <w:r>
        <w:rPr>
          <w:rFonts w:cs="Lucida Grande" w:hint="eastAsia"/>
          <w:color w:val="000000"/>
        </w:rPr>
        <w:instrText>one.0024152.t002&lt;/doi&gt;&lt;startpage&gt;e24152&lt;/startpage&gt;&lt;title&gt;Evolution of the TGF-</w:instrText>
      </w:r>
      <w:r>
        <w:rPr>
          <w:rFonts w:cs="Lucida Grande" w:hint="eastAsia"/>
          <w:color w:val="000000"/>
        </w:rPr>
        <w:instrText>β</w:instrText>
      </w:r>
      <w:r>
        <w:rPr>
          <w:rFonts w:cs="Lucida Grande" w:hint="eastAsia"/>
          <w:color w:val="000000"/>
        </w:rPr>
        <w:instrText xml:space="preserve"> Signaling Pathway and Its Potential Role in the Ctenophore, Mnemiopsis leidyi&lt;/title&gt;&lt;uuid&gt;4C58045C-EE99-4F2A-9F09-D9BB0D246F00&lt;/uuid&gt;&lt;subtype&gt;400&lt;/subtype&gt;&lt;publisher&gt;Public </w:instrText>
      </w:r>
      <w:r>
        <w:rPr>
          <w:rFonts w:cs="Lucida Grande"/>
          <w:color w:val="000000"/>
        </w:rPr>
        <w:instrText>Library of Science&lt;/publisher&gt;&lt;type&gt;400&lt;/type&gt;&lt;url&gt;http://dx.plos.org/10.1371/journal.pone.0024152&lt;/url&gt;&lt;bundle&gt;&lt;publication&gt;&lt;url&gt;http://www.plosone.org/&lt;/url&gt;&lt;title&gt;PLoS One&lt;/title&gt;&lt;type&gt;-100&lt;/type&gt;&lt;subtype&gt;-100&lt;/subtype&gt;&lt;uuid&gt;77078747-A905-49C1-AF77-29BE7FBE63FA&lt;/uuid&gt;&lt;/publication&gt;&lt;/bundle&gt;&lt;authors&gt;&lt;author&gt;&lt;firstName&gt;K.&lt;/firstName&gt;&lt;lastName&gt;Pang&lt;/lastName&gt;&lt;/author&gt;&lt;author&gt;&lt;firstName&gt;J.F.&lt;/firstName&gt;&lt;lastName&gt;Ryan&lt;/lastName&gt;&lt;/author&gt;&lt;author&gt;&lt;firstName&gt;A.D.&lt;/firstName&gt;&lt;lastName&gt;Baxevanis&lt;/lastName&gt;&lt;/author&gt;&lt;author&gt;&lt;firstName&gt;M&lt;/firstName&gt;&lt;middleNames&gt;Q&lt;/middleNames&gt;&lt;lastName&gt;Martindale&lt;/lastName&gt;&lt;/author&gt;&lt;/authors&gt;&lt;/publication&gt;&lt;/publications&gt;&lt;cites&gt;&lt;/cites&gt;&lt;/citation&gt;</w:instrText>
      </w:r>
      <w:r>
        <w:rPr>
          <w:rFonts w:cs="Lucida Grande"/>
          <w:color w:val="000000"/>
        </w:rPr>
        <w:fldChar w:fldCharType="separate"/>
      </w:r>
      <w:r w:rsidRPr="00E87B19">
        <w:rPr>
          <w:rFonts w:ascii="Cambria" w:hAnsi="Cambria" w:cs="Cambria"/>
        </w:rPr>
        <w:t>[62]</w:t>
      </w:r>
      <w:r>
        <w:rPr>
          <w:rFonts w:cs="Lucida Grande"/>
          <w:color w:val="000000"/>
        </w:rPr>
        <w:fldChar w:fldCharType="end"/>
      </w:r>
      <w:r>
        <w:rPr>
          <w:rFonts w:cs="Lucida Grande"/>
          <w:color w:val="000000"/>
        </w:rPr>
        <w:t xml:space="preserve">. Upon further inspection, this cluster includes the </w:t>
      </w:r>
      <w:r>
        <w:rPr>
          <w:rFonts w:cs="Lucida Grande"/>
          <w:i/>
          <w:color w:val="000000"/>
        </w:rPr>
        <w:t>A. queenslandica</w:t>
      </w:r>
      <w:r>
        <w:rPr>
          <w:rFonts w:cs="Lucida Grande"/>
          <w:color w:val="000000"/>
        </w:rPr>
        <w:t xml:space="preserve"> predicted protein Aqu1.225807, which appears to be a SMAD protein merged with a Translin protein. This likely represents an incorrectly predicted protein model fusing two separate genes, or alternatively, a novel protein not seen in any other species. As a result, the Translin family of proteins was grouped with the SMAD proteins in this cluster, resulting in orthologs being identified in these non-metazoans to the human Translin gene (data not shown). Thus, using a combined sequence similarity and phylogenetic tree-based clustering method is inherently sensitive to cases where a single inaccurately predicted protein can affect the entire family classification. Fortunately, these situations are uncommon, but nonetheless demonstrate the importance of using high-quality sequence data from well-annotated genome projects. It also highlights the utility of considering the RBH results as complementary to our clusters, because the non-metazoan Translin orthologs are not RBHs to the SMAD proteins in the human disease gene set.</w:t>
      </w:r>
      <w:bookmarkStart w:id="0" w:name="_GoBack"/>
      <w:bookmarkEnd w:id="0"/>
    </w:p>
    <w:sectPr w:rsidR="00C664DB" w:rsidRPr="00057C29" w:rsidSect="00ED47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F4D54"/>
    <w:multiLevelType w:val="hybridMultilevel"/>
    <w:tmpl w:val="28968DB6"/>
    <w:lvl w:ilvl="0" w:tplc="58345062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15"/>
    <w:rsid w:val="00021FCD"/>
    <w:rsid w:val="000243DF"/>
    <w:rsid w:val="00047ED8"/>
    <w:rsid w:val="00057C29"/>
    <w:rsid w:val="00063AD9"/>
    <w:rsid w:val="00085D53"/>
    <w:rsid w:val="000A2BD1"/>
    <w:rsid w:val="000B4315"/>
    <w:rsid w:val="000D2114"/>
    <w:rsid w:val="000E7552"/>
    <w:rsid w:val="000F6717"/>
    <w:rsid w:val="00187743"/>
    <w:rsid w:val="00195E1F"/>
    <w:rsid w:val="00196F63"/>
    <w:rsid w:val="00197697"/>
    <w:rsid w:val="001B3538"/>
    <w:rsid w:val="001B6348"/>
    <w:rsid w:val="00222C0C"/>
    <w:rsid w:val="002814F2"/>
    <w:rsid w:val="002B62B0"/>
    <w:rsid w:val="002C6FB7"/>
    <w:rsid w:val="002E2A86"/>
    <w:rsid w:val="00374AF6"/>
    <w:rsid w:val="003E3817"/>
    <w:rsid w:val="00404059"/>
    <w:rsid w:val="004129E3"/>
    <w:rsid w:val="0042261C"/>
    <w:rsid w:val="004614CC"/>
    <w:rsid w:val="004F38D5"/>
    <w:rsid w:val="00573CA7"/>
    <w:rsid w:val="005C3A9C"/>
    <w:rsid w:val="005D1268"/>
    <w:rsid w:val="005E6739"/>
    <w:rsid w:val="00600AD6"/>
    <w:rsid w:val="006138A7"/>
    <w:rsid w:val="00675CDC"/>
    <w:rsid w:val="0068022E"/>
    <w:rsid w:val="006A765E"/>
    <w:rsid w:val="0072624E"/>
    <w:rsid w:val="007307A3"/>
    <w:rsid w:val="00742E6E"/>
    <w:rsid w:val="007663AB"/>
    <w:rsid w:val="007A71B1"/>
    <w:rsid w:val="007B6F59"/>
    <w:rsid w:val="008168CE"/>
    <w:rsid w:val="008714D8"/>
    <w:rsid w:val="00884956"/>
    <w:rsid w:val="008A2954"/>
    <w:rsid w:val="008A5E83"/>
    <w:rsid w:val="008D681D"/>
    <w:rsid w:val="008E524C"/>
    <w:rsid w:val="008F397E"/>
    <w:rsid w:val="008F79FE"/>
    <w:rsid w:val="00900CC8"/>
    <w:rsid w:val="00926813"/>
    <w:rsid w:val="009870BC"/>
    <w:rsid w:val="009B0F41"/>
    <w:rsid w:val="009C2521"/>
    <w:rsid w:val="009F4746"/>
    <w:rsid w:val="00A1251C"/>
    <w:rsid w:val="00A35167"/>
    <w:rsid w:val="00A93816"/>
    <w:rsid w:val="00AC770C"/>
    <w:rsid w:val="00AE44F2"/>
    <w:rsid w:val="00AF2B0C"/>
    <w:rsid w:val="00B26415"/>
    <w:rsid w:val="00B91313"/>
    <w:rsid w:val="00BD2C32"/>
    <w:rsid w:val="00C121C9"/>
    <w:rsid w:val="00C664DB"/>
    <w:rsid w:val="00CA6030"/>
    <w:rsid w:val="00D27704"/>
    <w:rsid w:val="00D40075"/>
    <w:rsid w:val="00D413A9"/>
    <w:rsid w:val="00D41A34"/>
    <w:rsid w:val="00D53161"/>
    <w:rsid w:val="00D80645"/>
    <w:rsid w:val="00DB5CA7"/>
    <w:rsid w:val="00E86673"/>
    <w:rsid w:val="00EB75AC"/>
    <w:rsid w:val="00ED470F"/>
    <w:rsid w:val="00F32E36"/>
    <w:rsid w:val="00F53069"/>
    <w:rsid w:val="00F90197"/>
    <w:rsid w:val="00FD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CCF8D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C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E2A86"/>
    <w:rPr>
      <w:i/>
      <w:iCs/>
    </w:rPr>
  </w:style>
  <w:style w:type="paragraph" w:styleId="ListParagraph">
    <w:name w:val="List Paragraph"/>
    <w:basedOn w:val="Normal"/>
    <w:uiPriority w:val="34"/>
    <w:qFormat/>
    <w:rsid w:val="008F79F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2261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61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61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61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6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61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61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C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E2A86"/>
    <w:rPr>
      <w:i/>
      <w:iCs/>
    </w:rPr>
  </w:style>
  <w:style w:type="paragraph" w:styleId="ListParagraph">
    <w:name w:val="List Paragraph"/>
    <w:basedOn w:val="Normal"/>
    <w:uiPriority w:val="34"/>
    <w:qFormat/>
    <w:rsid w:val="008F79F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2261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61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61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61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6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261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61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7642</Words>
  <Characters>43564</Characters>
  <Application>Microsoft Macintosh Word</Application>
  <DocSecurity>0</DocSecurity>
  <Lines>363</Lines>
  <Paragraphs>102</Paragraphs>
  <ScaleCrop>false</ScaleCrop>
  <Company>NHGRI / National Institutes of Health</Company>
  <LinksUpToDate>false</LinksUpToDate>
  <CharactersWithSpaces>51104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Maxwell</dc:creator>
  <cp:keywords/>
  <dc:description/>
  <cp:lastModifiedBy>Evan Maxwell</cp:lastModifiedBy>
  <cp:revision>10</cp:revision>
  <dcterms:created xsi:type="dcterms:W3CDTF">2013-10-18T14:18:00Z</dcterms:created>
  <dcterms:modified xsi:type="dcterms:W3CDTF">2014-09-10T13:20:00Z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ERS2_INFO_01">
    <vt:lpwstr>&lt;info&gt;&lt;style id="http://www.zotero.org/styles/plos-genetics"/&gt;&lt;hasBiblio/&gt;&lt;format class="21"/&gt;&lt;count citations="17" publications="14"/&gt;&lt;/info&gt;PAPERS2_INFO_END</vt:lpwstr>
  </property>
</Properties>
</file>