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FEA" w:rsidRPr="0036738C" w:rsidRDefault="007E4540" w:rsidP="00DA0FEA">
      <w:pPr>
        <w:spacing w:line="480" w:lineRule="auto"/>
        <w:rPr>
          <w:rFonts w:ascii="Times New Roman" w:hAnsi="Times New Roman" w:cs="Times New Roman"/>
        </w:rPr>
      </w:pPr>
      <w:r>
        <w:rPr>
          <w:rFonts w:ascii="Times New Roman" w:hAnsi="Times New Roman" w:cs="Times New Roman"/>
          <w:b/>
          <w:bCs/>
        </w:rPr>
        <w:t>Additional file 1</w:t>
      </w:r>
      <w:r w:rsidR="00DA0FEA" w:rsidRPr="0036738C">
        <w:rPr>
          <w:rFonts w:ascii="Times New Roman" w:hAnsi="Times New Roman" w:cs="Times New Roman"/>
          <w:b/>
          <w:bCs/>
        </w:rPr>
        <w:t xml:space="preserve">: </w:t>
      </w:r>
      <w:r w:rsidR="00DA0FEA" w:rsidRPr="0036738C">
        <w:rPr>
          <w:rFonts w:ascii="Times New Roman" w:hAnsi="Times New Roman" w:cs="Times New Roman"/>
          <w:b/>
        </w:rPr>
        <w:t xml:space="preserve">Table S2. </w:t>
      </w:r>
      <w:r w:rsidR="00DA0FEA" w:rsidRPr="0036738C">
        <w:rPr>
          <w:rFonts w:ascii="Times New Roman" w:hAnsi="Times New Roman" w:cs="Times New Roman"/>
        </w:rPr>
        <w:t>G</w:t>
      </w:r>
      <w:r w:rsidR="00DA0FEA" w:rsidRPr="0036738C">
        <w:rPr>
          <w:rFonts w:ascii="Times New Roman" w:hAnsi="Times New Roman" w:cs="Times New Roman"/>
          <w:vertAlign w:val="subscript"/>
        </w:rPr>
        <w:t>q</w:t>
      </w:r>
      <w:r w:rsidR="00DA0FEA" w:rsidRPr="0036738C">
        <w:rPr>
          <w:rFonts w:ascii="Times New Roman" w:hAnsi="Times New Roman" w:cs="Times New Roman"/>
        </w:rPr>
        <w:t xml:space="preserve">-opsin sequences included in the phylogenetic analysis. </w:t>
      </w:r>
    </w:p>
    <w:p w:rsidR="00DA0FEA" w:rsidRPr="0036738C" w:rsidRDefault="00DA0FEA" w:rsidP="00DA0FEA">
      <w:pPr>
        <w:pStyle w:val="Body"/>
        <w:spacing w:line="480" w:lineRule="auto"/>
        <w:rPr>
          <w:rFonts w:ascii="Times New Roman" w:hAnsi="Times New Roman" w:cs="Times New Roman"/>
          <w:i/>
          <w:iCs/>
        </w:rPr>
      </w:pPr>
      <w:r w:rsidRPr="0036738C">
        <w:rPr>
          <w:rFonts w:ascii="Times New Roman" w:hAnsi="Times New Roman" w:cs="Times New Roman"/>
        </w:rPr>
        <w:t xml:space="preserve">Asterisks represent sequences obtained through Porter et al. </w:t>
      </w:r>
      <w:r w:rsidR="001A7F66" w:rsidRPr="0036738C">
        <w:rPr>
          <w:rFonts w:ascii="Times New Roman" w:hAnsi="Times New Roman" w:cs="Times New Roman"/>
        </w:rPr>
        <w:fldChar w:fldCharType="begin" w:fldLock="1"/>
      </w:r>
      <w:r w:rsidRPr="0036738C">
        <w:rPr>
          <w:rFonts w:ascii="Times New Roman" w:hAnsi="Times New Roman" w:cs="Times New Roman"/>
        </w:rPr>
        <w:instrText>ADDIN CSL_CITATION { "citationItems" : [ { "id" : "ITEM-1", "itemData" : { "DOI" : "10.1098/rspb.2011.1819", "ISSN" : "1471-2954", "PMID" : "22012981", "abstract" : "Opsin proteins are essential molecules in mediating the ability of animals to detect and use light for diverse biological functions. Therefore, understanding the evolutionary history of opsins is key to understanding the evolution of light detection and photoreception in animals. As genomic data have appeared and rapidly expanded in quantity, it has become possible to analyse opsins that functionally and histologically are less well characterized, and thus to examine opsin evolution strictly from a genetic perspective. We have incorporated these new data into a large-scale, genome-based analysis of opsin evolution. We use an extensive phylogeny of currently known opsin sequence diversity as a foundation for examining the evolutionary distributions of key functional features within the opsin clade. This new analysis illustrates the lability of opsin protein-expression patterns, site-specific functionality (i.e. counterion position) and G-protein binding interactions. Further, it demonstrates the limitations of current model organisms, and highlights the need for further characterization of many of the opsin sequence groups with unknown function.", "author" : [ { "dropping-particle" : "", "family" : "Porter", "given" : "M L", "non-dropping-particle" : "", "parse-names" : false, "suffix" : "" }, { "dropping-particle" : "", "family" : "Blasic", "given" : "Joseph R", "non-dropping-particle" : "", "parse-names" : false, "suffix" : "" }, { "dropping-particle" : "", "family" : "Bok", "given" : "Michael J", "non-dropping-particle" : "", "parse-names" : false, "suffix" : "" }, { "dropping-particle" : "", "family" : "Cameron", "given" : "Evan G", "non-dropping-particle" : "", "parse-names" : false, "suffix" : "" }, { "dropping-particle" : "", "family" : "Pringle", "given" : "Thomas", "non-dropping-particle" : "", "parse-names" : false, "suffix" : "" }, { "dropping-particle" : "", "family" : "Cronin", "given" : "Thomas W", "non-dropping-particle" : "", "parse-names" : false, "suffix" : "" }, { "dropping-particle" : "", "family" : "Robinson", "given" : "Phyllis R", "non-dropping-particle" : "", "parse-names" : false, "suffix" : "" } ], "container-title" : "Proceedings. Biological sciences / The Royal Society", "id" : "ITEM-1", "issue" : "1726", "issued" : { "date-parts" : [ [ "2012", "1", "7" ] ] }, "page" : "3-14", "title" : "Shedding new light on opsin evolution.", "type" : "article-journal", "volume" : "279" }, "suppress-author" : 1, "uris" : [ "http://www.mendeley.com/documents/?uuid=6b961749-3cea-43f4-ba1d-0e4d3e66e382" ] } ], "mendeley" : { "formattedCitation" : "(2012)", "plainTextFormattedCitation" : "(2012)", "previouslyFormattedCitation" : "(2012)" }, "properties" : { "noteIndex" : 0 }, "schema" : "https://github.com/citation-style-language/schema/raw/master/csl-citation.json" }</w:instrText>
      </w:r>
      <w:r w:rsidR="001A7F66" w:rsidRPr="0036738C">
        <w:rPr>
          <w:rFonts w:ascii="Times New Roman" w:hAnsi="Times New Roman" w:cs="Times New Roman"/>
        </w:rPr>
        <w:fldChar w:fldCharType="separate"/>
      </w:r>
      <w:r w:rsidRPr="0036738C">
        <w:rPr>
          <w:rFonts w:ascii="Times New Roman" w:hAnsi="Times New Roman" w:cs="Times New Roman"/>
          <w:noProof/>
        </w:rPr>
        <w:t>(2012)</w:t>
      </w:r>
      <w:r w:rsidR="001A7F66" w:rsidRPr="0036738C">
        <w:rPr>
          <w:rFonts w:ascii="Times New Roman" w:hAnsi="Times New Roman" w:cs="Times New Roman"/>
        </w:rPr>
        <w:fldChar w:fldCharType="end"/>
      </w:r>
      <w:r w:rsidRPr="0036738C">
        <w:rPr>
          <w:rFonts w:ascii="Times New Roman" w:hAnsi="Times New Roman" w:cs="Times New Roman"/>
        </w:rPr>
        <w:t xml:space="preserve">.  For additional information regarding sequence acquisition not available on Genbank, see supplementary material in Porter et al. </w:t>
      </w:r>
      <w:r w:rsidR="001A7F66" w:rsidRPr="0036738C">
        <w:rPr>
          <w:rFonts w:ascii="Times New Roman" w:hAnsi="Times New Roman" w:cs="Times New Roman"/>
        </w:rPr>
        <w:fldChar w:fldCharType="begin" w:fldLock="1"/>
      </w:r>
      <w:r w:rsidRPr="0036738C">
        <w:rPr>
          <w:rFonts w:ascii="Times New Roman" w:hAnsi="Times New Roman" w:cs="Times New Roman"/>
        </w:rPr>
        <w:instrText>ADDIN CSL_CITATION { "citationItems" : [ { "id" : "ITEM-1", "itemData" : { "DOI" : "10.1098/rspb.2011.1819", "ISSN" : "1471-2954", "PMID" : "22012981", "abstract" : "Opsin proteins are essential molecules in mediating the ability of animals to detect and use light for diverse biological functions. Therefore, understanding the evolutionary history of opsins is key to understanding the evolution of light detection and photoreception in animals. As genomic data have appeared and rapidly expanded in quantity, it has become possible to analyse opsins that functionally and histologically are less well characterized, and thus to examine opsin evolution strictly from a genetic perspective. We have incorporated these new data into a large-scale, genome-based analysis of opsin evolution. We use an extensive phylogeny of currently known opsin sequence diversity as a foundation for examining the evolutionary distributions of key functional features within the opsin clade. This new analysis illustrates the lability of opsin protein-expression patterns, site-specific functionality (i.e. counterion position) and G-protein binding interactions. Further, it demonstrates the limitations of current model organisms, and highlights the need for further characterization of many of the opsin sequence groups with unknown function.", "author" : [ { "dropping-particle" : "", "family" : "Porter", "given" : "M L", "non-dropping-particle" : "", "parse-names" : false, "suffix" : "" }, { "dropping-particle" : "", "family" : "Blasic", "given" : "Joseph R", "non-dropping-particle" : "", "parse-names" : false, "suffix" : "" }, { "dropping-particle" : "", "family" : "Bok", "given" : "Michael J", "non-dropping-particle" : "", "parse-names" : false, "suffix" : "" }, { "dropping-particle" : "", "family" : "Cameron", "given" : "Evan G", "non-dropping-particle" : "", "parse-names" : false, "suffix" : "" }, { "dropping-particle" : "", "family" : "Pringle", "given" : "Thomas", "non-dropping-particle" : "", "parse-names" : false, "suffix" : "" }, { "dropping-particle" : "", "family" : "Cronin", "given" : "Thomas W", "non-dropping-particle" : "", "parse-names" : false, "suffix" : "" }, { "dropping-particle" : "", "family" : "Robinson", "given" : "Phyllis R", "non-dropping-particle" : "", "parse-names" : false, "suffix" : "" } ], "container-title" : "Proceedings. Biological sciences / The Royal Society", "id" : "ITEM-1", "issue" : "1726", "issued" : { "date-parts" : [ [ "2012", "1", "7" ] ] }, "page" : "3-14", "title" : "Shedding new light on opsin evolution.", "type" : "article-journal", "volume" : "279" }, "suppress-author" : 1, "uris" : [ "http://www.mendeley.com/documents/?uuid=6b961749-3cea-43f4-ba1d-0e4d3e66e382" ] } ], "mendeley" : { "formattedCitation" : "(2012)", "plainTextFormattedCitation" : "(2012)", "previouslyFormattedCitation" : "(2012)" }, "properties" : { "noteIndex" : 0 }, "schema" : "https://github.com/citation-style-language/schema/raw/master/csl-citation.json" }</w:instrText>
      </w:r>
      <w:r w:rsidR="001A7F66" w:rsidRPr="0036738C">
        <w:rPr>
          <w:rFonts w:ascii="Times New Roman" w:hAnsi="Times New Roman" w:cs="Times New Roman"/>
        </w:rPr>
        <w:fldChar w:fldCharType="separate"/>
      </w:r>
      <w:r w:rsidRPr="0036738C">
        <w:rPr>
          <w:rFonts w:ascii="Times New Roman" w:hAnsi="Times New Roman" w:cs="Times New Roman"/>
          <w:noProof/>
        </w:rPr>
        <w:t>(2012)</w:t>
      </w:r>
      <w:r w:rsidR="001A7F66" w:rsidRPr="0036738C">
        <w:rPr>
          <w:rFonts w:ascii="Times New Roman" w:hAnsi="Times New Roman" w:cs="Times New Roman"/>
        </w:rPr>
        <w:fldChar w:fldCharType="end"/>
      </w:r>
      <w:r w:rsidRPr="0036738C">
        <w:rPr>
          <w:rFonts w:ascii="Times New Roman" w:hAnsi="Times New Roman" w:cs="Times New Roman"/>
        </w:rPr>
        <w:t>.</w:t>
      </w:r>
    </w:p>
    <w:p w:rsidR="00DA0FEA" w:rsidRDefault="00DA0FEA" w:rsidP="00DA0FEA">
      <w:pPr>
        <w:pStyle w:val="Body"/>
        <w:spacing w:line="480" w:lineRule="auto"/>
        <w:rPr>
          <w:rFonts w:ascii="Times New Roman" w:hAnsi="Times New Roman" w:cs="Times New Roman"/>
        </w:rPr>
      </w:pPr>
    </w:p>
    <w:p w:rsidR="00DA0FEA" w:rsidRPr="00DE68E0" w:rsidRDefault="00DA0FEA" w:rsidP="00DA0FEA">
      <w:pPr>
        <w:pStyle w:val="Body"/>
        <w:spacing w:line="480" w:lineRule="auto"/>
        <w:rPr>
          <w:rFonts w:ascii="Times New Roman" w:hAnsi="Times New Roman" w:cs="Times New Roman"/>
          <w:i/>
          <w:iCs/>
        </w:rPr>
      </w:pPr>
    </w:p>
    <w:tbl>
      <w:tblPr>
        <w:tblStyle w:val="TableGrid"/>
        <w:tblW w:w="12988" w:type="dxa"/>
        <w:tblLayout w:type="fixed"/>
        <w:tblLook w:val="04A0"/>
      </w:tblPr>
      <w:tblGrid>
        <w:gridCol w:w="1995"/>
        <w:gridCol w:w="1980"/>
        <w:gridCol w:w="1983"/>
        <w:gridCol w:w="1890"/>
        <w:gridCol w:w="1820"/>
        <w:gridCol w:w="3320"/>
      </w:tblGrid>
      <w:tr w:rsidR="00DA0FEA" w:rsidRPr="00DE68E0" w:rsidTr="00B91A73">
        <w:trPr>
          <w:trHeight w:val="380"/>
        </w:trPr>
        <w:tc>
          <w:tcPr>
            <w:tcW w:w="1995" w:type="dxa"/>
            <w:tcBorders>
              <w:top w:val="nil"/>
              <w:left w:val="nil"/>
              <w:bottom w:val="single" w:sz="4" w:space="0" w:color="auto"/>
              <w:right w:val="nil"/>
            </w:tcBorders>
            <w:noWrap/>
            <w:hideMark/>
          </w:tcPr>
          <w:p w:rsidR="00DA0FEA" w:rsidRPr="00DE68E0" w:rsidRDefault="00DA0FEA" w:rsidP="00B91A73">
            <w:pPr>
              <w:rPr>
                <w:rFonts w:ascii="Arial" w:eastAsia="Times New Roman" w:hAnsi="Arial" w:cs="Arial"/>
                <w:b/>
                <w:bCs/>
                <w:color w:val="000000"/>
                <w:sz w:val="20"/>
                <w:szCs w:val="20"/>
              </w:rPr>
            </w:pPr>
            <w:r w:rsidRPr="00DE68E0">
              <w:rPr>
                <w:rFonts w:ascii="Arial" w:eastAsia="Times New Roman" w:hAnsi="Arial" w:cs="Arial"/>
                <w:b/>
                <w:bCs/>
                <w:color w:val="000000"/>
                <w:sz w:val="20"/>
                <w:szCs w:val="20"/>
              </w:rPr>
              <w:t>Identity</w:t>
            </w:r>
          </w:p>
        </w:tc>
        <w:tc>
          <w:tcPr>
            <w:tcW w:w="1980" w:type="dxa"/>
            <w:tcBorders>
              <w:top w:val="nil"/>
              <w:left w:val="nil"/>
              <w:bottom w:val="single" w:sz="4" w:space="0" w:color="auto"/>
              <w:right w:val="nil"/>
            </w:tcBorders>
            <w:noWrap/>
            <w:hideMark/>
          </w:tcPr>
          <w:p w:rsidR="00DA0FEA" w:rsidRPr="00DE68E0" w:rsidRDefault="00DA0FEA" w:rsidP="00B91A73">
            <w:pPr>
              <w:rPr>
                <w:rFonts w:ascii="Arial" w:eastAsia="Times New Roman" w:hAnsi="Arial" w:cs="Arial"/>
                <w:b/>
                <w:bCs/>
                <w:color w:val="000000"/>
                <w:sz w:val="20"/>
                <w:szCs w:val="20"/>
              </w:rPr>
            </w:pPr>
            <w:r w:rsidRPr="00DE68E0">
              <w:rPr>
                <w:rFonts w:ascii="Arial" w:eastAsia="Times New Roman" w:hAnsi="Arial" w:cs="Arial"/>
                <w:b/>
                <w:bCs/>
                <w:color w:val="000000"/>
                <w:sz w:val="20"/>
                <w:szCs w:val="20"/>
              </w:rPr>
              <w:t>Phylum</w:t>
            </w:r>
          </w:p>
        </w:tc>
        <w:tc>
          <w:tcPr>
            <w:tcW w:w="1983" w:type="dxa"/>
            <w:tcBorders>
              <w:top w:val="nil"/>
              <w:left w:val="nil"/>
              <w:bottom w:val="single" w:sz="4" w:space="0" w:color="auto"/>
              <w:right w:val="nil"/>
            </w:tcBorders>
            <w:noWrap/>
            <w:hideMark/>
          </w:tcPr>
          <w:p w:rsidR="00DA0FEA" w:rsidRPr="00DE68E0" w:rsidRDefault="00DA0FEA" w:rsidP="00B91A73">
            <w:pPr>
              <w:rPr>
                <w:rFonts w:ascii="Arial" w:eastAsia="Times New Roman" w:hAnsi="Arial" w:cs="Arial"/>
                <w:b/>
                <w:bCs/>
                <w:color w:val="000000"/>
                <w:sz w:val="20"/>
                <w:szCs w:val="20"/>
              </w:rPr>
            </w:pPr>
            <w:r w:rsidRPr="00DE68E0">
              <w:rPr>
                <w:rFonts w:ascii="Arial" w:eastAsia="Times New Roman" w:hAnsi="Arial" w:cs="Arial"/>
                <w:b/>
                <w:bCs/>
                <w:color w:val="000000"/>
                <w:sz w:val="20"/>
                <w:szCs w:val="20"/>
              </w:rPr>
              <w:t>Genus</w:t>
            </w:r>
          </w:p>
        </w:tc>
        <w:tc>
          <w:tcPr>
            <w:tcW w:w="1890" w:type="dxa"/>
            <w:tcBorders>
              <w:top w:val="nil"/>
              <w:left w:val="nil"/>
              <w:bottom w:val="single" w:sz="4" w:space="0" w:color="auto"/>
              <w:right w:val="nil"/>
            </w:tcBorders>
            <w:noWrap/>
            <w:hideMark/>
          </w:tcPr>
          <w:p w:rsidR="00DA0FEA" w:rsidRPr="00DE68E0" w:rsidRDefault="00DA0FEA" w:rsidP="00B91A73">
            <w:pPr>
              <w:rPr>
                <w:rFonts w:ascii="Arial" w:eastAsia="Times New Roman" w:hAnsi="Arial" w:cs="Arial"/>
                <w:b/>
                <w:bCs/>
                <w:color w:val="000000"/>
                <w:sz w:val="20"/>
                <w:szCs w:val="20"/>
              </w:rPr>
            </w:pPr>
            <w:r w:rsidRPr="00DE68E0">
              <w:rPr>
                <w:rFonts w:ascii="Arial" w:eastAsia="Times New Roman" w:hAnsi="Arial" w:cs="Arial"/>
                <w:b/>
                <w:bCs/>
                <w:color w:val="000000"/>
                <w:sz w:val="20"/>
                <w:szCs w:val="20"/>
              </w:rPr>
              <w:t>species</w:t>
            </w:r>
          </w:p>
        </w:tc>
        <w:tc>
          <w:tcPr>
            <w:tcW w:w="1820" w:type="dxa"/>
            <w:tcBorders>
              <w:top w:val="nil"/>
              <w:left w:val="nil"/>
              <w:bottom w:val="single" w:sz="4" w:space="0" w:color="auto"/>
              <w:right w:val="nil"/>
            </w:tcBorders>
            <w:noWrap/>
            <w:hideMark/>
          </w:tcPr>
          <w:p w:rsidR="00DA0FEA" w:rsidRPr="00DE68E0" w:rsidRDefault="00DA0FEA" w:rsidP="00B91A73">
            <w:pPr>
              <w:rPr>
                <w:rFonts w:ascii="Arial" w:eastAsia="Times New Roman" w:hAnsi="Arial" w:cs="Arial"/>
                <w:b/>
                <w:bCs/>
                <w:color w:val="000000"/>
                <w:sz w:val="20"/>
                <w:szCs w:val="20"/>
              </w:rPr>
            </w:pPr>
            <w:r w:rsidRPr="00DE68E0">
              <w:rPr>
                <w:rFonts w:ascii="Arial" w:eastAsia="Times New Roman" w:hAnsi="Arial" w:cs="Arial"/>
                <w:b/>
                <w:bCs/>
                <w:color w:val="000000"/>
                <w:sz w:val="20"/>
                <w:szCs w:val="20"/>
              </w:rPr>
              <w:t>common name</w:t>
            </w:r>
          </w:p>
        </w:tc>
        <w:tc>
          <w:tcPr>
            <w:tcW w:w="3320" w:type="dxa"/>
            <w:tcBorders>
              <w:top w:val="nil"/>
              <w:left w:val="nil"/>
              <w:bottom w:val="single" w:sz="4" w:space="0" w:color="auto"/>
              <w:right w:val="nil"/>
            </w:tcBorders>
            <w:noWrap/>
            <w:hideMark/>
          </w:tcPr>
          <w:p w:rsidR="00DA0FEA" w:rsidRPr="00DE68E0" w:rsidRDefault="00DA0FEA" w:rsidP="00B91A73">
            <w:pPr>
              <w:rPr>
                <w:rFonts w:ascii="Arial" w:eastAsia="Times New Roman" w:hAnsi="Arial" w:cs="Arial"/>
                <w:b/>
                <w:bCs/>
                <w:color w:val="000000"/>
                <w:sz w:val="20"/>
                <w:szCs w:val="20"/>
              </w:rPr>
            </w:pPr>
            <w:r w:rsidRPr="00DE68E0">
              <w:rPr>
                <w:rFonts w:ascii="Arial" w:eastAsia="Times New Roman" w:hAnsi="Arial" w:cs="Arial"/>
                <w:b/>
                <w:bCs/>
                <w:color w:val="000000"/>
                <w:sz w:val="20"/>
                <w:szCs w:val="20"/>
              </w:rPr>
              <w:t>G</w:t>
            </w:r>
            <w:r>
              <w:rPr>
                <w:rFonts w:ascii="Arial" w:eastAsia="Times New Roman" w:hAnsi="Arial" w:cs="Arial"/>
                <w:b/>
                <w:bCs/>
                <w:color w:val="000000"/>
                <w:sz w:val="20"/>
                <w:szCs w:val="20"/>
              </w:rPr>
              <w:t>enbank</w:t>
            </w:r>
            <w:r w:rsidRPr="00DE68E0">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accession</w:t>
            </w:r>
            <w:r w:rsidRPr="00DE68E0">
              <w:rPr>
                <w:rFonts w:ascii="Arial" w:eastAsia="Times New Roman" w:hAnsi="Arial" w:cs="Arial"/>
                <w:b/>
                <w:bCs/>
                <w:color w:val="000000"/>
                <w:sz w:val="20"/>
                <w:szCs w:val="20"/>
              </w:rPr>
              <w:t># or source</w:t>
            </w:r>
          </w:p>
        </w:tc>
      </w:tr>
      <w:tr w:rsidR="00DA0FEA" w:rsidRPr="00DE68E0" w:rsidTr="00B91A73">
        <w:trPr>
          <w:trHeight w:val="380"/>
        </w:trPr>
        <w:tc>
          <w:tcPr>
            <w:tcW w:w="1995" w:type="dxa"/>
            <w:tcBorders>
              <w:top w:val="single" w:sz="4" w:space="0" w:color="auto"/>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Al.subulata</w:t>
            </w:r>
          </w:p>
        </w:tc>
        <w:tc>
          <w:tcPr>
            <w:tcW w:w="1980" w:type="dxa"/>
            <w:tcBorders>
              <w:top w:val="single" w:sz="4" w:space="0" w:color="auto"/>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single" w:sz="4" w:space="0" w:color="auto"/>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Alloteuthis</w:t>
            </w:r>
          </w:p>
        </w:tc>
        <w:tc>
          <w:tcPr>
            <w:tcW w:w="1890" w:type="dxa"/>
            <w:tcBorders>
              <w:top w:val="single" w:sz="4" w:space="0" w:color="auto"/>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subulata</w:t>
            </w:r>
          </w:p>
        </w:tc>
        <w:tc>
          <w:tcPr>
            <w:tcW w:w="1820" w:type="dxa"/>
            <w:tcBorders>
              <w:top w:val="single" w:sz="4" w:space="0" w:color="auto"/>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squid</w:t>
            </w:r>
          </w:p>
        </w:tc>
        <w:tc>
          <w:tcPr>
            <w:tcW w:w="3320" w:type="dxa"/>
            <w:tcBorders>
              <w:top w:val="single" w:sz="4" w:space="0" w:color="auto"/>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Z49108</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Ap.californica1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Aplysia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californica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sea hare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AASC01108363*</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Ap.californica2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Aplysia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californica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sea hare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AASC02005512*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Pr>
                <w:rFonts w:ascii="Arial" w:eastAsia="Times New Roman" w:hAnsi="Arial" w:cs="Arial"/>
                <w:bCs/>
                <w:color w:val="000000"/>
                <w:sz w:val="20"/>
                <w:szCs w:val="20"/>
              </w:rPr>
              <w:t>Air-OPN</w:t>
            </w:r>
            <w:r w:rsidRPr="00DE68E0">
              <w:rPr>
                <w:rFonts w:ascii="Arial" w:eastAsia="Times New Roman" w:hAnsi="Arial" w:cs="Arial"/>
                <w:bCs/>
                <w:color w:val="000000"/>
                <w:sz w:val="20"/>
                <w:szCs w:val="20"/>
              </w:rPr>
              <w:t>Go</w:t>
            </w:r>
            <w:r>
              <w:rPr>
                <w:rFonts w:ascii="Arial" w:eastAsia="Times New Roman" w:hAnsi="Arial" w:cs="Arial"/>
                <w:bCs/>
                <w:color w:val="000000"/>
                <w:sz w:val="20"/>
                <w:szCs w:val="20"/>
              </w:rPr>
              <w:t>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Argopecten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irradians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bay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TBD</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Pr>
                <w:rFonts w:ascii="Arial" w:eastAsia="Times New Roman" w:hAnsi="Arial" w:cs="Arial"/>
                <w:bCs/>
                <w:color w:val="000000"/>
                <w:sz w:val="20"/>
                <w:szCs w:val="20"/>
              </w:rPr>
              <w:t>Air-OPN</w:t>
            </w:r>
            <w:r w:rsidRPr="00DE68E0">
              <w:rPr>
                <w:rFonts w:ascii="Arial" w:eastAsia="Times New Roman" w:hAnsi="Arial" w:cs="Arial"/>
                <w:bCs/>
                <w:color w:val="000000"/>
                <w:sz w:val="20"/>
                <w:szCs w:val="20"/>
              </w:rPr>
              <w:t>Gq1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Argopecten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irradians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bay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KT426908</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Air-</w:t>
            </w:r>
            <w:r>
              <w:rPr>
                <w:rFonts w:ascii="Arial" w:eastAsia="Times New Roman" w:hAnsi="Arial" w:cs="Arial"/>
                <w:bCs/>
                <w:color w:val="000000"/>
                <w:sz w:val="20"/>
                <w:szCs w:val="20"/>
              </w:rPr>
              <w:t>OPS</w:t>
            </w:r>
            <w:r w:rsidRPr="00DE68E0">
              <w:rPr>
                <w:rFonts w:ascii="Arial" w:eastAsia="Times New Roman" w:hAnsi="Arial" w:cs="Arial"/>
                <w:bCs/>
                <w:color w:val="000000"/>
                <w:sz w:val="20"/>
                <w:szCs w:val="20"/>
              </w:rPr>
              <w:t>Gq2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Argopecten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irradians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bay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KT426909</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Air-</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Gq3</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Argopecten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irradians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bay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KT426910</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Air-</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Gq4</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Argopecten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irradians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bay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KT426911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Bi.glabrata2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Biomphalaria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glabrata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ram's horn snail</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Dejong et al. 2004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Bi.glabrata1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Biomphalaria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glabrata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ram's horn snail</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Dejong et al. 2004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Cgi-</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Gq2B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 xml:space="preserve">Crassostrea </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gigas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pacific oyster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Zhang et al. 2012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Cgi-</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 xml:space="preserve">Crassostrea </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gigas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pacific oyster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Zhang et al. 2012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Cgi-</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Gq2A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 xml:space="preserve">Crassostrea </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gigas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pacific oyster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Zhang et al. 2012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En.dolfeini</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Enteroctopus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dofleini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octopus</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CAA30644.1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Eu.scolopes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Euprymna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scolopes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ceph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ACB05673.1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lastRenderedPageBreak/>
              <w:t>Lo.forbesi</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Loligo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forbesi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squid</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CAA40108.1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Lo.pealei</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Loligo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pealei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squid</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AY450853</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L.gigantea1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Lottia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gigantea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limpet</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FC774055</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L.gigantea2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Lottia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gigantea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limpet</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Mye-</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Mizuhopecten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yessoensis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AB006454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Pi.fucata1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Pinctata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fucata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pearl oyster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Takeuchi et al 2012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Pi.fucata2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Pinctata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fucata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pearl oyster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Takeuchi et al 2012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Pma-</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Placopecten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magellanicus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sea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Pairett &amp; Serb 2013</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Pma-</w:t>
            </w:r>
            <w:r>
              <w:rPr>
                <w:rFonts w:ascii="Arial" w:eastAsia="Times New Roman" w:hAnsi="Arial" w:cs="Arial"/>
                <w:bCs/>
                <w:color w:val="000000"/>
                <w:sz w:val="20"/>
                <w:szCs w:val="20"/>
              </w:rPr>
              <w:t>OPN</w:t>
            </w:r>
            <w:r w:rsidRPr="00DE68E0">
              <w:rPr>
                <w:rFonts w:ascii="Arial" w:eastAsia="Times New Roman" w:hAnsi="Arial" w:cs="Arial"/>
                <w:bCs/>
                <w:color w:val="000000"/>
                <w:sz w:val="20"/>
                <w:szCs w:val="20"/>
              </w:rPr>
              <w:t>Gq3</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Placopecten</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magellanicus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sea scallop</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Pairett &amp; Serb 2013</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Se.officinalis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Sepia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officinalis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cuttlefish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AF000947</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Tpa</w:t>
            </w:r>
            <w:r>
              <w:rPr>
                <w:rFonts w:ascii="Arial" w:eastAsia="Times New Roman" w:hAnsi="Arial" w:cs="Arial"/>
                <w:bCs/>
                <w:color w:val="000000"/>
                <w:sz w:val="20"/>
                <w:szCs w:val="20"/>
              </w:rPr>
              <w:t>-OPNGq1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Mollusca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Todarodes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pacificus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squid</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X70498</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Ca.capitata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Annelida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Capitella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capitata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polychaete 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He.robusta1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Annelida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Helobdella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robusta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leech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He.robusta2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Annelida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Helobdella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robusta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leech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 scaffold_391*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P.dumerilii</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Annelida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Platynereis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dumerilii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ragworm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AJ316544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An.gambiae</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Anopheles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gambiae</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mosquito</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CAA76825.1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An.gambiaeUV5</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Anopheles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gambiae</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mosquito</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 xml:space="preserve">XP_001688790  </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An.gambiaeUV7</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Anopheles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gambiae</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mosquito</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XP_308329</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An.gambiaeUVB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Anopheles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gambiae</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mosquito</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XP_319247.1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Ap.melliferaA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Apis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mellifera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bee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NM_001077825</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Ap.melliferaB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Apis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mellifera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bee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U26026</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Ap.melliferaUV5</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Apis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mellifera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bee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AAC13418</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Ap.melliferaUVB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Apis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mellifera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bee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AF004168</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B.anynana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Bicyclus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anynana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butterfly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157502893</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lastRenderedPageBreak/>
              <w:t>B.anynanaUV</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Bicyclus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anynana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butterfly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AAL91507.1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B.anynanaUVB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Bicyclus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anynana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butterfly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AAY16527.1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D.pulexBCR</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Daphnia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pulex</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water flea</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GL732562.1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D.pulex</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Daphnia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pulex</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water flea</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D.pulexUV5a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Daphnia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pulex</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water flea</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EFX75461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D.pulexUV5b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Daphnia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pulex</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water flea</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EFX81332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NP_524407.1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AAA28734.1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Dr.melanogast6</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CAB06821.1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Dr.melanogastUV3</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AAA28854.1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Dr.melanogastUV4</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NP_476701.1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Dr.melanogastUV5</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AAC47426.1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Dr.melanogastUV7</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Drosophila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melanogaster</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fruitfly</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 xml:space="preserve">NP_524035 </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Ha.adansoni1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Hasarius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adansoni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jumping spider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BAG14330.1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Ha.adansoni2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Hasarius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adansoni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jumping spider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BAG14331.1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Ha.adansoniUV5</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Hasarius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adansoni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jumping spider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BAG14332.1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Ix.scapularis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Ixodes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scapularis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tick</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XM_002408275.1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Ix.scapularisUV7</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Ixodes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scapularis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tick</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Li.polyphemusBCR</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Limulus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polyphemus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horseshoe crab</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ACO05013</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Li.polyphemus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Limulus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polyphemus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horseshoe crab</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AAA02498.1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Ne.oerstedii2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Neogonodactylus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oerstedii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stomatopod</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DQ646870</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Ne.oerstedii3</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Neogonodactylus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oerstedii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stomatopod</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DQ646871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Ne.oerstedii1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Neogonodactylus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oerstedii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stomatopod</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DQ646869</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Pl.paykulli1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Plexippus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paykulli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jumping spider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BAG14333.1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lastRenderedPageBreak/>
              <w:t>Pl.paykulli2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Plexippus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paykulli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jumping spider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BAG14334.1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Pl.paykulliUV5</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Plexippus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paykulli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jumping spider</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BAG14335</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Tr.castaneum</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Tribolium</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castaneum</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flour beetle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ABA00706.1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Tr.castaneumUV5</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Arthropoda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Tribolium</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castaneum</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flour beetle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ABW06837.1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Br.belcheri6</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Branchiostoma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belcheri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amphioxus</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AB050611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Br.floridae6</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Branchiostoma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floridae</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amphioxus</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XP_002586119.1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Br.belcheri</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Branchiostoma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belcheri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amphioxus</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AB205400</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Br.floridae</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Branchiostoma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floridae</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amphioxus</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Ci.intestinalis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Ciona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intestinalis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tunicate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AABS01000008.1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Ci.savignyi</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Ciona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savignyi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tunicate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Da.rerio1A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Da.rerio1B</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Da.rerioGt.MWS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NP_571250.1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Da.rerioGt.PAR</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XP_003201482</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Da.rerioGt.PPIN</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NP_001005312.1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Da.rerioGt.Rho1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BC164171.1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Da.rerioGt.Rho2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NM_131254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Da.rerioGt.SWS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NP_571394.1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Da.rerioGt.TMT</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NP_001112371.1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Da.rerioGt.VA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Danio</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rerio</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zebrafish</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NM_131586</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Ga.gallus1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Gallus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gallus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chicken</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NP_001038118.1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Ga.gallus2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Gallus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gallus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chicken</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AY882944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Mu.musculus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musculus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mouse</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AF147789</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lastRenderedPageBreak/>
              <w:t>Xe.laevis1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Xenopus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laevis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frog</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ABD37674.1</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Xe.laevis2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Chordata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Xenopus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laevis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frog</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Genome*</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St.purpuratus</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Echinodermata</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Strongylocentrotus</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purpuratus</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sea urchin</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XR_026330*</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Du.japonica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Platyhelminthes</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Dugesia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japonica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flatworm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CAD13146</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Gi.tigrina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Platyhelminthes</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Girardia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tigrina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flatworm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CAB89516</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Sc.mansoni1</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Platyhelminthes</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Schistosoma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mansoni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trematode 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AF155134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Sc.mansoni2</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Platyhelminthes</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Schistosoma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mansoni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trematode 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CD096414</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Sc.mansoni3</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Platyhelminthes</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Schistosoma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mansoni</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trematode worm</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Smp_180030</w:t>
            </w:r>
          </w:p>
        </w:tc>
      </w:tr>
      <w:tr w:rsidR="00DA0FEA" w:rsidRPr="00DE68E0" w:rsidTr="00B91A73">
        <w:trPr>
          <w:trHeight w:val="380"/>
        </w:trPr>
        <w:tc>
          <w:tcPr>
            <w:tcW w:w="1995"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Sc.meditrranea</w:t>
            </w:r>
          </w:p>
        </w:tc>
        <w:tc>
          <w:tcPr>
            <w:tcW w:w="198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Platyhelminthes</w:t>
            </w:r>
          </w:p>
        </w:tc>
        <w:tc>
          <w:tcPr>
            <w:tcW w:w="1983"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Schmidtea</w:t>
            </w:r>
          </w:p>
        </w:tc>
        <w:tc>
          <w:tcPr>
            <w:tcW w:w="1890" w:type="dxa"/>
            <w:tcBorders>
              <w:top w:val="nil"/>
              <w:left w:val="nil"/>
              <w:bottom w:val="nil"/>
              <w:right w:val="nil"/>
            </w:tcBorders>
            <w:noWrap/>
            <w:hideMark/>
          </w:tcPr>
          <w:p w:rsidR="00DA0FEA" w:rsidRPr="00DE68E0" w:rsidRDefault="00DA0FEA" w:rsidP="00B91A73">
            <w:pPr>
              <w:rPr>
                <w:rFonts w:ascii="Arial" w:eastAsia="Times New Roman" w:hAnsi="Arial" w:cs="Arial"/>
                <w:bCs/>
                <w:i/>
                <w:color w:val="000000"/>
                <w:sz w:val="20"/>
                <w:szCs w:val="20"/>
              </w:rPr>
            </w:pPr>
            <w:r w:rsidRPr="00DE68E0">
              <w:rPr>
                <w:rFonts w:ascii="Arial" w:eastAsia="Times New Roman" w:hAnsi="Arial" w:cs="Arial"/>
                <w:bCs/>
                <w:i/>
                <w:color w:val="000000"/>
                <w:sz w:val="20"/>
                <w:szCs w:val="20"/>
              </w:rPr>
              <w:t>mediterranea</w:t>
            </w:r>
          </w:p>
        </w:tc>
        <w:tc>
          <w:tcPr>
            <w:tcW w:w="18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planaria</w:t>
            </w:r>
          </w:p>
        </w:tc>
        <w:tc>
          <w:tcPr>
            <w:tcW w:w="3320" w:type="dxa"/>
            <w:tcBorders>
              <w:top w:val="nil"/>
              <w:left w:val="nil"/>
              <w:bottom w:val="nil"/>
              <w:right w:val="nil"/>
            </w:tcBorders>
            <w:noWrap/>
            <w:hideMark/>
          </w:tcPr>
          <w:p w:rsidR="00DA0FEA" w:rsidRPr="00DE68E0" w:rsidRDefault="00DA0FEA" w:rsidP="00B91A73">
            <w:pPr>
              <w:rPr>
                <w:rFonts w:ascii="Arial" w:eastAsia="Times New Roman" w:hAnsi="Arial" w:cs="Arial"/>
                <w:bCs/>
                <w:color w:val="000000"/>
                <w:sz w:val="20"/>
                <w:szCs w:val="20"/>
              </w:rPr>
            </w:pPr>
            <w:r w:rsidRPr="00DE68E0">
              <w:rPr>
                <w:rFonts w:ascii="Arial" w:eastAsia="Times New Roman" w:hAnsi="Arial" w:cs="Arial"/>
                <w:bCs/>
                <w:color w:val="000000"/>
                <w:sz w:val="20"/>
                <w:szCs w:val="20"/>
              </w:rPr>
              <w:t xml:space="preserve">AF112361 </w:t>
            </w:r>
          </w:p>
        </w:tc>
      </w:tr>
    </w:tbl>
    <w:p w:rsidR="00DA0FEA" w:rsidRDefault="00DA0FEA" w:rsidP="00DA0FEA">
      <w:pPr>
        <w:spacing w:line="480" w:lineRule="auto"/>
        <w:rPr>
          <w:b/>
        </w:rPr>
      </w:pPr>
    </w:p>
    <w:p w:rsidR="00AC1B72" w:rsidRPr="00DA0FEA" w:rsidRDefault="00AC1B72" w:rsidP="00DA0FEA"/>
    <w:sectPr w:rsidR="00AC1B72" w:rsidRPr="00DA0FEA" w:rsidSect="006B351B">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590C62"/>
    <w:rsid w:val="001A7F66"/>
    <w:rsid w:val="00590C62"/>
    <w:rsid w:val="006B351B"/>
    <w:rsid w:val="006F438A"/>
    <w:rsid w:val="007114B7"/>
    <w:rsid w:val="007E4540"/>
    <w:rsid w:val="00AC1B72"/>
    <w:rsid w:val="00DA0F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90C62"/>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DA0FEA"/>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1876</Words>
  <Characters>10699</Characters>
  <Application>Microsoft Office Word</Application>
  <DocSecurity>0</DocSecurity>
  <Lines>89</Lines>
  <Paragraphs>25</Paragraphs>
  <ScaleCrop>false</ScaleCrop>
  <Company/>
  <LinksUpToDate>false</LinksUpToDate>
  <CharactersWithSpaces>12550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jbodonzo</dc:creator>
  <cp:lastModifiedBy>jbodonzo</cp:lastModifiedBy>
  <cp:revision>3</cp:revision>
  <dcterms:created xsi:type="dcterms:W3CDTF">2016-11-10T12:47:00Z</dcterms:created>
  <dcterms:modified xsi:type="dcterms:W3CDTF">2016-11-12T11:13:00Z</dcterms:modified>
</cp:coreProperties>
</file>