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C35E9" w14:textId="77777777" w:rsidR="00BD4541" w:rsidRPr="00AE5093" w:rsidRDefault="00BD4541" w:rsidP="00BD4541">
      <w:pPr>
        <w:pStyle w:val="body"/>
        <w:rPr>
          <w:rFonts w:cs="Calibri"/>
          <w:b/>
          <w:sz w:val="32"/>
          <w:szCs w:val="32"/>
        </w:rPr>
      </w:pPr>
      <w:r w:rsidRPr="00AE5093">
        <w:rPr>
          <w:rFonts w:cs="Calibri"/>
          <w:b/>
          <w:sz w:val="32"/>
          <w:szCs w:val="32"/>
        </w:rPr>
        <w:t xml:space="preserve">Text S1: </w:t>
      </w:r>
      <w:r w:rsidR="00AE5093" w:rsidRPr="00AE5093">
        <w:rPr>
          <w:rFonts w:cs="Calibri"/>
          <w:b/>
          <w:sz w:val="32"/>
          <w:szCs w:val="32"/>
        </w:rPr>
        <w:t>Supplementary methods</w:t>
      </w:r>
    </w:p>
    <w:p w14:paraId="694A2D8F" w14:textId="2371B3FC" w:rsidR="00AE5093" w:rsidRPr="00E66D7A" w:rsidRDefault="00AE5093" w:rsidP="00E66D7A">
      <w:pPr>
        <w:pStyle w:val="subsubsection"/>
        <w:rPr>
          <w:rFonts w:cstheme="minorHAnsi"/>
          <w:b w:val="0"/>
          <w:sz w:val="32"/>
        </w:rPr>
      </w:pPr>
      <w:r w:rsidRPr="00E66D7A">
        <w:rPr>
          <w:rFonts w:asciiTheme="minorHAnsi" w:hAnsiTheme="minorHAnsi" w:cstheme="minorHAnsi"/>
          <w:i w:val="0"/>
          <w:sz w:val="32"/>
        </w:rPr>
        <w:t>Cloning</w:t>
      </w:r>
      <w:r w:rsidR="00D86FE1" w:rsidRPr="00E66D7A">
        <w:rPr>
          <w:rFonts w:asciiTheme="minorHAnsi" w:hAnsiTheme="minorHAnsi" w:cstheme="minorHAnsi"/>
          <w:i w:val="0"/>
          <w:sz w:val="32"/>
        </w:rPr>
        <w:tab/>
      </w:r>
    </w:p>
    <w:p w14:paraId="5DC2B458" w14:textId="77777777" w:rsidR="00AE5093" w:rsidRPr="00AE5093" w:rsidRDefault="00AE5093" w:rsidP="00BD4541">
      <w:pPr>
        <w:pStyle w:val="body"/>
        <w:rPr>
          <w:rFonts w:cs="Calibri"/>
        </w:rPr>
      </w:pPr>
      <w:r>
        <w:rPr>
          <w:rFonts w:cs="Calibri"/>
        </w:rPr>
        <w:t>We performed all cloning experiments in Luria-Bertani (LB) broth (Becton, Dickinson and company, Difco 244610), in LB solid agar and in Hanahan's Borth (Sigma H8021) supplemented with 20 mM glucose (Sigma G7021). We incubated our strains at 37</w:t>
      </w:r>
      <w:r>
        <w:rPr>
          <w:rFonts w:ascii="Ubuntu" w:eastAsia="Ubuntu" w:hAnsi="Ubuntu" w:cs="Ubuntu"/>
        </w:rPr>
        <w:t>°</w:t>
      </w:r>
      <w:r>
        <w:rPr>
          <w:rFonts w:cs="Calibri"/>
        </w:rPr>
        <w:t>C unless otherwise specified. We used the following antibiotics in our experiment: chloramphenicol (Sigma C0378), gentamycin sulfate (AppliChem A1492</w:t>
      </w:r>
      <w:r>
        <w:rPr>
          <w:rFonts w:eastAsia="Times New Roman" w:cs="Calibri"/>
        </w:rPr>
        <w:t>0</w:t>
      </w:r>
      <w:r>
        <w:rPr>
          <w:rFonts w:cs="Calibri"/>
        </w:rPr>
        <w:t xml:space="preserve">010), kanamycin sulfate (Sigma K1377), nalidixic acid (Simga-Aldrich N8878), and rifampicin (Sigma R3501). See below for specific concentration(s) of antibiotics used in individual experiments. </w:t>
      </w:r>
    </w:p>
    <w:p w14:paraId="118D754E" w14:textId="15AABC87" w:rsidR="00BD4541" w:rsidRDefault="00BD4541" w:rsidP="00BD4541">
      <w:pPr>
        <w:pStyle w:val="body"/>
        <w:rPr>
          <w:rFonts w:cs="Calibri"/>
        </w:rPr>
      </w:pPr>
      <w:r>
        <w:rPr>
          <w:rFonts w:cs="Calibri"/>
        </w:rPr>
        <w:t xml:space="preserve">We construct </w:t>
      </w:r>
      <w:r w:rsidR="005261C1">
        <w:rPr>
          <w:rFonts w:cs="Calibri"/>
        </w:rPr>
        <w:t>the</w:t>
      </w:r>
      <w:r>
        <w:rPr>
          <w:rFonts w:cs="Calibri"/>
        </w:rPr>
        <w:t xml:space="preserve"> W recipient by inactivating the </w:t>
      </w:r>
      <w:r>
        <w:rPr>
          <w:rFonts w:cs="Calibri"/>
          <w:i/>
          <w:iCs/>
        </w:rPr>
        <w:t>hsdRS</w:t>
      </w:r>
      <w:r>
        <w:rPr>
          <w:rFonts w:cs="Calibri"/>
        </w:rPr>
        <w:t xml:space="preserve"> and </w:t>
      </w:r>
      <w:r>
        <w:rPr>
          <w:rFonts w:cs="Calibri"/>
          <w:i/>
          <w:iCs/>
        </w:rPr>
        <w:t>mrcBC</w:t>
      </w:r>
      <w:r>
        <w:rPr>
          <w:rFonts w:cs="Calibri"/>
        </w:rPr>
        <w:t xml:space="preserve"> genes in </w:t>
      </w:r>
      <w:r>
        <w:rPr>
          <w:rFonts w:cs="Calibri"/>
          <w:i/>
        </w:rPr>
        <w:t>E.coli W</w:t>
      </w:r>
      <w:r>
        <w:rPr>
          <w:rFonts w:cs="Calibri"/>
        </w:rPr>
        <w:t xml:space="preserve"> using the </w:t>
      </w:r>
      <w:r>
        <w:rPr>
          <w:rFonts w:hint="eastAsia"/>
        </w:rPr>
        <w:t>λ</w:t>
      </w:r>
      <w:r>
        <w:rPr>
          <w:rFonts w:cs="Calibri"/>
        </w:rPr>
        <w:t xml:space="preserve"> red-mediated gene replacement system </w:t>
      </w:r>
      <w:r>
        <w:rPr>
          <w:rFonts w:cs="Calibri"/>
        </w:rPr>
        <w:fldChar w:fldCharType="begin" w:fldLock="1"/>
      </w:r>
      <w:r w:rsidR="00595277">
        <w:rPr>
          <w:rFonts w:cs="Calibri"/>
        </w:rPr>
        <w:instrText>ADDIN CSL_CITATION { "citationItems" : [ { "id" : "ITEM-1", "itemData" : { "author" : [ { "dropping-particle" : "", "family" : "Datsenko", "given" : "Kirill A", "non-dropping-particle" : "", "parse-names" : false, "suffix" : "" }, { "dropping-particle" : "", "family" : "Wanner", "given" : "Barry L", "non-dropping-particle" : "", "parse-names" : false, "suffix" : "" } ], "container-title" : "Proceedings of the National Academy of Sciences", "id" : "ITEM-1", "issue" : "12", "issued" : { "date-parts" : [ [ "2000" ] ] }, "page" : "6640-6645", "publisher" : "National Acad Sciences", "title" : "One-step inactivation of chromosomal genes in Escherichia coli K-12 using PCR products", "type" : "article-journal", "volume" : "97" }, "uris" : [ "http://www.mendeley.com/documents/?uuid=109b2cdb-f34c-4e41-b5da-b30f4530bc6e" ] } ], "mendeley" : { "formattedCitation" : "[1]", "plainTextFormattedCitation" : "[1]", "previouslyFormattedCitation" : "[1]" }, "properties" : { "noteIndex" : 0 }, "schema" : "https://github.com/citation-style-language/schema/raw/master/csl-citation.json" }</w:instrText>
      </w:r>
      <w:r>
        <w:rPr>
          <w:rFonts w:cs="Calibri"/>
        </w:rPr>
        <w:fldChar w:fldCharType="separate"/>
      </w:r>
      <w:r w:rsidR="00346A22" w:rsidRPr="00346A22">
        <w:rPr>
          <w:rFonts w:cs="Calibri"/>
          <w:noProof/>
        </w:rPr>
        <w:t>[1]</w:t>
      </w:r>
      <w:r>
        <w:rPr>
          <w:rFonts w:cs="Calibri"/>
        </w:rPr>
        <w:fldChar w:fldCharType="end"/>
      </w:r>
      <w:r>
        <w:rPr>
          <w:rFonts w:cs="Calibri"/>
        </w:rPr>
        <w:t xml:space="preserve">. These genes are involved in the type III restriction-modification system, which degrades foreign DNA </w:t>
      </w:r>
      <w:r>
        <w:rPr>
          <w:rFonts w:cs="Calibri"/>
        </w:rPr>
        <w:fldChar w:fldCharType="begin" w:fldLock="1"/>
      </w:r>
      <w:r w:rsidR="00595277">
        <w:rPr>
          <w:rFonts w:cs="Calibri"/>
        </w:rPr>
        <w:instrText>ADDIN CSL_CITATION { "citationItems" : [ { "id" : "ITEM-1", "itemData" : { "author" : [ { "dropping-particle" : "", "family" : "Rao", "given" : "Desirazu N", "non-dropping-particle" : "", "parse-names" : false, "suffix" : "" }, { "dropping-particle" : "", "family" : "Dryden", "given" : "David T F", "non-dropping-particle" : "", "parse-names" : false, "suffix" : "" }, { "dropping-particle" : "", "family" : "Bheemanaik", "given" : "Shivakumara", "non-dropping-particle" : "", "parse-names" : false, "suffix" : "" } ], "container-title" : "Nucleic acids research", "id" : "ITEM-1", "issue" : "1", "issued" : { "date-parts" : [ [ "2014" ] ] }, "page" : "45-55", "publisher" : "Oxford Univ Press", "title" : "Type III restriction-modification enzymes: a historical perspective", "type" : "article-journal", "volume" : "42" }, "uris" : [ "http://www.mendeley.com/documents/?uuid=f7eee115-efd4-49b5-8fdb-1af9f2fc7b1e" ] } ], "mendeley" : { "formattedCitation" : "[2]", "plainTextFormattedCitation" : "[2]", "previouslyFormattedCitation" : "[2]" }, "properties" : { "noteIndex" : 0 }, "schema" : "https://github.com/citation-style-language/schema/raw/master/csl-citation.json" }</w:instrText>
      </w:r>
      <w:r>
        <w:rPr>
          <w:rFonts w:cs="Calibri"/>
        </w:rPr>
        <w:fldChar w:fldCharType="separate"/>
      </w:r>
      <w:r w:rsidR="00346A22" w:rsidRPr="00346A22">
        <w:rPr>
          <w:rFonts w:cs="Calibri"/>
          <w:noProof/>
        </w:rPr>
        <w:t>[2]</w:t>
      </w:r>
      <w:r>
        <w:rPr>
          <w:rFonts w:cs="Calibri"/>
        </w:rPr>
        <w:fldChar w:fldCharType="end"/>
      </w:r>
      <w:r>
        <w:rPr>
          <w:rFonts w:cs="Calibri"/>
        </w:rPr>
        <w:t xml:space="preserve">. </w:t>
      </w:r>
      <w:r>
        <w:rPr>
          <w:rFonts w:cs="Calibri"/>
          <w:i/>
          <w:iCs/>
        </w:rPr>
        <w:t>hsdRS</w:t>
      </w:r>
      <w:r>
        <w:rPr>
          <w:rFonts w:cs="Calibri"/>
        </w:rPr>
        <w:t xml:space="preserve"> encodes a restriction endonuclease, which cleaves unmethylated DNA sequences; </w:t>
      </w:r>
      <w:r>
        <w:rPr>
          <w:rFonts w:cs="Calibri"/>
          <w:i/>
          <w:iCs/>
        </w:rPr>
        <w:t xml:space="preserve">mrcBC </w:t>
      </w:r>
      <w:r>
        <w:rPr>
          <w:rFonts w:cs="Calibri"/>
        </w:rPr>
        <w:t xml:space="preserve">encodes a DNA methyltransferase, which methylates the host genome, protecting it from restriction </w:t>
      </w:r>
      <w:r>
        <w:rPr>
          <w:rFonts w:cs="Calibri"/>
        </w:rPr>
        <w:fldChar w:fldCharType="begin" w:fldLock="1"/>
      </w:r>
      <w:r w:rsidR="00595277">
        <w:rPr>
          <w:rFonts w:cs="Calibri"/>
        </w:rPr>
        <w:instrText>ADDIN CSL_CITATION { "citationItems" : [ { "id" : "ITEM-1", "itemData" : { "author" : [ { "dropping-particle" : "", "family" : "Rao", "given" : "Desirazu N", "non-dropping-particle" : "", "parse-names" : false, "suffix" : "" }, { "dropping-particle" : "", "family" : "Dryden", "given" : "David T F", "non-dropping-particle" : "", "parse-names" : false, "suffix" : "" }, { "dropping-particle" : "", "family" : "Bheemanaik", "given" : "Shivakumara", "non-dropping-particle" : "", "parse-names" : false, "suffix" : "" } ], "container-title" : "Nucleic acids research", "id" : "ITEM-1", "issue" : "1", "issued" : { "date-parts" : [ [ "2014" ] ] }, "page" : "45-55", "publisher" : "Oxford Univ Press", "title" : "Type III restriction-modification enzymes: a historical perspective", "type" : "article-journal", "volume" : "42" }, "uris" : [ "http://www.mendeley.com/documents/?uuid=f7eee115-efd4-49b5-8fdb-1af9f2fc7b1e" ] } ], "mendeley" : { "formattedCitation" : "[2]", "plainTextFormattedCitation" : "[2]", "previouslyFormattedCitation" : "[2]" }, "properties" : { "noteIndex" : 0 }, "schema" : "https://github.com/citation-style-language/schema/raw/master/csl-citation.json" }</w:instrText>
      </w:r>
      <w:r>
        <w:rPr>
          <w:rFonts w:cs="Calibri"/>
        </w:rPr>
        <w:fldChar w:fldCharType="separate"/>
      </w:r>
      <w:r w:rsidR="00346A22" w:rsidRPr="00346A22">
        <w:rPr>
          <w:rFonts w:cs="Calibri"/>
          <w:noProof/>
        </w:rPr>
        <w:t>[2]</w:t>
      </w:r>
      <w:r>
        <w:rPr>
          <w:rFonts w:cs="Calibri"/>
        </w:rPr>
        <w:fldChar w:fldCharType="end"/>
      </w:r>
      <w:r>
        <w:rPr>
          <w:rFonts w:eastAsia="Times New Roman" w:cs="Calibri"/>
        </w:rPr>
        <w:t>.</w:t>
      </w:r>
    </w:p>
    <w:p w14:paraId="7AD9E2EF" w14:textId="702C018F" w:rsidR="005261C1" w:rsidRDefault="005261C1" w:rsidP="005261C1">
      <w:pPr>
        <w:pStyle w:val="body"/>
        <w:rPr>
          <w:rFonts w:cs="Calibri"/>
        </w:rPr>
      </w:pPr>
      <w:r>
        <w:rPr>
          <w:rFonts w:cs="Calibri"/>
        </w:rPr>
        <w:t>All donor strains contain a chromosomally integrated F plasmid region that harbors bacterial conjugative (</w:t>
      </w:r>
      <w:r>
        <w:rPr>
          <w:rFonts w:cs="Calibri"/>
          <w:i/>
          <w:iCs/>
        </w:rPr>
        <w:t>tra</w:t>
      </w:r>
      <w:r>
        <w:rPr>
          <w:rFonts w:cs="Calibri"/>
        </w:rPr>
        <w:t xml:space="preserve">) genes. In these strains, the </w:t>
      </w:r>
      <w:r>
        <w:rPr>
          <w:rFonts w:cs="Calibri"/>
          <w:i/>
          <w:iCs/>
        </w:rPr>
        <w:t>traST</w:t>
      </w:r>
      <w:r>
        <w:rPr>
          <w:rFonts w:cs="Calibri"/>
        </w:rPr>
        <w:t xml:space="preserve"> genes, which are responsible for mating specificity </w:t>
      </w:r>
      <w:r>
        <w:rPr>
          <w:rFonts w:cs="Calibri"/>
        </w:rPr>
        <w:fldChar w:fldCharType="begin" w:fldLock="1"/>
      </w:r>
      <w:r w:rsidR="00595277">
        <w:rPr>
          <w:rFonts w:cs="Calibri"/>
        </w:rPr>
        <w:instrText>ADDIN CSL_CITATION { "citationItems" : [ { "id" : "ITEM-1", "itemData" : { "ISSN" : "0027-8424", "author" : [ { "dropping-particle" : "", "family" : "Achtman", "given" : "Mark", "non-dropping-particle" : "", "parse-names" : false, "suffix" : "" }, { "dropping-particle" : "", "family" : "Kennedy", "given" : "Nicholas", "non-dropping-particle" : "", "parse-names" : false, "suffix" : "" }, { "dropping-particle" : "", "family" : "Skurray", "given" : "Ron", "non-dropping-particle" : "", "parse-names" : false, "suffix" : "" } ], "container-title" : "Proceedings of the National Academy of Sciences", "id" : "ITEM-1", "issue" : "11", "issued" : { "date-parts" : [ [ "1977" ] ] }, "page" : "5104-5108", "publisher" : "National Acad Sciences", "title" : "Cell--cell interactions in conjugating Escherichia coli: role of traT protein in surface exclusion", "type" : "article-journal", "volume" : "74" }, "uris" : [ "http://www.mendeley.com/documents/?uuid=e7e823e6-f1cf-48fb-815c-cb47d059590d" ] } ], "mendeley" : { "formattedCitation" : "[3]", "plainTextFormattedCitation" : "[3]", "previouslyFormattedCitation" : "[3]" }, "properties" : { "noteIndex" : 0 }, "schema" : "https://github.com/citation-style-language/schema/raw/master/csl-citation.json" }</w:instrText>
      </w:r>
      <w:r>
        <w:rPr>
          <w:rFonts w:cs="Calibri"/>
        </w:rPr>
        <w:fldChar w:fldCharType="separate"/>
      </w:r>
      <w:r w:rsidR="00346A22" w:rsidRPr="00346A22">
        <w:rPr>
          <w:rFonts w:cs="Calibri"/>
          <w:noProof/>
        </w:rPr>
        <w:t>[3]</w:t>
      </w:r>
      <w:r>
        <w:rPr>
          <w:rFonts w:cs="Calibri"/>
        </w:rPr>
        <w:fldChar w:fldCharType="end"/>
      </w:r>
      <w:r>
        <w:rPr>
          <w:rFonts w:cs="Calibri"/>
        </w:rPr>
        <w:t xml:space="preserve"> are inactivated to maximize mating frequency </w:t>
      </w:r>
      <w:r>
        <w:rPr>
          <w:rFonts w:cs="Calibri"/>
        </w:rPr>
        <w:fldChar w:fldCharType="begin" w:fldLock="1"/>
      </w:r>
      <w:r w:rsidR="00595277">
        <w:rPr>
          <w:rFonts w:cs="Calibri"/>
        </w:rPr>
        <w:instrText>ADDIN CSL_CITATION { "citationItems" : [ { "id" : "ITEM-1", "itemData" : { "DOI" : "10.1016/j.ymben.2012.07.004", "ISBN" : "1096-7184 (Electronic)\\r1096-7176 (Linking)", "ISSN" : "10967176", "PMID" : "22842472", "abstract" : "Evolutionary engineering typically involves asexual propagation of a strain to improve a desired phenotype. However, asexual populations suffer from extensive clonal interference, a phenomenon where distinct lineages of beneficial clones compete and are often lost from the population given sufficient time. Improved adaptive mutants can likely be generated by genetic exchange between lineages, thereby reducing clonal interference. We present a system that allows continuous . in situ recombination by using an . Esherichia coli F-based conjugation system lacking surface exclusion. Evolution experiments revealed that Hfr-mediated recombination significantly speeds adaptation in certain circumstances. These results show that our system is stable, effective, and suitable for use in evolutionary engineering applications. ?? 2012 Elsevier Inc.", "author" : [ { "dropping-particle" : "", "family" : "Winkler", "given" : "James", "non-dropping-particle" : "", "parse-names" : false, "suffix" : "" }, { "dropping-particle" : "", "family" : "Kao", "given" : "Katy C.", "non-dropping-particle" : "", "parse-names" : false, "suffix" : "" } ], "container-title" : "Metabolic Engineering", "genre" : "article", "id" : "ITEM-1", "issue" : "5", "issued" : { "date-parts" : [ [ "2012" ] ] }, "page" : "487-495", "publisher" : "Elsevier", "title" : "Harnessing recombination to speed adaptive evolution in Escherichia coli", "type" : "article-journal", "volume" : "14" }, "uris" : [ "http://www.mendeley.com/documents/?uuid=07a1e623-ee31-4b38-979f-14f0f500c627", "http://www.mendeley.com/documents/?uuid=09bf527b-efd0-4201-9ad3-54c0d0a028ad", "http://www.mendeley.com/documents/?uuid=c59656da-9582-4e7b-80b6-082c2cab3eab" ] } ], "mendeley" : { "formattedCitation" : "[4]", "plainTextFormattedCitation" : "[4]", "previouslyFormattedCitation" : "[4]" }, "properties" : { "noteIndex" : 0 }, "schema" : "https://github.com/citation-style-language/schema/raw/master/csl-citation.json" }</w:instrText>
      </w:r>
      <w:r>
        <w:rPr>
          <w:rFonts w:cs="Calibri"/>
        </w:rPr>
        <w:fldChar w:fldCharType="separate"/>
      </w:r>
      <w:r w:rsidR="00346A22" w:rsidRPr="00346A22">
        <w:rPr>
          <w:rFonts w:cs="Calibri"/>
          <w:noProof/>
        </w:rPr>
        <w:t>[4]</w:t>
      </w:r>
      <w:r>
        <w:rPr>
          <w:rFonts w:cs="Calibri"/>
        </w:rPr>
        <w:fldChar w:fldCharType="end"/>
      </w:r>
      <w:r>
        <w:rPr>
          <w:rFonts w:cs="Calibri"/>
        </w:rPr>
        <w:t xml:space="preserve">. The F </w:t>
      </w:r>
      <w:r>
        <w:rPr>
          <w:rFonts w:cs="Calibri"/>
        </w:rPr>
        <w:lastRenderedPageBreak/>
        <w:t xml:space="preserve">plasmid is integrated into the </w:t>
      </w:r>
      <w:r>
        <w:rPr>
          <w:rFonts w:cs="Calibri"/>
          <w:i/>
          <w:iCs/>
        </w:rPr>
        <w:t>trp</w:t>
      </w:r>
      <w:r>
        <w:rPr>
          <w:rFonts w:cs="Calibri"/>
        </w:rPr>
        <w:t xml:space="preserve"> operon, leading to tryptophan auxotrophy in all three donor strains. In addition, these strains contain not just one origin of transfer (</w:t>
      </w:r>
      <w:r>
        <w:rPr>
          <w:rFonts w:cs="Calibri"/>
          <w:i/>
          <w:iCs/>
        </w:rPr>
        <w:t>OriT</w:t>
      </w:r>
      <w:r>
        <w:rPr>
          <w:rFonts w:cs="Calibri"/>
        </w:rPr>
        <w:t xml:space="preserve">) region (inside the F plasmid integrate) but three of these regions, two of which are placed outside the integrate (Figure S1). </w:t>
      </w:r>
      <w:r>
        <w:rPr>
          <w:rFonts w:cs="Calibri"/>
          <w:i/>
        </w:rPr>
        <w:t>OriT</w:t>
      </w:r>
      <w:r>
        <w:rPr>
          <w:rFonts w:cs="Calibri"/>
        </w:rPr>
        <w:t xml:space="preserve"> sequences are recognition sequences for the conjugative proteins binding to and initiating DNA transfer during conjugation (Table S1). In the </w:t>
      </w:r>
      <w:r>
        <w:rPr>
          <w:rFonts w:cs="Calibri"/>
          <w:i/>
          <w:iCs/>
        </w:rPr>
        <w:t>E. coli</w:t>
      </w:r>
      <w:r>
        <w:rPr>
          <w:rFonts w:cs="Calibri"/>
        </w:rPr>
        <w:t xml:space="preserve"> K and B donor, these two </w:t>
      </w:r>
      <w:r>
        <w:rPr>
          <w:rFonts w:cs="Calibri"/>
          <w:i/>
          <w:iCs/>
        </w:rPr>
        <w:t>OriT</w:t>
      </w:r>
      <w:r>
        <w:rPr>
          <w:rFonts w:cs="Calibri"/>
        </w:rPr>
        <w:t xml:space="preserve"> sequences are inserted into the pseudogenes </w:t>
      </w:r>
      <w:r>
        <w:rPr>
          <w:rFonts w:cs="Calibri"/>
          <w:i/>
          <w:iCs/>
        </w:rPr>
        <w:t xml:space="preserve">mbhA </w:t>
      </w:r>
      <w:r>
        <w:rPr>
          <w:rFonts w:cs="Calibri"/>
        </w:rPr>
        <w:t xml:space="preserve">and </w:t>
      </w:r>
      <w:r>
        <w:rPr>
          <w:rFonts w:cs="Calibri"/>
          <w:i/>
          <w:iCs/>
        </w:rPr>
        <w:t>hyfC</w:t>
      </w:r>
      <w:r>
        <w:rPr>
          <w:rFonts w:cs="Calibri"/>
        </w:rPr>
        <w:t xml:space="preserve">. We obtained the K donor directly from the Kao lab </w:t>
      </w:r>
      <w:r>
        <w:rPr>
          <w:rFonts w:cs="Calibri"/>
        </w:rPr>
        <w:fldChar w:fldCharType="begin" w:fldLock="1"/>
      </w:r>
      <w:r w:rsidR="00595277">
        <w:rPr>
          <w:rFonts w:cs="Calibri"/>
        </w:rPr>
        <w:instrText>ADDIN CSL_CITATION { "citationItems" : [ { "id" : "ITEM-1", "itemData" : { "DOI" : "10.1016/j.ymben.2012.07.004", "ISBN" : "1096-7184 (Electronic)\\r1096-7176 (Linking)", "ISSN" : "10967176", "PMID" : "22842472", "abstract" : "Evolutionary engineering typically involves asexual propagation of a strain to improve a desired phenotype. However, asexual populations suffer from extensive clonal interference, a phenomenon where distinct lineages of beneficial clones compete and are often lost from the population given sufficient time. Improved adaptive mutants can likely be generated by genetic exchange between lineages, thereby reducing clonal interference. We present a system that allows continuous . in situ recombination by using an . Esherichia coli F-based conjugation system lacking surface exclusion. Evolution experiments revealed that Hfr-mediated recombination significantly speeds adaptation in certain circumstances. These results show that our system is stable, effective, and suitable for use in evolutionary engineering applications. ?? 2012 Elsevier Inc.", "author" : [ { "dropping-particle" : "", "family" : "Winkler", "given" : "James", "non-dropping-particle" : "", "parse-names" : false, "suffix" : "" }, { "dropping-particle" : "", "family" : "Kao", "given" : "Katy C.", "non-dropping-particle" : "", "parse-names" : false, "suffix" : "" } ], "container-title" : "Metabolic Engineering", "genre" : "article", "id" : "ITEM-1", "issue" : "5", "issued" : { "date-parts" : [ [ "2012" ] ] }, "page" : "487-495", "publisher" : "Elsevier", "title" : "Harnessing recombination to speed adaptive evolution in Escherichia coli", "type" : "article-journal", "volume" : "14" }, "uris" : [ "http://www.mendeley.com/documents/?uuid=07a1e623-ee31-4b38-979f-14f0f500c627", "http://www.mendeley.com/documents/?uuid=09bf527b-efd0-4201-9ad3-54c0d0a028ad", "http://www.mendeley.com/documents/?uuid=c59656da-9582-4e7b-80b6-082c2cab3eab" ] } ], "mendeley" : { "formattedCitation" : "[4]", "plainTextFormattedCitation" : "[4]", "previouslyFormattedCitation" : "[4]" }, "properties" : { "noteIndex" : 0 }, "schema" : "https://github.com/citation-style-language/schema/raw/master/csl-citation.json" }</w:instrText>
      </w:r>
      <w:r>
        <w:rPr>
          <w:rFonts w:cs="Calibri"/>
        </w:rPr>
        <w:fldChar w:fldCharType="separate"/>
      </w:r>
      <w:r w:rsidR="00346A22" w:rsidRPr="00346A22">
        <w:rPr>
          <w:rFonts w:cs="Calibri"/>
          <w:noProof/>
        </w:rPr>
        <w:t>[4]</w:t>
      </w:r>
      <w:r>
        <w:rPr>
          <w:rFonts w:cs="Calibri"/>
        </w:rPr>
        <w:fldChar w:fldCharType="end"/>
      </w:r>
      <w:r>
        <w:rPr>
          <w:rFonts w:cs="Calibri"/>
        </w:rPr>
        <w:t xml:space="preserve">, (Table S1), and engineered the additional two </w:t>
      </w:r>
      <w:r>
        <w:rPr>
          <w:rFonts w:cs="Calibri"/>
          <w:i/>
        </w:rPr>
        <w:t>oriT</w:t>
      </w:r>
      <w:r>
        <w:rPr>
          <w:rFonts w:cs="Calibri"/>
        </w:rPr>
        <w:t xml:space="preserve"> regions into </w:t>
      </w:r>
      <w:r>
        <w:rPr>
          <w:rFonts w:cs="Calibri"/>
          <w:i/>
          <w:iCs/>
        </w:rPr>
        <w:t xml:space="preserve">mbhA </w:t>
      </w:r>
      <w:r>
        <w:rPr>
          <w:rFonts w:cs="Calibri"/>
        </w:rPr>
        <w:t xml:space="preserve">and </w:t>
      </w:r>
      <w:r>
        <w:rPr>
          <w:rFonts w:cs="Calibri"/>
          <w:i/>
          <w:iCs/>
        </w:rPr>
        <w:t>hyfC</w:t>
      </w:r>
      <w:r>
        <w:rPr>
          <w:rFonts w:cs="Calibri"/>
        </w:rPr>
        <w:t xml:space="preserve"> ourselves to construct the B donor. Because </w:t>
      </w:r>
      <w:r>
        <w:rPr>
          <w:rFonts w:cs="Calibri"/>
          <w:i/>
          <w:iCs/>
        </w:rPr>
        <w:t>E. coli</w:t>
      </w:r>
      <w:r>
        <w:rPr>
          <w:rFonts w:cs="Calibri"/>
        </w:rPr>
        <w:t xml:space="preserve"> W lacks the </w:t>
      </w:r>
      <w:r>
        <w:rPr>
          <w:rFonts w:cs="Calibri"/>
          <w:i/>
          <w:iCs/>
        </w:rPr>
        <w:t>mbhA</w:t>
      </w:r>
      <w:r>
        <w:rPr>
          <w:rFonts w:cs="Calibri"/>
        </w:rPr>
        <w:t xml:space="preserve"> orthologue, we inserted the two </w:t>
      </w:r>
      <w:r>
        <w:rPr>
          <w:rFonts w:cs="Calibri"/>
          <w:i/>
          <w:iCs/>
        </w:rPr>
        <w:t>OriT</w:t>
      </w:r>
      <w:r>
        <w:rPr>
          <w:rFonts w:cs="Calibri"/>
        </w:rPr>
        <w:t xml:space="preserve">s into </w:t>
      </w:r>
      <w:r>
        <w:rPr>
          <w:rFonts w:cs="Calibri"/>
          <w:i/>
          <w:iCs/>
        </w:rPr>
        <w:t>hsdRS</w:t>
      </w:r>
      <w:r>
        <w:rPr>
          <w:rFonts w:cs="Calibri"/>
        </w:rPr>
        <w:t xml:space="preserve"> and </w:t>
      </w:r>
      <w:r>
        <w:rPr>
          <w:rFonts w:cs="Calibri"/>
          <w:i/>
          <w:iCs/>
        </w:rPr>
        <w:t>hyfC</w:t>
      </w:r>
      <w:r>
        <w:rPr>
          <w:rFonts w:cs="Calibri"/>
        </w:rPr>
        <w:t xml:space="preserve">. We note that in all three donor strains the three </w:t>
      </w:r>
      <w:r>
        <w:rPr>
          <w:rFonts w:cs="Calibri"/>
          <w:i/>
          <w:iCs/>
        </w:rPr>
        <w:t>OriT</w:t>
      </w:r>
      <w:r>
        <w:rPr>
          <w:rFonts w:cs="Calibri"/>
        </w:rPr>
        <w:t xml:space="preserve"> regions occur at widely spaced genomic locations to maximize the diversity of transferred DNA (Figure S1). </w:t>
      </w:r>
      <w:bookmarkStart w:id="0" w:name="_GoBack"/>
      <w:bookmarkEnd w:id="0"/>
    </w:p>
    <w:p w14:paraId="13E3F478" w14:textId="77777777" w:rsidR="00813D57" w:rsidRPr="0058389A" w:rsidRDefault="00813D57" w:rsidP="00813D57">
      <w:pPr>
        <w:pStyle w:val="subsubsection"/>
        <w:rPr>
          <w:rFonts w:asciiTheme="minorHAnsi" w:hAnsiTheme="minorHAnsi" w:cstheme="minorHAnsi"/>
          <w:i w:val="0"/>
          <w:sz w:val="32"/>
        </w:rPr>
      </w:pPr>
      <w:r w:rsidRPr="0058389A">
        <w:rPr>
          <w:rFonts w:asciiTheme="minorHAnsi" w:hAnsiTheme="minorHAnsi" w:cstheme="minorHAnsi"/>
          <w:i w:val="0"/>
          <w:sz w:val="32"/>
        </w:rPr>
        <w:t xml:space="preserve">Conjugation efficiency assays </w:t>
      </w:r>
    </w:p>
    <w:p w14:paraId="2B266CFF" w14:textId="3D4137D1" w:rsidR="00813D57" w:rsidRPr="00BE6242" w:rsidRDefault="00813D57" w:rsidP="00813D57">
      <w:pPr>
        <w:pStyle w:val="body"/>
        <w:rPr>
          <w:rFonts w:cs="Calibri"/>
        </w:rPr>
      </w:pPr>
      <w:r>
        <w:rPr>
          <w:rFonts w:cs="Calibri"/>
        </w:rPr>
        <w:t>We tested the conjugation efficiency of each of our donor strains with each recipient strain. The conjugation assays we used determine how frequently a donor transfers a specific antibiotic resistance marker to the recipient. These assays involved the four antibiotics chloramphenicol, gentamycin, nalidixic acid, and rifampicin. The genes encoding resistance to them are located in different genomic regions and are at least five minutes (</w:t>
      </w:r>
      <w:r>
        <w:rPr>
          <w:rFonts w:ascii="Calibri" w:hAnsi="Calibri" w:cs="Calibri"/>
        </w:rPr>
        <w:t>~</w:t>
      </w:r>
      <w:r>
        <w:rPr>
          <w:rFonts w:cs="Calibri"/>
        </w:rPr>
        <w:t xml:space="preserve"> 400 kbp) apart from each other (Table S3). As a result of their </w:t>
      </w:r>
      <w:r w:rsidR="005E405C">
        <w:rPr>
          <w:rFonts w:cs="Calibri"/>
        </w:rPr>
        <w:t>construction</w:t>
      </w:r>
      <w:r>
        <w:rPr>
          <w:rFonts w:cs="Calibri"/>
        </w:rPr>
        <w:t xml:space="preserve">, the donor strains are already resistant to chloramphenicol and gentamycin. However, they are susceptible to nalidixic acid and rifampicin. For the </w:t>
      </w:r>
      <w:r>
        <w:rPr>
          <w:rFonts w:cs="Calibri"/>
        </w:rPr>
        <w:lastRenderedPageBreak/>
        <w:t xml:space="preserve">purpose of the conjugation assays, we thus wished to create K, B, and W recipient strains that are resistant to nalidixic acid and to rifampicin, taking advantage of the fact that these resistances can emerge spontaneously and are associated with mutations in the genes </w:t>
      </w:r>
      <w:r w:rsidRPr="0084065D">
        <w:rPr>
          <w:rFonts w:cs="Calibri"/>
          <w:i/>
        </w:rPr>
        <w:t>gyr</w:t>
      </w:r>
      <w:r>
        <w:rPr>
          <w:rFonts w:cs="Calibri"/>
          <w:i/>
        </w:rPr>
        <w:t xml:space="preserve">B </w:t>
      </w:r>
      <w:r>
        <w:rPr>
          <w:rFonts w:cs="Calibri"/>
        </w:rPr>
        <w:t xml:space="preserve">and </w:t>
      </w:r>
      <w:r w:rsidRPr="0084065D">
        <w:rPr>
          <w:rFonts w:cs="Calibri"/>
          <w:i/>
        </w:rPr>
        <w:t>rpoB</w:t>
      </w:r>
      <w:r>
        <w:rPr>
          <w:rFonts w:cs="Calibri"/>
        </w:rPr>
        <w:t xml:space="preserve">, respectively </w:t>
      </w:r>
      <w:r>
        <w:rPr>
          <w:rFonts w:cs="Calibri"/>
        </w:rPr>
        <w:fldChar w:fldCharType="begin" w:fldLock="1"/>
      </w:r>
      <w:r w:rsidR="004540E0">
        <w:rPr>
          <w:rFonts w:cs="Calibri"/>
        </w:rPr>
        <w:instrText>ADDIN CSL_CITATION { "citationItems" : [ { "id" : "ITEM-1", "itemData" : { "ISSN" : "0027-8424", "author" : [ { "dropping-particle" : "", "family" : "Gellert", "given" : "Martin", "non-dropping-particle" : "", "parse-names" : false, "suffix" : "" }, { "dropping-particle" : "", "family" : "Mizuuchi", "given" : "Kiyoshi", "non-dropping-particle" : "", "parse-names" : false, "suffix" : "" }, { "dropping-particle" : "", "family" : "O'Dea", "given" : "Mary H", "non-dropping-particle" : "", "parse-names" : false, "suffix" : "" }, { "dropping-particle" : "", "family" : "Itoh", "given" : "Tateo", "non-dropping-particle" : "", "parse-names" : false, "suffix" : "" }, { "dropping-particle" : "", "family" : "Tomizawa", "given" : "Jun-Ichi", "non-dropping-particle" : "", "parse-names" : false, "suffix" : "" } ], "container-title" : "Proceedings of the National Academy of Sciences", "id" : "ITEM-1", "issue" : "11", "issued" : { "date-parts" : [ [ "1977" ] ] }, "page" : "4772-4776", "publisher" : "National Acad Sciences", "title" : "Nalidixic acid resistance: a second genetic character involved in DNA gyrase activity", "type" : "article-journal", "volume" : "74" }, "uris" : [ "http://www.mendeley.com/documents/?uuid=ccd3f471-36e3-41de-a736-e43ce0f1c4e4", "http://www.mendeley.com/documents/?uuid=081549dd-c9eb-4a71-9fcf-2d163e1540f6" ] }, { "id" : "ITEM-2", "itemData" : { "DOI" : "10.1016/0022-2836(88)90517-7", "ISSN" : "0022-2836", "PMID" : "3050121", "abstract" : "Rifampicin is an antibiotic that inhibits the function of RNA polymerase in eubacteria. Mutations affecting the beta subunit of RNA polymerase can confer resistance to rifampicin. A large number of rifampicin-resistant (hereafter called Rifr) mutants have been isolated in Escherichia coli to probe the involvement of RNA polymerase in a variety of physiological processes. We have undertaken a comprehensive analysis of Rifr mutations to identify their structural and functional effects on RNA polymerase. Forty-two Rifr isolates with a variety of phenotypes were mapped to defined intervals within the rpoB gene using a set of deletions of the rpoB gene. The mutations were sequenced. Seventeen mutational alterations affecting 14 amino acid residues were identified. These alleles are located in three distinct clusters in the center of the rpoB gene. We discuss the implications of our results with regards to the structure of the rifampicin binding site.", "author" : [ { "dropping-particle" : "", "family" : "Jin", "given" : "Ding Jun", "non-dropping-particle" : "", "parse-names" : false, "suffix" : "" }, { "dropping-particle" : "", "family" : "Gross", "given" : "Carol A.", "non-dropping-particle" : "", "parse-names" : false, "suffix" : "" } ], "container-title" : "Journal of molecular biology", "id" : "ITEM-2", "issue" : "1", "issued" : { "date-parts" : [ [ "1988" ] ] }, "page" : "45-58", "title" : "Mapping and sequencing of mutations in the Escherichia coli rpoB gene that lead to rifampicin resistance.", "type" : "article-journal", "volume" : "202" }, "uris" : [ "http://www.mendeley.com/documents/?uuid=511c9da3-b32f-4a8e-a0e7-1535d10bab17", "http://www.mendeley.com/documents/?uuid=cf35e114-02f1-4836-bc36-140e92b8c95f" ] } ], "mendeley" : { "formattedCitation" : "[5,6]", "plainTextFormattedCitation" : "[5,6]", "previouslyFormattedCitation" : "[5,6]" }, "properties" : { "noteIndex" : 0 }, "schema" : "https://github.com/citation-style-language/schema/raw/master/csl-citation.json" }</w:instrText>
      </w:r>
      <w:r>
        <w:rPr>
          <w:rFonts w:cs="Calibri"/>
        </w:rPr>
        <w:fldChar w:fldCharType="separate"/>
      </w:r>
      <w:r w:rsidR="00346A22" w:rsidRPr="00346A22">
        <w:rPr>
          <w:rFonts w:cs="Calibri"/>
          <w:noProof/>
        </w:rPr>
        <w:t>[5,6]</w:t>
      </w:r>
      <w:r>
        <w:rPr>
          <w:rFonts w:cs="Calibri"/>
        </w:rPr>
        <w:fldChar w:fldCharType="end"/>
      </w:r>
      <w:r>
        <w:rPr>
          <w:rFonts w:cs="Calibri"/>
        </w:rPr>
        <w:t xml:space="preserve">. </w:t>
      </w:r>
      <w:r w:rsidR="005E405C">
        <w:rPr>
          <w:rFonts w:cs="Calibri"/>
        </w:rPr>
        <w:t xml:space="preserve">Mutations in </w:t>
      </w:r>
      <w:r w:rsidRPr="00432A9D">
        <w:rPr>
          <w:rFonts w:cs="Calibri"/>
          <w:i/>
        </w:rPr>
        <w:t>g</w:t>
      </w:r>
      <w:r>
        <w:rPr>
          <w:rFonts w:cs="Calibri"/>
          <w:i/>
        </w:rPr>
        <w:t>yr</w:t>
      </w:r>
      <w:r w:rsidRPr="00432A9D">
        <w:rPr>
          <w:rFonts w:cs="Calibri"/>
          <w:i/>
        </w:rPr>
        <w:t>B</w:t>
      </w:r>
      <w:r>
        <w:rPr>
          <w:rFonts w:cs="Calibri"/>
        </w:rPr>
        <w:t xml:space="preserve"> </w:t>
      </w:r>
      <w:r w:rsidR="00196A1D">
        <w:rPr>
          <w:rFonts w:cs="Calibri"/>
        </w:rPr>
        <w:t xml:space="preserve">cause nalidixic acid resistance by </w:t>
      </w:r>
      <w:r w:rsidR="005E405C">
        <w:rPr>
          <w:rFonts w:cs="Calibri"/>
        </w:rPr>
        <w:t>alter</w:t>
      </w:r>
      <w:r w:rsidR="00196A1D">
        <w:rPr>
          <w:rFonts w:cs="Calibri"/>
        </w:rPr>
        <w:t>ing</w:t>
      </w:r>
      <w:r w:rsidR="005E405C">
        <w:rPr>
          <w:rFonts w:cs="Calibri"/>
        </w:rPr>
        <w:t xml:space="preserve"> the interaction of </w:t>
      </w:r>
      <w:r w:rsidR="00196A1D">
        <w:rPr>
          <w:rFonts w:cs="Calibri"/>
        </w:rPr>
        <w:t xml:space="preserve">the two </w:t>
      </w:r>
      <w:r w:rsidR="005E405C">
        <w:rPr>
          <w:rFonts w:cs="Calibri"/>
        </w:rPr>
        <w:t>gyrase subunit</w:t>
      </w:r>
      <w:r w:rsidR="00196A1D">
        <w:rPr>
          <w:rFonts w:cs="Calibri"/>
        </w:rPr>
        <w:t>s</w:t>
      </w:r>
      <w:r w:rsidR="005E405C">
        <w:rPr>
          <w:rFonts w:cs="Calibri"/>
        </w:rPr>
        <w:t xml:space="preserve"> B and A (encoded </w:t>
      </w:r>
      <w:r>
        <w:rPr>
          <w:rFonts w:cs="Calibri"/>
        </w:rPr>
        <w:t xml:space="preserve">by </w:t>
      </w:r>
      <w:r w:rsidRPr="00432A9D">
        <w:rPr>
          <w:rFonts w:cs="Calibri"/>
          <w:i/>
        </w:rPr>
        <w:t>gyrA</w:t>
      </w:r>
      <w:r w:rsidR="00196A1D" w:rsidRPr="00196A1D">
        <w:rPr>
          <w:rFonts w:cs="Calibri"/>
        </w:rPr>
        <w:t>)</w:t>
      </w:r>
      <w:r>
        <w:rPr>
          <w:rFonts w:cs="Calibri"/>
          <w:i/>
        </w:rPr>
        <w:t xml:space="preserve"> </w:t>
      </w:r>
      <w:r>
        <w:rPr>
          <w:rFonts w:cs="Calibri"/>
        </w:rPr>
        <w:fldChar w:fldCharType="begin" w:fldLock="1"/>
      </w:r>
      <w:r w:rsidR="00595277">
        <w:rPr>
          <w:rFonts w:cs="Calibri"/>
        </w:rPr>
        <w:instrText>ADDIN CSL_CITATION { "citationItems" : [ { "id" : "ITEM-1", "itemData" : { "ISSN" : "0099-2240", "author" : [ { "dropping-particle" : "", "family" : "Karczmarczyk", "given" : "Maria", "non-dropping-particle" : "", "parse-names" : false, "suffix" : "" }, { "dropping-particle" : "", "family" : "Martins", "given" : "Marta", "non-dropping-particle" : "", "parse-names" : false, "suffix" : "" }, { "dropping-particle" : "", "family" : "Quinn", "given" : "Teresa", "non-dropping-particle" : "", "parse-names" : false, "suffix" : "" }, { "dropping-particle" : "", "family" : "Leonard", "given" : "Nola", "non-dropping-particle" : "", "parse-names" : false, "suffix" : "" }, { "dropping-particle" : "", "family" : "Fanning", "given" : "S\u00e9amus", "non-dropping-particle" : "", "parse-names" : false, "suffix" : "" } ], "container-title" : "Applied and environmental microbiology", "id" : "ITEM-1", "issue" : "20", "issued" : { "date-parts" : [ [ "2011" ] ] }, "page" : "7113-7120", "publisher" : "Am Soc Microbiol", "title" : "Mechanisms of fluoroquinolone resistance in Escherichia coli isolates from food-producing animals", "type" : "article-journal", "volume" : "77" }, "uris" : [ "http://www.mendeley.com/documents/?uuid=3b607a5e-96ce-4804-8e8e-04b052f1f85a" ] } ], "mendeley" : { "formattedCitation" : "[7]", "plainTextFormattedCitation" : "[7]", "previouslyFormattedCitation" : "[7]" }, "properties" : { "noteIndex" : 0 }, "schema" : "https://github.com/citation-style-language/schema/raw/master/csl-citation.json" }</w:instrText>
      </w:r>
      <w:r>
        <w:rPr>
          <w:rFonts w:cs="Calibri"/>
        </w:rPr>
        <w:fldChar w:fldCharType="separate"/>
      </w:r>
      <w:r w:rsidR="00346A22" w:rsidRPr="00346A22">
        <w:rPr>
          <w:rFonts w:cs="Calibri"/>
          <w:noProof/>
        </w:rPr>
        <w:t>[7]</w:t>
      </w:r>
      <w:r>
        <w:rPr>
          <w:rFonts w:cs="Calibri"/>
        </w:rPr>
        <w:fldChar w:fldCharType="end"/>
      </w:r>
      <w:r w:rsidR="00196A1D">
        <w:rPr>
          <w:rFonts w:cs="Calibri"/>
        </w:rPr>
        <w:t xml:space="preserve">. </w:t>
      </w:r>
      <w:r>
        <w:rPr>
          <w:rFonts w:cs="Calibri"/>
        </w:rPr>
        <w:t xml:space="preserve"> </w:t>
      </w:r>
      <w:r>
        <w:rPr>
          <w:rFonts w:cs="Calibri"/>
          <w:i/>
        </w:rPr>
        <w:t>rpoB</w:t>
      </w:r>
      <w:r>
        <w:rPr>
          <w:rFonts w:cs="Calibri"/>
        </w:rPr>
        <w:t xml:space="preserve"> mutation</w:t>
      </w:r>
      <w:r w:rsidR="00196A1D">
        <w:rPr>
          <w:rFonts w:cs="Calibri"/>
        </w:rPr>
        <w:t>s</w:t>
      </w:r>
      <w:r>
        <w:rPr>
          <w:rFonts w:cs="Calibri"/>
        </w:rPr>
        <w:t xml:space="preserve"> </w:t>
      </w:r>
      <w:r w:rsidR="00196A1D">
        <w:rPr>
          <w:rFonts w:cs="Calibri"/>
        </w:rPr>
        <w:t xml:space="preserve">cause rifampicin resistance by reducing the antibiotic’s affinity to the </w:t>
      </w:r>
      <w:r>
        <w:rPr>
          <w:rFonts w:cs="Calibri"/>
        </w:rPr>
        <w:t xml:space="preserve"> </w:t>
      </w:r>
      <w:r w:rsidR="00196A1D">
        <w:rPr>
          <w:rFonts w:cstheme="minorHAnsi"/>
        </w:rPr>
        <w:t>ß</w:t>
      </w:r>
      <w:r w:rsidR="00196A1D">
        <w:rPr>
          <w:rFonts w:cs="Calibri"/>
        </w:rPr>
        <w:t>-subunit of RNA polymerase</w:t>
      </w:r>
      <w:r>
        <w:rPr>
          <w:rFonts w:cs="Calibri"/>
        </w:rPr>
        <w:t xml:space="preserve"> </w:t>
      </w:r>
      <w:r>
        <w:rPr>
          <w:rFonts w:cs="Calibri"/>
        </w:rPr>
        <w:fldChar w:fldCharType="begin" w:fldLock="1"/>
      </w:r>
      <w:r w:rsidR="00595277">
        <w:rPr>
          <w:rFonts w:cs="Calibri"/>
        </w:rPr>
        <w:instrText>ADDIN CSL_CITATION { "citationItems" : [ { "id" : "ITEM-1", "itemData" : { "ISSN" : "0092-8674", "author" : [ { "dropping-particle" : "", "family" : "Campbell", "given" : "Elizabeth A", "non-dropping-particle" : "", "parse-names" : false, "suffix" : "" }, { "dropping-particle" : "", "family" : "Korzheva", "given" : "Nataliya", "non-dropping-particle" : "", "parse-names" : false, "suffix" : "" }, { "dropping-particle" : "", "family" : "Mustaev", "given" : "Arkady", "non-dropping-particle" : "", "parse-names" : false, "suffix" : "" }, { "dropping-particle" : "", "family" : "Murakami", "given" : "Katsuhiko", "non-dropping-particle" : "", "parse-names" : false, "suffix" : "" }, { "dropping-particle" : "", "family" : "Nair", "given" : "Satish", "non-dropping-particle" : "", "parse-names" : false, "suffix" : "" }, { "dropping-particle" : "", "family" : "Goldfarb", "given" : "Alex", "non-dropping-particle" : "", "parse-names" : false, "suffix" : "" }, { "dropping-particle" : "", "family" : "Darst", "given" : "Seth A", "non-dropping-particle" : "", "parse-names" : false, "suffix" : "" } ], "container-title" : "Cell", "id" : "ITEM-1", "issue" : "6", "issued" : { "date-parts" : [ [ "2001" ] ] }, "page" : "901-912", "publisher" : "Elsevier", "title" : "Structural mechanism for rifampicin inhibition of bacterial RNA polymerase", "type" : "article-journal", "volume" : "104" }, "uris" : [ "http://www.mendeley.com/documents/?uuid=dda5805d-3128-4305-8d11-e2065129d9f1" ] } ], "mendeley" : { "formattedCitation" : "[8]", "plainTextFormattedCitation" : "[8]", "previouslyFormattedCitation" : "[8]" }, "properties" : { "noteIndex" : 0 }, "schema" : "https://github.com/citation-style-language/schema/raw/master/csl-citation.json" }</w:instrText>
      </w:r>
      <w:r>
        <w:rPr>
          <w:rFonts w:cs="Calibri"/>
        </w:rPr>
        <w:fldChar w:fldCharType="separate"/>
      </w:r>
      <w:r w:rsidR="00346A22" w:rsidRPr="00346A22">
        <w:rPr>
          <w:rFonts w:cs="Calibri"/>
          <w:noProof/>
        </w:rPr>
        <w:t>[8]</w:t>
      </w:r>
      <w:r>
        <w:rPr>
          <w:rFonts w:cs="Calibri"/>
        </w:rPr>
        <w:fldChar w:fldCharType="end"/>
      </w:r>
      <w:r>
        <w:rPr>
          <w:rFonts w:cs="Calibri"/>
        </w:rPr>
        <w:t xml:space="preserve">. </w:t>
      </w:r>
    </w:p>
    <w:p w14:paraId="7C303E76" w14:textId="77777777" w:rsidR="00813D57" w:rsidRDefault="00813D57" w:rsidP="00813D57">
      <w:pPr>
        <w:pStyle w:val="body"/>
        <w:rPr>
          <w:rFonts w:cs="Calibri"/>
        </w:rPr>
      </w:pPr>
      <w:r>
        <w:t>To isolate</w:t>
      </w:r>
      <w:r w:rsidRPr="00C64A4C">
        <w:t xml:space="preserve"> spontaneous mutants resistant to </w:t>
      </w:r>
      <w:r>
        <w:t xml:space="preserve">both </w:t>
      </w:r>
      <w:r w:rsidRPr="00C64A4C">
        <w:t>rifampicin and nalidixic acid</w:t>
      </w:r>
      <w:r>
        <w:rPr>
          <w:rFonts w:cs="Calibri"/>
        </w:rPr>
        <w:t xml:space="preserve">, we set up an overnight culture of a recipient strain in 1 ml of LB liquid medium and plated 100 </w:t>
      </w:r>
      <w:r>
        <w:rPr>
          <w:rFonts w:ascii="DejaVu Sans Greek" w:hAnsi="DejaVu Sans Greek" w:cs="DejaVu Sans Greek"/>
        </w:rPr>
        <w:t>μ</w:t>
      </w:r>
      <w:r>
        <w:rPr>
          <w:rFonts w:cs="Calibri"/>
        </w:rPr>
        <w:t xml:space="preserve">l of this culture onto a LB solid agar plate supplemented with 10 </w:t>
      </w:r>
      <w:r>
        <w:rPr>
          <w:rFonts w:ascii="DejaVu Sans Greek" w:hAnsi="DejaVu Sans Greek" w:cs="DejaVu Sans Greek"/>
        </w:rPr>
        <w:t>μ</w:t>
      </w:r>
      <w:r>
        <w:rPr>
          <w:rFonts w:cs="Calibri"/>
        </w:rPr>
        <w:t xml:space="preserve">g/ml of nalidixic acid. We incubated the plate for 48 hours, and then streaked up to 20 of the resulting colonies onto an LB plate supplemented with 30 </w:t>
      </w:r>
      <w:r>
        <w:rPr>
          <w:rFonts w:ascii="DejaVu Sans Greek" w:hAnsi="DejaVu Sans Greek" w:cs="DejaVu Sans Greek"/>
        </w:rPr>
        <w:t>μ</w:t>
      </w:r>
      <w:r>
        <w:rPr>
          <w:rFonts w:cs="Calibri"/>
        </w:rPr>
        <w:t xml:space="preserve">g/ml nalidixic acid and 10 </w:t>
      </w:r>
      <w:r>
        <w:rPr>
          <w:rFonts w:ascii="DejaVu Sans Greek" w:hAnsi="DejaVu Sans Greek" w:cs="DejaVu Sans Greek"/>
        </w:rPr>
        <w:t>μ</w:t>
      </w:r>
      <w:r>
        <w:rPr>
          <w:rFonts w:cs="Calibri"/>
        </w:rPr>
        <w:t xml:space="preserve">g/ml rifampicin. We repeated this procedure (isolation of colonies and incubation on doubly-selective plate for 48 hours), and prepared glycerol stocks of the resulting doubly resistant mutants from overnight cultures in LB liquid </w:t>
      </w:r>
      <w:r w:rsidR="00196A1D">
        <w:rPr>
          <w:rFonts w:cs="Calibri"/>
        </w:rPr>
        <w:t>medium</w:t>
      </w:r>
      <w:r>
        <w:rPr>
          <w:rFonts w:cs="Calibri"/>
        </w:rPr>
        <w:t xml:space="preserve"> supplemented with 30 </w:t>
      </w:r>
      <w:r>
        <w:rPr>
          <w:rFonts w:ascii="DejaVu Sans Greek" w:hAnsi="DejaVu Sans Greek" w:cs="DejaVu Sans Greek"/>
        </w:rPr>
        <w:t>μ</w:t>
      </w:r>
      <w:r>
        <w:rPr>
          <w:rFonts w:cs="Calibri"/>
        </w:rPr>
        <w:t xml:space="preserve">g/ml nalidixic acid and 100 </w:t>
      </w:r>
      <w:r>
        <w:rPr>
          <w:rFonts w:ascii="DejaVu Sans Greek" w:hAnsi="DejaVu Sans Greek" w:cs="DejaVu Sans Greek"/>
        </w:rPr>
        <w:t>μ</w:t>
      </w:r>
      <w:r>
        <w:rPr>
          <w:rFonts w:cs="Calibri"/>
        </w:rPr>
        <w:t>g/ml rifampicin.</w:t>
      </w:r>
    </w:p>
    <w:p w14:paraId="61D92E2D" w14:textId="4596EBAB" w:rsidR="00813D57" w:rsidRDefault="00813D57" w:rsidP="00813D57">
      <w:pPr>
        <w:pStyle w:val="body"/>
        <w:rPr>
          <w:rFonts w:cs="Calibri"/>
        </w:rPr>
      </w:pPr>
      <w:r>
        <w:rPr>
          <w:rFonts w:cs="Calibri"/>
        </w:rPr>
        <w:t xml:space="preserve">We reported the conjugation efficiency estimate that resulted from these assays as the transconjugant density divided by the donor cell density, and averaged this fraction over replicates </w:t>
      </w:r>
      <w:r>
        <w:rPr>
          <w:rFonts w:cs="Calibri"/>
        </w:rPr>
        <w:fldChar w:fldCharType="begin" w:fldLock="1"/>
      </w:r>
      <w:r w:rsidR="00595277">
        <w:rPr>
          <w:rFonts w:cs="Calibri"/>
        </w:rPr>
        <w:instrText>ADDIN CSL_CITATION { "citationItems" : [ { "id" : "ITEM-1", "itemData" : { "ISSN" : "1539-3429", "author" : [ { "dropping-particle" : "", "family" : "Phornphisutthimas", "given" : "Somkiat", "non-dropping-particle" : "", "parse-names" : false, "suffix" : "" }, { "dropping-particle" : "", "family" : "Thamchaipenet", "given" : "Arinthip", "non-dropping-particle" : "", "parse-names" : false, "suffix" : "" }, { "dropping-particle" : "", "family" : "Panijpan", "given" : "Bhinyo", "non-dropping-particle" : "", "parse-names" : false, "suffix" : "" } ], "container-title" : "Biochemistry and Molecular Biology Education", "id" : "ITEM-1", "issue" : "6", "issued" : { "date-parts" : [ [ "2007" ] ] }, "page" : "440-445", "publisher" : "Wiley Online Library", "title" : "Conjugation in Escherichia coli", "type" : "article-journal", "volume" : "35" }, "uris" : [ "http://www.mendeley.com/documents/?uuid=456cf643-2bdd-4937-b474-ff68f6aa877c", "http://www.mendeley.com/documents/?uuid=7bbcc5c0-7890-446a-b898-e5b6fc3addef" ] } ], "mendeley" : { "formattedCitation" : "[9]", "plainTextFormattedCitation" : "[9]", "previouslyFormattedCitation" : "[9]" }, "properties" : { "noteIndex" : 0 }, "schema" : "https://github.com/citation-style-language/schema/raw/master/csl-citation.json" }</w:instrText>
      </w:r>
      <w:r>
        <w:rPr>
          <w:rFonts w:cs="Calibri"/>
        </w:rPr>
        <w:fldChar w:fldCharType="separate"/>
      </w:r>
      <w:r w:rsidR="00346A22" w:rsidRPr="00346A22">
        <w:rPr>
          <w:rFonts w:cs="Calibri"/>
          <w:noProof/>
        </w:rPr>
        <w:t>[9]</w:t>
      </w:r>
      <w:r>
        <w:rPr>
          <w:rFonts w:cs="Calibri"/>
        </w:rPr>
        <w:fldChar w:fldCharType="end"/>
      </w:r>
      <w:r>
        <w:rPr>
          <w:rFonts w:cs="Calibri"/>
        </w:rPr>
        <w:t xml:space="preserve"> (Figure S2). We further averaged the conjugation efficiencies on both selective plates for each donor-recipient combination.</w:t>
      </w:r>
    </w:p>
    <w:p w14:paraId="63CD512F" w14:textId="155E08B0" w:rsidR="00813D57" w:rsidRDefault="00813D57" w:rsidP="00813D57">
      <w:pPr>
        <w:pStyle w:val="body"/>
        <w:rPr>
          <w:rFonts w:cs="Calibri"/>
        </w:rPr>
      </w:pPr>
      <w:r>
        <w:rPr>
          <w:rFonts w:cs="Calibri"/>
        </w:rPr>
        <w:t xml:space="preserve">To conduct the conjugation assay for each pair of donor-recipient strain, we established </w:t>
      </w:r>
      <w:r>
        <w:rPr>
          <w:rFonts w:cs="Calibri"/>
        </w:rPr>
        <w:lastRenderedPageBreak/>
        <w:t>separate overnight cultures of the donor strains and the (antibiotic resistant) recipients in 5 ml LB liquid medi</w:t>
      </w:r>
      <w:r w:rsidR="00CF5CC6">
        <w:rPr>
          <w:rFonts w:cs="Calibri"/>
        </w:rPr>
        <w:t>um</w:t>
      </w:r>
      <w:r>
        <w:rPr>
          <w:rFonts w:cs="Calibri"/>
        </w:rPr>
        <w:t xml:space="preserve"> supplemented with 1) 30 </w:t>
      </w:r>
      <w:r>
        <w:rPr>
          <w:rFonts w:ascii="DejaVu Sans Greek" w:hAnsi="DejaVu Sans Greek" w:cs="DejaVu Sans Greek"/>
        </w:rPr>
        <w:t>μ</w:t>
      </w:r>
      <w:r>
        <w:rPr>
          <w:rFonts w:cs="Calibri"/>
        </w:rPr>
        <w:t xml:space="preserve">g/ml gentamycin for the donor, and 2) 30 </w:t>
      </w:r>
      <w:r>
        <w:rPr>
          <w:rFonts w:ascii="DejaVu Sans Greek" w:hAnsi="DejaVu Sans Greek" w:cs="DejaVu Sans Greek"/>
        </w:rPr>
        <w:t>μ</w:t>
      </w:r>
      <w:r>
        <w:rPr>
          <w:rFonts w:cs="Calibri"/>
        </w:rPr>
        <w:t xml:space="preserve">g/ml nalidixic acid and 100 </w:t>
      </w:r>
      <w:r>
        <w:rPr>
          <w:rFonts w:ascii="DejaVu Sans Greek" w:hAnsi="DejaVu Sans Greek" w:cs="DejaVu Sans Greek"/>
        </w:rPr>
        <w:t>μ</w:t>
      </w:r>
      <w:r>
        <w:rPr>
          <w:rFonts w:cs="Calibri"/>
        </w:rPr>
        <w:t xml:space="preserve">g/ml rifampicin for the recipient. We washed the overnight cultures three times in DM broth and resuspended them in DM broth. Then we mixed the resuspended culture of the donor and recipient strain by adding 20 </w:t>
      </w:r>
      <w:r>
        <w:rPr>
          <w:rFonts w:ascii="DejaVu Sans Greek" w:hAnsi="DejaVu Sans Greek" w:cs="DejaVu Sans Greek"/>
        </w:rPr>
        <w:t>μ</w:t>
      </w:r>
      <w:r>
        <w:rPr>
          <w:rFonts w:cs="Calibri"/>
        </w:rPr>
        <w:t xml:space="preserve">l of donor cell suspension to 80 </w:t>
      </w:r>
      <w:r>
        <w:rPr>
          <w:rFonts w:ascii="DejaVu Sans Greek" w:hAnsi="DejaVu Sans Greek" w:cs="DejaVu Sans Greek"/>
        </w:rPr>
        <w:t>μ</w:t>
      </w:r>
      <w:r>
        <w:rPr>
          <w:rFonts w:cs="Calibri"/>
        </w:rPr>
        <w:t xml:space="preserve">l of recipient cell suspension. Subsequently, we dispensed 10 </w:t>
      </w:r>
      <w:r>
        <w:rPr>
          <w:rFonts w:ascii="DejaVu Sans Greek" w:hAnsi="DejaVu Sans Greek" w:cs="DejaVu Sans Greek"/>
        </w:rPr>
        <w:t>μ</w:t>
      </w:r>
      <w:r>
        <w:rPr>
          <w:rFonts w:cs="Calibri"/>
        </w:rPr>
        <w:t xml:space="preserve">l of the donor-recipient mixture in 1 ml of fresh LB and incubated for 24 hours. As negative controls, we also dispensed 10 </w:t>
      </w:r>
      <w:r>
        <w:rPr>
          <w:rFonts w:ascii="DejaVu Sans Greek" w:hAnsi="DejaVu Sans Greek" w:cs="DejaVu Sans Greek"/>
        </w:rPr>
        <w:t>μ</w:t>
      </w:r>
      <w:r>
        <w:rPr>
          <w:rFonts w:cs="Calibri"/>
        </w:rPr>
        <w:t xml:space="preserve">l of donor or recipient suspension to 1 ml of fresh LB and incubated for 24 hours as negative controls. Then we plated 100 </w:t>
      </w:r>
      <w:r>
        <w:rPr>
          <w:rFonts w:ascii="DejaVu Sans Greek" w:hAnsi="DejaVu Sans Greek" w:cs="DejaVu Sans Greek"/>
        </w:rPr>
        <w:t>μ</w:t>
      </w:r>
      <w:r>
        <w:rPr>
          <w:rFonts w:cs="Calibri"/>
        </w:rPr>
        <w:t>l of the undiluted, 100-fold and 10</w:t>
      </w:r>
      <w:r>
        <w:rPr>
          <w:rFonts w:cs="Calibri"/>
          <w:vertAlign w:val="superscript"/>
        </w:rPr>
        <w:t>4</w:t>
      </w:r>
      <w:r>
        <w:rPr>
          <w:rFonts w:cs="Calibri"/>
        </w:rPr>
        <w:t xml:space="preserve">-fold diluted culture on LB agar plates supplemented with two combinations of antibiotics: 1) gentamycin, nalidixic acid and rifampicin, and 2) chloramphenicol, nalidixic acid and rifampicin.  In addition, to estimate the cell density of the donor and the recipient cells before conjugation, we plated 100 </w:t>
      </w:r>
      <w:r>
        <w:rPr>
          <w:rFonts w:ascii="DejaVu Sans Greek" w:hAnsi="DejaVu Sans Greek" w:cs="DejaVu Sans Greek"/>
        </w:rPr>
        <w:t>μ</w:t>
      </w:r>
      <w:r>
        <w:rPr>
          <w:rFonts w:cs="Calibri"/>
        </w:rPr>
        <w:t>l of 10</w:t>
      </w:r>
      <w:r>
        <w:rPr>
          <w:rFonts w:cs="Calibri"/>
          <w:vertAlign w:val="superscript"/>
        </w:rPr>
        <w:t>4</w:t>
      </w:r>
      <w:r>
        <w:rPr>
          <w:rFonts w:cs="Calibri"/>
        </w:rPr>
        <w:t xml:space="preserve"> and 10</w:t>
      </w:r>
      <w:r>
        <w:rPr>
          <w:rFonts w:cs="Calibri"/>
          <w:vertAlign w:val="superscript"/>
        </w:rPr>
        <w:t>6</w:t>
      </w:r>
      <w:r>
        <w:rPr>
          <w:rFonts w:cs="Calibri"/>
        </w:rPr>
        <w:t>-fold diluted negative controls of the donor and the recipient culture on nonselective LB agar plates, incubated for 24 hours, and counted visible colonies.</w:t>
      </w:r>
    </w:p>
    <w:p w14:paraId="56B053EF" w14:textId="77777777" w:rsidR="00813D57" w:rsidRDefault="00813D57" w:rsidP="00813D57">
      <w:pPr>
        <w:pStyle w:val="body"/>
        <w:rPr>
          <w:rFonts w:cs="Calibri"/>
        </w:rPr>
      </w:pPr>
      <w:r>
        <w:rPr>
          <w:rFonts w:cs="Calibri"/>
        </w:rPr>
        <w:t xml:space="preserve">Only transconjugants are expected to grow on the selective plates, because doing so requires having obtained either the gentamycin or chloramphenicol resistant genes via recombination. We estimated the cell density of the transconjugants by counting visible colonies on these plates after 24 hours of incubation. The negative controls showed no visible colonies. </w:t>
      </w:r>
    </w:p>
    <w:p w14:paraId="4590EC30" w14:textId="77777777" w:rsidR="00813D57" w:rsidRDefault="00813D57" w:rsidP="00813D57">
      <w:pPr>
        <w:pStyle w:val="body"/>
        <w:rPr>
          <w:rFonts w:cs="Calibri"/>
        </w:rPr>
      </w:pPr>
      <w:r>
        <w:rPr>
          <w:rFonts w:cs="Calibri"/>
        </w:rPr>
        <w:t xml:space="preserve">We conducted each of these assays in triplicate (three biological replicates), and also </w:t>
      </w:r>
      <w:r>
        <w:rPr>
          <w:rFonts w:cs="Calibri"/>
        </w:rPr>
        <w:lastRenderedPageBreak/>
        <w:t xml:space="preserve">performed two technical replicates for each donor-recipient combination, to minimize the effect of cell density variation in overnight cultures of donor and recipients on the number of transconjugants. In total, we performed 108 assays (9 donor-recipient combinations </w:t>
      </w:r>
      <w:r>
        <w:rPr>
          <w:rFonts w:ascii="Calibri" w:hAnsi="Calibri" w:cs="Calibri"/>
        </w:rPr>
        <w:t>x</w:t>
      </w:r>
      <w:r>
        <w:rPr>
          <w:rFonts w:cs="Calibri"/>
        </w:rPr>
        <w:t xml:space="preserve"> 2 selective conditions x 2 technical replicates x 3 biological replicates).</w:t>
      </w:r>
    </w:p>
    <w:p w14:paraId="63C1CAA5" w14:textId="0670B186" w:rsidR="008732E3" w:rsidRDefault="00813D57" w:rsidP="00813D57">
      <w:pPr>
        <w:pStyle w:val="body"/>
        <w:rPr>
          <w:rFonts w:cs="Calibri"/>
        </w:rPr>
      </w:pPr>
      <w:r>
        <w:rPr>
          <w:rFonts w:cs="Calibri"/>
        </w:rPr>
        <w:t xml:space="preserve">These assays showed that both K and B donors are capable </w:t>
      </w:r>
      <w:r w:rsidR="00196A1D">
        <w:rPr>
          <w:rFonts w:cs="Calibri"/>
        </w:rPr>
        <w:t xml:space="preserve">of </w:t>
      </w:r>
      <w:r>
        <w:rPr>
          <w:rFonts w:cs="Calibri"/>
        </w:rPr>
        <w:t>conjugat</w:t>
      </w:r>
      <w:r w:rsidR="00196A1D">
        <w:rPr>
          <w:rFonts w:cs="Calibri"/>
        </w:rPr>
        <w:t>ing</w:t>
      </w:r>
      <w:r>
        <w:rPr>
          <w:rFonts w:cs="Calibri"/>
        </w:rPr>
        <w:t xml:space="preserve"> with all recipients, while the W donor could only conjugate with the K and the W recipient (Figure S2). More specifically, the K donor conjugated with the K, B and W recipients at averaged efficiencies of 8.52 x 10</w:t>
      </w:r>
      <w:r w:rsidRPr="00432A9D">
        <w:rPr>
          <w:rFonts w:cs="Calibri"/>
          <w:vertAlign w:val="superscript"/>
        </w:rPr>
        <w:t>-8</w:t>
      </w:r>
      <w:r>
        <w:rPr>
          <w:rFonts w:cs="Calibri"/>
        </w:rPr>
        <w:t>, 1.19 x 10</w:t>
      </w:r>
      <w:r w:rsidRPr="00432A9D">
        <w:rPr>
          <w:rFonts w:cs="Calibri"/>
          <w:vertAlign w:val="superscript"/>
        </w:rPr>
        <w:t>-8</w:t>
      </w:r>
      <w:r>
        <w:rPr>
          <w:rFonts w:cs="Calibri"/>
        </w:rPr>
        <w:t xml:space="preserve"> and 1.53 x 10</w:t>
      </w:r>
      <w:r w:rsidRPr="00432A9D">
        <w:rPr>
          <w:rFonts w:cs="Calibri"/>
          <w:vertAlign w:val="superscript"/>
        </w:rPr>
        <w:t>-8</w:t>
      </w:r>
      <w:r>
        <w:rPr>
          <w:rFonts w:cs="Calibri"/>
        </w:rPr>
        <w:t xml:space="preserve"> transconjugants per donor cell, the B donor conjugated with the K, B and W recipient at averaged efficiencies of 3.25 x 10</w:t>
      </w:r>
      <w:r w:rsidRPr="00A7741A">
        <w:rPr>
          <w:rFonts w:cs="Calibri"/>
          <w:vertAlign w:val="superscript"/>
        </w:rPr>
        <w:t>-9</w:t>
      </w:r>
      <w:r>
        <w:rPr>
          <w:rFonts w:cs="Calibri"/>
        </w:rPr>
        <w:t>, 2.56 x 10</w:t>
      </w:r>
      <w:r w:rsidRPr="00A7741A">
        <w:rPr>
          <w:rFonts w:cs="Calibri"/>
          <w:vertAlign w:val="superscript"/>
        </w:rPr>
        <w:t>-10</w:t>
      </w:r>
      <w:r>
        <w:rPr>
          <w:rFonts w:cs="Calibri"/>
        </w:rPr>
        <w:t>, and 3.84 x 10</w:t>
      </w:r>
      <w:r w:rsidRPr="00A7741A">
        <w:rPr>
          <w:rFonts w:cs="Calibri"/>
          <w:vertAlign w:val="superscript"/>
        </w:rPr>
        <w:t>-10</w:t>
      </w:r>
      <w:r>
        <w:rPr>
          <w:rFonts w:cs="Calibri"/>
        </w:rPr>
        <w:t xml:space="preserve">, and the W donor conjugated </w:t>
      </w:r>
      <w:r w:rsidR="00196A1D">
        <w:rPr>
          <w:rFonts w:cs="Calibri"/>
        </w:rPr>
        <w:t xml:space="preserve">with </w:t>
      </w:r>
      <w:r>
        <w:rPr>
          <w:rFonts w:cs="Calibri"/>
        </w:rPr>
        <w:t>the K and W recipient at averaged efficiencies of 2.86 x 10</w:t>
      </w:r>
      <w:r w:rsidRPr="00432A9D">
        <w:rPr>
          <w:rFonts w:cs="Calibri"/>
          <w:vertAlign w:val="superscript"/>
        </w:rPr>
        <w:t>-6</w:t>
      </w:r>
      <w:r>
        <w:rPr>
          <w:rFonts w:cs="Calibri"/>
        </w:rPr>
        <w:t xml:space="preserve"> and 3.86 x 10</w:t>
      </w:r>
      <w:r w:rsidRPr="00432A9D">
        <w:rPr>
          <w:rFonts w:cs="Calibri"/>
          <w:vertAlign w:val="superscript"/>
        </w:rPr>
        <w:t>-7</w:t>
      </w:r>
      <w:r>
        <w:rPr>
          <w:rFonts w:cs="Calibri"/>
        </w:rPr>
        <w:t xml:space="preserve"> transconjugants per donor cell. </w:t>
      </w:r>
      <w:r w:rsidR="00196A1D">
        <w:rPr>
          <w:rFonts w:cs="Calibri"/>
        </w:rPr>
        <w:t>We note that t</w:t>
      </w:r>
      <w:r>
        <w:rPr>
          <w:rFonts w:cs="Calibri"/>
        </w:rPr>
        <w:t xml:space="preserve">hese </w:t>
      </w:r>
      <w:r w:rsidR="00196A1D">
        <w:rPr>
          <w:rFonts w:cs="Calibri"/>
        </w:rPr>
        <w:t>are</w:t>
      </w:r>
      <w:r>
        <w:rPr>
          <w:rFonts w:cs="Calibri"/>
        </w:rPr>
        <w:t xml:space="preserve"> conservative estimate</w:t>
      </w:r>
      <w:r w:rsidR="00196A1D">
        <w:rPr>
          <w:rFonts w:cs="Calibri"/>
        </w:rPr>
        <w:t>s</w:t>
      </w:r>
      <w:r>
        <w:rPr>
          <w:rFonts w:cs="Calibri"/>
        </w:rPr>
        <w:t xml:space="preserve"> of the conjugation frequency because the selective markers were at least 200 kpb away from the upstream </w:t>
      </w:r>
      <w:r w:rsidRPr="00DB77AE">
        <w:rPr>
          <w:rFonts w:cs="Calibri"/>
          <w:i/>
        </w:rPr>
        <w:t>OriT</w:t>
      </w:r>
      <w:r>
        <w:rPr>
          <w:rFonts w:cs="Calibri"/>
        </w:rPr>
        <w:t xml:space="preserve"> </w:t>
      </w:r>
      <w:r w:rsidR="00196A1D">
        <w:rPr>
          <w:rFonts w:cs="Calibri"/>
        </w:rPr>
        <w:t xml:space="preserve">sequence </w:t>
      </w:r>
      <w:r>
        <w:rPr>
          <w:rFonts w:cs="Calibri"/>
        </w:rPr>
        <w:t>(Table S2 and Figure S1).</w:t>
      </w:r>
    </w:p>
    <w:p w14:paraId="2C730BB4" w14:textId="77777777" w:rsidR="00AE5093" w:rsidRPr="0058389A" w:rsidRDefault="00AE5093" w:rsidP="00AE5093">
      <w:pPr>
        <w:pStyle w:val="subsection"/>
        <w:rPr>
          <w:i w:val="0"/>
          <w:color w:val="000000" w:themeColor="text1"/>
          <w:sz w:val="32"/>
          <w:szCs w:val="32"/>
        </w:rPr>
      </w:pPr>
      <w:r w:rsidRPr="0058389A">
        <w:rPr>
          <w:i w:val="0"/>
          <w:color w:val="000000" w:themeColor="text1"/>
          <w:sz w:val="32"/>
          <w:szCs w:val="32"/>
        </w:rPr>
        <w:t>Growth characterization of ancestral donors and recipients</w:t>
      </w:r>
    </w:p>
    <w:p w14:paraId="5494B11C" w14:textId="77777777" w:rsidR="00AE5093" w:rsidRDefault="00AE5093" w:rsidP="00AE5093">
      <w:pPr>
        <w:pStyle w:val="body"/>
        <w:rPr>
          <w:rFonts w:cs="Calibri"/>
        </w:rPr>
      </w:pPr>
      <w:r>
        <w:rPr>
          <w:rFonts w:cs="Calibri"/>
        </w:rPr>
        <w:t>Before beginning our evolution experiments, we measured growth of our recipient and donor strains in HPA, in butyric acid, as well as in the presence and absence of tryptophan. This was necessary to ensure that the ancestral recipient strains cannot grow on HPA or butyric acid, and that the donor strains are not able to grow without tryptophan (and are thus not likely to invade the recipient population).</w:t>
      </w:r>
    </w:p>
    <w:p w14:paraId="675B6C44" w14:textId="127FE549" w:rsidR="00AE5093" w:rsidRDefault="00AE5093" w:rsidP="00AE5093">
      <w:pPr>
        <w:pStyle w:val="body"/>
        <w:rPr>
          <w:rFonts w:cs="Calibri"/>
        </w:rPr>
      </w:pPr>
      <w:r>
        <w:rPr>
          <w:rFonts w:cs="Calibri"/>
        </w:rPr>
        <w:lastRenderedPageBreak/>
        <w:t xml:space="preserve">To do so, we established overnight pre-cultures of the donor and recipient strains (Table S1) in 5 ml of DM broth supplemented with 0.2% glucose and 50 </w:t>
      </w:r>
      <w:r>
        <w:rPr>
          <w:rFonts w:ascii="DejaVu Sans Greek" w:hAnsi="DejaVu Sans Greek" w:cs="DejaVu Sans Greek"/>
        </w:rPr>
        <w:t>μ</w:t>
      </w:r>
      <w:r>
        <w:rPr>
          <w:rFonts w:cs="Calibri"/>
        </w:rPr>
        <w:t>g/ml tryptophan. We washed 1 ml of the overnight culture twice in DM liquid medium, and resuspended the culture to a final volume of 1 ml in DM medium. We added 2</w:t>
      </w:r>
      <w:r>
        <w:rPr>
          <w:rFonts w:ascii="DejaVu Sans Greek" w:hAnsi="DejaVu Sans Greek" w:cs="DejaVu Sans Greek"/>
        </w:rPr>
        <w:t>μ</w:t>
      </w:r>
      <w:r>
        <w:rPr>
          <w:rFonts w:cs="Calibri"/>
        </w:rPr>
        <w:t>l of the resuspended culture to 198</w:t>
      </w:r>
      <w:r>
        <w:rPr>
          <w:rFonts w:ascii="DejaVu Sans Greek" w:hAnsi="DejaVu Sans Greek" w:cs="DejaVu Sans Greek"/>
        </w:rPr>
        <w:t>μ</w:t>
      </w:r>
      <w:r>
        <w:rPr>
          <w:rFonts w:cs="Calibri"/>
        </w:rPr>
        <w:t xml:space="preserve">l of DM medium supplemented with 0.2% of HPA or butyric acid. As a control and to verify the tryptophan auxotrophy of the donor strains, we resuspended the same quantity of culture in DM medium with 0.2% glucose, in the presence or absence of 50 </w:t>
      </w:r>
      <w:r>
        <w:rPr>
          <w:rFonts w:ascii="DejaVu Sans Greek" w:hAnsi="DejaVu Sans Greek" w:cs="DejaVu Sans Greek"/>
        </w:rPr>
        <w:t>μ</w:t>
      </w:r>
      <w:r>
        <w:rPr>
          <w:rFonts w:cs="Calibri"/>
        </w:rPr>
        <w:t xml:space="preserve">g/ml tryptophan. We conducted these experiments in a flat-bottom TPP 96-well microplate (Sigma Z797910), and measured the optical density at 600 nm on a Tecan Pro200 plate reader every 10 minutes for 48 hours as a proxy of population density. We then estimated growth parameters from the resultant growth curves using the R package growthcurver v0.2.1 </w:t>
      </w:r>
      <w:r>
        <w:rPr>
          <w:rFonts w:cs="Calibri"/>
        </w:rPr>
        <w:fldChar w:fldCharType="begin" w:fldLock="1"/>
      </w:r>
      <w:r w:rsidR="004540E0">
        <w:rPr>
          <w:rFonts w:cs="Calibri"/>
        </w:rPr>
        <w:instrText>ADDIN CSL_CITATION { "citationItems" : [ { "id" : "ITEM-1", "itemData" : { "DOI" : "10.1186/s12859-016-1016-7", "ISSN" : "1471-2105", "PMID" : "27094401", "abstract" : "BACKGROUND: Plate readers can measure the growth curves of many microbial strains in a high-throughput fashion. The hundreds of absorbance readings collected simultaneously for hundreds of samples create technical hurdles for data analysis.\\n\\nRESULTS: Growthcurver summarizes the growth characteristics of microbial growth curve experiments conducted in a plate reader. The data are fitted to a standard form of the logistic equation, and the parameters have clear interpretations on population-level characteristics, like doubling time, carrying capacity, and growth rate.\\n\\nCONCLUSIONS: Growthcurver is an easy-to-use R package available for installation from the Comprehensive R Archive Network (CRAN). The source code is available under the GNU General Public License and can be obtained from Github (Sprouffske K, Growthcurver sourcecode, 2016).", "author" : [ { "dropping-particle" : "", "family" : "Sprouffske", "given" : "Kathleen", "non-dropping-particle" : "", "parse-names" : false, "suffix" : "" }, { "dropping-particle" : "", "family" : "Wagner", "given" : "Andreas", "non-dropping-particle" : "", "parse-names" : false, "suffix" : "" } ], "container-title" : "BMC Bioinformatics", "id" : "ITEM-1", "issue" : "1", "issued" : { "date-parts" : [ [ "2016" ] ] }, "page" : "172", "title" : "Growthcurver: an R package for obtaining interpretable metrics from microbial growth curves", "type" : "article-journal", "volume" : "17" }, "uris" : [ "http://www.mendeley.com/documents/?uuid=5b36e6e1-8a1e-44bb-b9b0-30e901d41317" ] } ], "mendeley" : { "formattedCitation" : "[10]", "plainTextFormattedCitation" : "[10]", "previouslyFormattedCitation" : "[10]" }, "properties" : { "noteIndex" : 0 }, "schema" : "https://github.com/citation-style-language/schema/raw/master/csl-citation.json" }</w:instrText>
      </w:r>
      <w:r>
        <w:rPr>
          <w:rFonts w:cs="Calibri"/>
        </w:rPr>
        <w:fldChar w:fldCharType="separate"/>
      </w:r>
      <w:r w:rsidR="00346A22" w:rsidRPr="00346A22">
        <w:rPr>
          <w:rFonts w:cs="Calibri"/>
          <w:noProof/>
        </w:rPr>
        <w:t>[10]</w:t>
      </w:r>
      <w:r>
        <w:rPr>
          <w:rFonts w:cs="Calibri"/>
        </w:rPr>
        <w:fldChar w:fldCharType="end"/>
      </w:r>
      <w:r>
        <w:rPr>
          <w:rFonts w:eastAsia="Times New Roman" w:cs="Calibri"/>
        </w:rPr>
        <w:t>.</w:t>
      </w:r>
      <w:r>
        <w:rPr>
          <w:rFonts w:cs="Calibri"/>
        </w:rPr>
        <w:t xml:space="preserve"> We used the growth rate as our primary growth proxy. The growth parameter estimates are summarized in Table S10.</w:t>
      </w:r>
    </w:p>
    <w:p w14:paraId="39555887" w14:textId="77777777" w:rsidR="00AE5093" w:rsidRDefault="00AE5093" w:rsidP="00AE5093">
      <w:pPr>
        <w:pStyle w:val="body"/>
        <w:rPr>
          <w:rFonts w:cs="Calibri"/>
        </w:rPr>
      </w:pPr>
      <w:r>
        <w:rPr>
          <w:rFonts w:cs="Calibri"/>
        </w:rPr>
        <w:t xml:space="preserve">As expected, donor strains were not able to grow on glucose alone, but only with tryptophan supplementation (Figure S3), thus confirming the insertion of the F plasmid. In contrast, all recipient strains grew in glucose, with or without tryptophan, and generally grew more poorly on glucose and tryptophan than on glucose alone. </w:t>
      </w:r>
    </w:p>
    <w:p w14:paraId="1A31F522" w14:textId="1272FED2" w:rsidR="00AE5093" w:rsidRDefault="00AE5093" w:rsidP="00AE5093">
      <w:pPr>
        <w:pStyle w:val="body"/>
        <w:rPr>
          <w:rFonts w:cs="Calibri"/>
        </w:rPr>
      </w:pPr>
      <w:r>
        <w:rPr>
          <w:rFonts w:cs="Calibri"/>
        </w:rPr>
        <w:t xml:space="preserve">In addition, our experiments confirmed that the donor strains could not grow on HPA alone either, due to their tryptophan auxotrophy, and that the K recipient strain could not grow on HPA (Figure S3 bottom left panel), consistent with published BIOLOG data </w:t>
      </w:r>
      <w:r>
        <w:rPr>
          <w:rFonts w:cs="Calibri"/>
        </w:rPr>
        <w:fldChar w:fldCharType="begin" w:fldLock="1"/>
      </w:r>
      <w:r w:rsidR="00595277">
        <w:rPr>
          <w:rFonts w:cs="Calibri"/>
        </w:rPr>
        <w:instrText>ADDIN CSL_CITATION { "citationItems" : [ { "id" : "ITEM-1", "itemData" : { "author" : [ { "dropping-particle" : "", "family" : "Baumler", "given" : "David J", "non-dropping-particle" : "", "parse-names" : false, "suffix" : "" }, { "dropping-particle" : "", "family" : "Peplinski", "given" : "Roman G", "non-dropping-particle" : "", "parse-names" : false, "suffix" : "" }, { "dropping-particle" : "", "family" : "Reed", "given" : "Jennifer L", "non-dropping-particle" : "", "parse-names" : false, "suffix" : "" }, { "dropping-particle" : "", "family" : "Glasner", "given" : "Jeremy D", "non-dropping-particle" : "", "parse-names" : false, "suffix" : "" }, { "dropping-particle" : "", "family" : "Perna", "given" : "Nicole T", "non-dropping-particle" : "", "parse-names" : false, "suffix" : "" } ], "container-title" : "BMC systems biology", "id" : "ITEM-1", "issue" : "1", "issued" : { "date-parts" : [ [ "2011" ] ] }, "page" : "1", "publisher" : "BioMed Central", "title" : "The evolution of metabolic networks of E. coli", "type" : "article-journal", "volume" : "5" }, "uris" : [ "http://www.mendeley.com/documents/?uuid=aaa44eef-2f7e-4dfc-ab5c-c926c50205ac" ] }, { "id" : "ITEM-2", "itemData" : { "author" : [ { "dropping-particle" : "", "family" : "Yoon", "given" : "Sung Ho", "non-dropping-particle" : "", "parse-names" : false, "suffix" : "" }, { "dropping-particle" : "", "family" : "Han", "given" : "Mee-Jung", "non-dropping-particle" : "", "parse-names" : false, "suffix" : "" }, { "dropping-particle" : "", "family" : "Jeong", "given" : "Haeyoung", "non-dropping-particle" : "", "parse-names" : false, "suffix" : "" }, { "dropping-particle" : "", "family" : "Lee", "given" : "Choong Hoon", "non-dropping-particle" : "", "parse-names" : false, "suffix" : "" }, { "dropping-particle" : "", "family" : "Xia", "given" : "Xiao-Xia", "non-dropping-particle" : "", "parse-names" : false, "suffix" : "" }, { "dropping-particle" : "", "family" : "Lee", "given" : "Dae-Hee", "non-dropping-particle" : "", "parse-names" : false, "suffix" : "" }, { "dropping-particle" : "", "family" : "Shim", "given" : "Ji Hoon", "non-dropping-particle" : "", "parse-names" : false, "suffix" : "" }, { "dropping-particle" : "", "family" : "Lee", "given" : "Sang Yup", "non-dropping-particle" : "", "parse-names" : false, "suffix" : "" }, { "dropping-particle" : "", "family" : "Oh", "given" : "Tae Kwang", "non-dropping-particle" : "", "parse-names" : false, "suffix" : "" }, { "dropping-particle" : "", "family" : "Kim", "given" : "Jihyun F", "non-dropping-particle" : "", "parse-names" : false, "suffix" : "" } ], "container-title" : "Genome biology", "id" : "ITEM-2", "issue" : "5", "issued" : { "date-parts" : [ [ "2012" ] ] }, "page" : "1", "publisher" : "BioMed Central", "title" : "Comparative multi-omics systems analysis of Escherichia coli strains B and K-12", "type" : "article-journal", "volume" : "13" }, "uris" : [ "http://www.mendeley.com/documents/?uuid=71b12a07-e887-41df-a1ef-029e0bf7416b" ] } ], "mendeley" : { "formattedCitation" : "[11,12]", "plainTextFormattedCitation" : "[11,12]", "previouslyFormattedCitation" : "[11,12]" }, "properties" : { "noteIndex" : 0 }, "schema" : "https://github.com/citation-style-language/schema/raw/master/csl-citation.json" }</w:instrText>
      </w:r>
      <w:r>
        <w:rPr>
          <w:rFonts w:cs="Calibri"/>
        </w:rPr>
        <w:fldChar w:fldCharType="separate"/>
      </w:r>
      <w:r w:rsidR="00346A22" w:rsidRPr="00346A22">
        <w:rPr>
          <w:rFonts w:cs="Calibri"/>
          <w:noProof/>
        </w:rPr>
        <w:t>[11,12]</w:t>
      </w:r>
      <w:r>
        <w:rPr>
          <w:rFonts w:cs="Calibri"/>
        </w:rPr>
        <w:fldChar w:fldCharType="end"/>
      </w:r>
      <w:r>
        <w:rPr>
          <w:rFonts w:cs="Calibri"/>
        </w:rPr>
        <w:t xml:space="preserve">. For the butyric acid adaptation experiment, none of the donor strains could </w:t>
      </w:r>
      <w:r>
        <w:rPr>
          <w:rFonts w:cs="Calibri"/>
        </w:rPr>
        <w:lastRenderedPageBreak/>
        <w:t xml:space="preserve">grow on medium containing only butyric acid, owing to their tryptophan auxotrophy. Furthermore, as predicted by previous BIOLOG data and growth assays </w:t>
      </w:r>
      <w:r>
        <w:rPr>
          <w:rFonts w:cs="Calibri"/>
        </w:rPr>
        <w:fldChar w:fldCharType="begin" w:fldLock="1"/>
      </w:r>
      <w:r w:rsidR="00595277">
        <w:rPr>
          <w:rFonts w:cs="Calibri"/>
        </w:rPr>
        <w:instrText>ADDIN CSL_CITATION { "citationItems" : [ { "id" : "ITEM-1", "itemData" : { "author" : [ { "dropping-particle" : "", "family" : "Monk", "given" : "Jonathan M", "non-dropping-particle" : "", "parse-names" : false, "suffix" : "" }, { "dropping-particle" : "", "family" : "Charusanti", "given" : "Pep", "non-dropping-particle" : "", "parse-names" : false, "suffix" : "" }, { "dropping-particle" : "", "family" : "Aziz", "given" : "Ramy K", "non-dropping-particle" : "", "parse-names" : false, "suffix" : "" }, { "dropping-particle" : "", "family" : "Lerman", "given" : "Joshua A", "non-dropping-particle" : "", "parse-names" : false, "suffix" : "" }, { "dropping-particle" : "", "family" : "Premyodhin", "given" : "Ned", "non-dropping-particle" : "", "parse-names" : false, "suffix" : "" }, { "dropping-particle" : "", "family" : "Orth", "given" : "Jeffrey D", "non-dropping-particle" : "", "parse-names" : false, "suffix" : "" }, { "dropping-particle" : "", "family" : "Feist", "given" : "Adam M", "non-dropping-particle" : "", "parse-names" : false, "suffix" : "" }, { "dropping-particle" : "", "family" : "Palsson", "given" : "Bernhard \u00d8", "non-dropping-particle" : "", "parse-names" : false, "suffix" : "" } ], "container-title" : "Proceedings of the National Academy of Sciences", "id" : "ITEM-1", "issue" : "50", "issued" : { "date-parts" : [ [ "2013" ] ] }, "page" : "20338-20343", "publisher" : "National Acad Sciences", "title" : "Genome-scale metabolic reconstructions of multiple Escherichia coli strains highlight strain-specific adaptations to nutritional environments", "type" : "article-journal", "volume" : "110" }, "uris" : [ "http://www.mendeley.com/documents/?uuid=ddea3400-2c97-4961-a945-92a31cd86058" ] } ], "mendeley" : { "formattedCitation" : "[13]", "plainTextFormattedCitation" : "[13]", "previouslyFormattedCitation" : "[13]" }, "properties" : { "noteIndex" : 0 }, "schema" : "https://github.com/citation-style-language/schema/raw/master/csl-citation.json" }</w:instrText>
      </w:r>
      <w:r>
        <w:rPr>
          <w:rFonts w:cs="Calibri"/>
        </w:rPr>
        <w:fldChar w:fldCharType="separate"/>
      </w:r>
      <w:r w:rsidR="00346A22" w:rsidRPr="00346A22">
        <w:rPr>
          <w:rFonts w:cs="Calibri"/>
          <w:noProof/>
        </w:rPr>
        <w:t>[13]</w:t>
      </w:r>
      <w:r>
        <w:rPr>
          <w:rFonts w:cs="Calibri"/>
        </w:rPr>
        <w:fldChar w:fldCharType="end"/>
      </w:r>
      <w:r>
        <w:rPr>
          <w:rFonts w:cs="Calibri"/>
        </w:rPr>
        <w:t xml:space="preserve">, the W recipient strain could not grow on butyric acid either (Figure S3). In sum, the donor and recipient strains displayed the necessary growth characteristics for our HPA and butyric acid experiments. </w:t>
      </w:r>
    </w:p>
    <w:p w14:paraId="0995D4C6" w14:textId="77777777" w:rsidR="00F13AFC" w:rsidRPr="00AE5093" w:rsidRDefault="00AE5093" w:rsidP="00AE5093">
      <w:pPr>
        <w:keepNext/>
        <w:keepLines/>
        <w:widowControl w:val="0"/>
        <w:spacing w:before="260" w:after="260" w:line="416" w:lineRule="auto"/>
        <w:jc w:val="both"/>
        <w:outlineLvl w:val="1"/>
        <w:rPr>
          <w:rFonts w:ascii="Calibri" w:eastAsia="SimSun" w:hAnsi="Calibri" w:cs="Arial"/>
          <w:b/>
          <w:bCs/>
          <w:kern w:val="2"/>
          <w:sz w:val="32"/>
          <w:szCs w:val="32"/>
          <w:lang w:eastAsia="zh-CN"/>
        </w:rPr>
      </w:pPr>
      <w:r w:rsidRPr="00AE5093">
        <w:rPr>
          <w:rFonts w:ascii="Calibri" w:eastAsia="SimSun" w:hAnsi="Calibri" w:cs="Arial"/>
          <w:b/>
          <w:bCs/>
          <w:kern w:val="2"/>
          <w:sz w:val="32"/>
          <w:szCs w:val="32"/>
          <w:lang w:eastAsia="zh-CN"/>
        </w:rPr>
        <w:t xml:space="preserve">Test for cross-feeding of donor and recipient strains </w:t>
      </w:r>
    </w:p>
    <w:p w14:paraId="541064FA" w14:textId="22EA9BAE" w:rsidR="00AE5093" w:rsidRPr="00AE5093" w:rsidRDefault="00AE5093" w:rsidP="00AE5093">
      <w:pPr>
        <w:widowControl w:val="0"/>
        <w:spacing w:before="240" w:after="240" w:line="480" w:lineRule="auto"/>
        <w:rPr>
          <w:rFonts w:eastAsiaTheme="minorHAnsi" w:cs="Calibri"/>
          <w:sz w:val="24"/>
          <w:szCs w:val="24"/>
        </w:rPr>
      </w:pPr>
      <w:r w:rsidRPr="00AE5093">
        <w:rPr>
          <w:rFonts w:eastAsiaTheme="minorHAnsi" w:cs="Calibri"/>
          <w:sz w:val="24"/>
          <w:szCs w:val="24"/>
        </w:rPr>
        <w:t xml:space="preserve">We confirmed that the donor strains were not able to grow in the medium to be </w:t>
      </w:r>
      <w:r w:rsidR="00072124">
        <w:rPr>
          <w:rFonts w:eastAsiaTheme="minorHAnsi" w:cs="Calibri"/>
          <w:sz w:val="24"/>
          <w:szCs w:val="24"/>
        </w:rPr>
        <w:t>used for experimental evolution</w:t>
      </w:r>
      <w:r w:rsidRPr="00AE5093">
        <w:rPr>
          <w:rFonts w:eastAsiaTheme="minorHAnsi" w:cs="Calibri"/>
          <w:sz w:val="24"/>
          <w:szCs w:val="24"/>
        </w:rPr>
        <w:t>. We also wanted to confirm that our donor strains were not able to grow (and thus co-evolve) with the recipient populations, for example, because the recipient might produce excess tryptophan that they can use. To this end, we conducted several pilot evolutionary experiments, each of which lasted four days (approximately 26.4 generations). In these experiments, we used various combinations of carbon sources (Table S4), and monitored the survival of the donor strains on them. Specifically, we first established separate overnight cultures of the donor and recipient strains in 2 ml of DM liquid medi</w:t>
      </w:r>
      <w:r w:rsidR="00CF5CC6">
        <w:rPr>
          <w:rFonts w:eastAsiaTheme="minorHAnsi" w:cs="Calibri"/>
          <w:sz w:val="24"/>
          <w:szCs w:val="24"/>
        </w:rPr>
        <w:t>um</w:t>
      </w:r>
      <w:r w:rsidRPr="00AE5093">
        <w:rPr>
          <w:rFonts w:eastAsiaTheme="minorHAnsi" w:cs="Calibri"/>
          <w:sz w:val="24"/>
          <w:szCs w:val="24"/>
        </w:rPr>
        <w:t xml:space="preserve"> supplemented with 0.2% glycerol and 50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g/ml tryptophan. We washed 1 ml of each overnight culture 2 times in DM liquid medium, resuspended it in 1 ml of DM liquid medium, and mixed the donor and recipient strains at a ratio of 1:4 v/v by adding 20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l of donor to 80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l of recipient suspension. We then transferred 10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l of the donor-recipient mixture to 990 </w:t>
      </w:r>
      <w:r w:rsidRPr="00AE5093">
        <w:rPr>
          <w:rFonts w:ascii="DejaVu Sans Greek" w:eastAsiaTheme="minorHAnsi" w:hAnsi="DejaVu Sans Greek" w:cs="DejaVu Sans Greek"/>
          <w:sz w:val="24"/>
          <w:szCs w:val="24"/>
        </w:rPr>
        <w:t>μ</w:t>
      </w:r>
      <w:r w:rsidRPr="00AE5093">
        <w:rPr>
          <w:rFonts w:eastAsiaTheme="minorHAnsi" w:cs="Calibri"/>
          <w:sz w:val="24"/>
          <w:szCs w:val="24"/>
        </w:rPr>
        <w:t>l of growth medium (Table S4) to seed the experiment.</w:t>
      </w:r>
    </w:p>
    <w:p w14:paraId="13FEBBBE" w14:textId="1D633024" w:rsidR="00AE5093" w:rsidRPr="00AE5093" w:rsidRDefault="00AE5093" w:rsidP="00AE5093">
      <w:pPr>
        <w:widowControl w:val="0"/>
        <w:spacing w:after="240" w:line="480" w:lineRule="auto"/>
        <w:rPr>
          <w:rFonts w:eastAsiaTheme="minorHAnsi" w:cs="Calibri"/>
          <w:sz w:val="24"/>
          <w:szCs w:val="24"/>
        </w:rPr>
      </w:pPr>
      <w:r w:rsidRPr="00AE5093">
        <w:rPr>
          <w:rFonts w:eastAsiaTheme="minorHAnsi" w:cs="Calibri"/>
          <w:sz w:val="24"/>
          <w:szCs w:val="24"/>
        </w:rPr>
        <w:t xml:space="preserve">For each donor-recipient and carbon source combination (3 donors x 2 recipients x 4 </w:t>
      </w:r>
      <w:r w:rsidRPr="00AE5093">
        <w:rPr>
          <w:rFonts w:eastAsiaTheme="minorHAnsi" w:cs="Calibri"/>
          <w:sz w:val="24"/>
          <w:szCs w:val="24"/>
        </w:rPr>
        <w:lastRenderedPageBreak/>
        <w:t>conditions=24 conditions) (Table S4), we performed two replicate experiments, leading to 48 replicate populations. We incubated these populations in 12 wells of 24 round-bottom well plates (Aldrich WHA77015102), arranged in a checkerboard pattern to reduce the possibility of cross-contamination (Edmund Buhler TH30 shaking incubator at 100 rpm and 37</w:t>
      </w:r>
      <w:r w:rsidRPr="00AE5093">
        <w:rPr>
          <w:rFonts w:eastAsiaTheme="minorHAnsi" w:hint="eastAsia"/>
          <w:sz w:val="24"/>
          <w:szCs w:val="24"/>
        </w:rPr>
        <w:sym w:font="Symbol" w:char="F0B0"/>
      </w:r>
      <w:r w:rsidRPr="00AE5093">
        <w:rPr>
          <w:rFonts w:eastAsiaTheme="minorHAnsi" w:cs="Calibri"/>
          <w:sz w:val="24"/>
          <w:szCs w:val="24"/>
        </w:rPr>
        <w:t xml:space="preserve">C). We estimated each donor’s cell density in the culture after 24 hours of growth, before performing the daily serial transfer (at 100-fold dilution) of the evolving replicate population. To estimate the donor's cell density (as the number of colony forming units/ml) we plated 100 </w:t>
      </w:r>
      <w:r w:rsidRPr="00AE5093">
        <w:rPr>
          <w:rFonts w:ascii="DejaVu Sans Greek" w:eastAsiaTheme="minorHAnsi" w:hAnsi="DejaVu Sans Greek" w:cs="DejaVu Sans Greek"/>
          <w:sz w:val="24"/>
          <w:szCs w:val="24"/>
        </w:rPr>
        <w:t>μ</w:t>
      </w:r>
      <w:r w:rsidRPr="00AE5093">
        <w:rPr>
          <w:rFonts w:eastAsiaTheme="minorHAnsi" w:cs="Calibri"/>
          <w:sz w:val="24"/>
          <w:szCs w:val="24"/>
        </w:rPr>
        <w:t>l of an 10</w:t>
      </w:r>
      <w:r w:rsidRPr="00AE5093">
        <w:rPr>
          <w:rFonts w:eastAsiaTheme="minorHAnsi" w:cs="Calibri"/>
          <w:sz w:val="24"/>
          <w:szCs w:val="24"/>
          <w:vertAlign w:val="superscript"/>
        </w:rPr>
        <w:t>4</w:t>
      </w:r>
      <w:r w:rsidRPr="00AE5093">
        <w:rPr>
          <w:rFonts w:eastAsiaTheme="minorHAnsi" w:cs="Calibri"/>
          <w:sz w:val="24"/>
          <w:szCs w:val="24"/>
        </w:rPr>
        <w:t xml:space="preserve"> and a 10</w:t>
      </w:r>
      <w:r w:rsidRPr="00AE5093">
        <w:rPr>
          <w:rFonts w:eastAsiaTheme="minorHAnsi" w:cs="Calibri"/>
          <w:sz w:val="24"/>
          <w:szCs w:val="24"/>
          <w:vertAlign w:val="superscript"/>
        </w:rPr>
        <w:t>6</w:t>
      </w:r>
      <w:r w:rsidRPr="00AE5093">
        <w:rPr>
          <w:rFonts w:eastAsiaTheme="minorHAnsi" w:cs="Calibri"/>
          <w:sz w:val="24"/>
          <w:szCs w:val="24"/>
        </w:rPr>
        <w:t xml:space="preserve">-fold dilution of the evolving culture on LB solid agar supplemented with 25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g/ml chloramphenicol and 30 </w:t>
      </w:r>
      <w:r w:rsidRPr="00AE5093">
        <w:rPr>
          <w:rFonts w:ascii="DejaVu Sans Greek" w:eastAsiaTheme="minorHAnsi" w:hAnsi="DejaVu Sans Greek" w:cs="DejaVu Sans Greek"/>
          <w:sz w:val="24"/>
          <w:szCs w:val="24"/>
        </w:rPr>
        <w:t>μ</w:t>
      </w:r>
      <w:r w:rsidRPr="00AE5093">
        <w:rPr>
          <w:rFonts w:eastAsiaTheme="minorHAnsi" w:cs="Calibri"/>
          <w:sz w:val="24"/>
          <w:szCs w:val="24"/>
        </w:rPr>
        <w:t xml:space="preserve">g/ml gentamycin, and counted the number of visible colonies formed after 24 hours of incubation. We estimated the rate of decrease of the donor strain in each population per day using linear regression in R </w:t>
      </w:r>
      <w:r w:rsidRPr="00AE5093">
        <w:rPr>
          <w:rFonts w:eastAsiaTheme="minorHAnsi" w:cs="Calibri"/>
          <w:sz w:val="24"/>
          <w:szCs w:val="24"/>
        </w:rPr>
        <w:fldChar w:fldCharType="begin" w:fldLock="1"/>
      </w:r>
      <w:r w:rsidR="00595277">
        <w:rPr>
          <w:rFonts w:eastAsiaTheme="minorHAnsi" w:cs="Calibri"/>
          <w:sz w:val="24"/>
          <w:szCs w:val="24"/>
        </w:rPr>
        <w:instrText>ADDIN CSL_CITATION { "citationItems" : [ { "id" : "ITEM-1", "itemData" : { "author" : [ { "dropping-particle" : "", "family" : "R Core Team", "given" : "", "non-dropping-particle" : "", "parse-names" : false, "suffix" : "" } ], "id" : "ITEM-1", "issued" : { "date-parts" : [ [ "2015" ] ] }, "publisher-place" : "Vienna, Austria", "title" : "R: A Language and Environment for Statistical Computing", "type" : "article-journal" }, "uris" : [ "http://www.mendeley.com/documents/?uuid=2f0e4e58-f984-4dfb-b5e6-32cf7d562c4a" ] } ], "mendeley" : { "formattedCitation" : "[14]", "plainTextFormattedCitation" : "[14]", "previouslyFormattedCitation" : "[14]" }, "properties" : { "noteIndex" : 0 }, "schema" : "https://github.com/citation-style-language/schema/raw/master/csl-citation.json" }</w:instrText>
      </w:r>
      <w:r w:rsidRPr="00AE5093">
        <w:rPr>
          <w:rFonts w:eastAsiaTheme="minorHAnsi" w:cs="Calibri"/>
          <w:sz w:val="24"/>
          <w:szCs w:val="24"/>
        </w:rPr>
        <w:fldChar w:fldCharType="separate"/>
      </w:r>
      <w:r w:rsidR="00346A22" w:rsidRPr="00346A22">
        <w:rPr>
          <w:rFonts w:eastAsiaTheme="minorHAnsi" w:cs="Calibri"/>
          <w:noProof/>
          <w:sz w:val="24"/>
          <w:szCs w:val="24"/>
        </w:rPr>
        <w:t>[14]</w:t>
      </w:r>
      <w:r w:rsidRPr="00AE5093">
        <w:rPr>
          <w:rFonts w:eastAsiaTheme="minorHAnsi" w:cs="Calibri"/>
          <w:sz w:val="24"/>
          <w:szCs w:val="24"/>
        </w:rPr>
        <w:fldChar w:fldCharType="end"/>
      </w:r>
      <w:r w:rsidRPr="00AE5093">
        <w:rPr>
          <w:rFonts w:eastAsiaTheme="minorHAnsi" w:cs="Calibri"/>
          <w:sz w:val="24"/>
          <w:szCs w:val="24"/>
        </w:rPr>
        <w:t xml:space="preserve"> (Figure S4). </w:t>
      </w:r>
    </w:p>
    <w:p w14:paraId="2E75113C" w14:textId="77777777" w:rsidR="00AE5093" w:rsidRDefault="00AE5093" w:rsidP="00AE5093">
      <w:pPr>
        <w:widowControl w:val="0"/>
        <w:spacing w:before="240" w:after="240" w:line="480" w:lineRule="auto"/>
        <w:rPr>
          <w:rFonts w:eastAsiaTheme="minorHAnsi" w:cs="Calibri"/>
          <w:sz w:val="24"/>
          <w:szCs w:val="24"/>
        </w:rPr>
      </w:pPr>
      <w:r w:rsidRPr="00AE5093">
        <w:rPr>
          <w:rFonts w:eastAsiaTheme="minorHAnsi" w:cs="Calibri"/>
          <w:sz w:val="24"/>
          <w:szCs w:val="24"/>
        </w:rPr>
        <w:t>We found that the donor strains' cell density decreased by at least 1000 fold at every measurement time point where glycerol was still present in the growth medium (Figure S4). In growth media lacking glycerol, the donor strain’s cell density decreased even more rapidly (10</w:t>
      </w:r>
      <w:r w:rsidRPr="00AE5093">
        <w:rPr>
          <w:rFonts w:eastAsiaTheme="minorHAnsi" w:cs="Calibri"/>
          <w:sz w:val="24"/>
          <w:szCs w:val="24"/>
          <w:vertAlign w:val="superscript"/>
        </w:rPr>
        <w:t>4</w:t>
      </w:r>
      <w:r w:rsidRPr="00AE5093">
        <w:rPr>
          <w:rFonts w:eastAsiaTheme="minorHAnsi" w:cs="Calibri"/>
          <w:sz w:val="24"/>
          <w:szCs w:val="24"/>
        </w:rPr>
        <w:t xml:space="preserve"> - 10</w:t>
      </w:r>
      <w:r w:rsidRPr="00AE5093">
        <w:rPr>
          <w:rFonts w:eastAsiaTheme="minorHAnsi" w:cs="Calibri"/>
          <w:sz w:val="24"/>
          <w:szCs w:val="24"/>
          <w:vertAlign w:val="superscript"/>
        </w:rPr>
        <w:t>6</w:t>
      </w:r>
      <w:r w:rsidRPr="00AE5093">
        <w:rPr>
          <w:rFonts w:eastAsiaTheme="minorHAnsi" w:cs="Calibri"/>
          <w:sz w:val="24"/>
          <w:szCs w:val="24"/>
        </w:rPr>
        <w:t xml:space="preserve"> cfu/ml/day). These findings suggest that the donor strains do not persist indefinitely, but are eventually diluted out of the evolving population.</w:t>
      </w:r>
    </w:p>
    <w:p w14:paraId="5C2300E3" w14:textId="77777777" w:rsidR="00AE5093" w:rsidRDefault="00AE5093" w:rsidP="00AE5093">
      <w:pPr>
        <w:keepNext/>
        <w:keepLines/>
        <w:spacing w:before="240" w:after="0"/>
        <w:outlineLvl w:val="0"/>
        <w:rPr>
          <w:rFonts w:eastAsiaTheme="majorEastAsia" w:cstheme="majorBidi"/>
          <w:b/>
          <w:sz w:val="32"/>
          <w:szCs w:val="32"/>
          <w:lang w:val="en-GB" w:eastAsia="en-US"/>
        </w:rPr>
      </w:pPr>
      <w:r w:rsidRPr="00AE5093">
        <w:rPr>
          <w:rFonts w:eastAsiaTheme="majorEastAsia" w:cstheme="majorBidi"/>
          <w:b/>
          <w:sz w:val="32"/>
          <w:szCs w:val="32"/>
          <w:lang w:val="en-GB" w:eastAsia="en-US"/>
        </w:rPr>
        <w:t>Prevention and detection of cross-contamination among evolving recipient populations</w:t>
      </w:r>
    </w:p>
    <w:p w14:paraId="229BD953" w14:textId="77777777" w:rsidR="00AE5093" w:rsidRPr="00AE5093" w:rsidRDefault="00AE5093" w:rsidP="00AE5093">
      <w:pPr>
        <w:widowControl w:val="0"/>
        <w:spacing w:before="240" w:after="240" w:line="480" w:lineRule="auto"/>
        <w:rPr>
          <w:rFonts w:cs="Calibri"/>
          <w:sz w:val="24"/>
          <w:szCs w:val="24"/>
          <w:lang w:val="en-GB" w:eastAsia="en-US"/>
        </w:rPr>
      </w:pPr>
      <w:r w:rsidRPr="00AE5093">
        <w:rPr>
          <w:rFonts w:cs="Calibri"/>
          <w:sz w:val="24"/>
          <w:szCs w:val="24"/>
          <w:lang w:val="en-GB" w:eastAsia="en-US"/>
        </w:rPr>
        <w:t>We implemented three tests for cross-contamination of the evolving recipient populations during exp</w:t>
      </w:r>
      <w:r w:rsidR="00FA65D3">
        <w:rPr>
          <w:rFonts w:cs="Calibri"/>
          <w:sz w:val="24"/>
          <w:szCs w:val="24"/>
          <w:lang w:val="en-GB" w:eastAsia="en-US"/>
        </w:rPr>
        <w:t>erimental evolution</w:t>
      </w:r>
      <w:r w:rsidRPr="00AE5093">
        <w:rPr>
          <w:rFonts w:cs="Calibri"/>
          <w:sz w:val="24"/>
          <w:szCs w:val="24"/>
          <w:lang w:val="en-GB" w:eastAsia="en-US"/>
        </w:rPr>
        <w:t xml:space="preserve">. First, we arranged them on the plate in a </w:t>
      </w:r>
      <w:r w:rsidRPr="00AE5093">
        <w:rPr>
          <w:rFonts w:cs="Calibri"/>
          <w:sz w:val="24"/>
          <w:szCs w:val="24"/>
          <w:lang w:val="en-GB" w:eastAsia="en-US"/>
        </w:rPr>
        <w:lastRenderedPageBreak/>
        <w:t xml:space="preserve">checker-board pattern (separated by blank wells) to reduce the possibility of cross-contamination. We nonetheless observed two cases of cross-contamination during the experiment. In both cases, we resumed the experiment from the previous day-culture, which we had stored at 4 </w:t>
      </w:r>
      <w:r w:rsidRPr="00AE5093">
        <w:rPr>
          <w:rFonts w:ascii="Ubuntu" w:eastAsia="Times New Roman" w:cs="Ubuntu"/>
          <w:sz w:val="24"/>
          <w:szCs w:val="24"/>
          <w:lang w:val="en-GB" w:eastAsia="en-US"/>
        </w:rPr>
        <w:t>°</w:t>
      </w:r>
      <w:r w:rsidRPr="00AE5093">
        <w:rPr>
          <w:rFonts w:ascii="Ubuntu" w:eastAsia="Times New Roman" w:cs="Ubuntu"/>
          <w:sz w:val="24"/>
          <w:szCs w:val="24"/>
          <w:lang w:val="en-GB" w:eastAsia="en-US"/>
        </w:rPr>
        <w:t>C</w:t>
      </w:r>
      <w:r w:rsidRPr="00AE5093">
        <w:rPr>
          <w:rFonts w:cs="Calibri"/>
          <w:sz w:val="24"/>
          <w:szCs w:val="24"/>
          <w:lang w:val="en-GB" w:eastAsia="en-US"/>
        </w:rPr>
        <w:t>.</w:t>
      </w:r>
    </w:p>
    <w:p w14:paraId="4FED00A5" w14:textId="77777777" w:rsidR="00AE5093" w:rsidRPr="00AE5093" w:rsidRDefault="00AE5093" w:rsidP="00AE5093">
      <w:pPr>
        <w:widowControl w:val="0"/>
        <w:spacing w:before="240" w:after="240" w:line="480" w:lineRule="auto"/>
        <w:rPr>
          <w:rFonts w:cs="Calibri"/>
          <w:sz w:val="24"/>
          <w:szCs w:val="24"/>
          <w:lang w:val="en-GB" w:eastAsia="en-US"/>
        </w:rPr>
      </w:pPr>
      <w:r w:rsidRPr="00AE5093">
        <w:rPr>
          <w:rFonts w:cs="Calibri"/>
          <w:sz w:val="24"/>
          <w:szCs w:val="24"/>
          <w:lang w:val="en-GB" w:eastAsia="en-US"/>
        </w:rPr>
        <w:t xml:space="preserve">Second, </w:t>
      </w:r>
      <w:r w:rsidR="00FA65D3">
        <w:rPr>
          <w:rFonts w:cs="Calibri"/>
          <w:sz w:val="24"/>
          <w:szCs w:val="24"/>
          <w:lang w:val="en-GB" w:eastAsia="en-US"/>
        </w:rPr>
        <w:t>we</w:t>
      </w:r>
      <w:r w:rsidRPr="00AE5093">
        <w:rPr>
          <w:rFonts w:cs="Calibri"/>
          <w:sz w:val="24"/>
          <w:szCs w:val="24"/>
          <w:lang w:val="en-GB" w:eastAsia="en-US"/>
        </w:rPr>
        <w:t xml:space="preserve"> checked for donor invasions into the recipient cell population. Every five day</w:t>
      </w:r>
      <w:r w:rsidR="00F13AFC">
        <w:rPr>
          <w:rFonts w:cs="Calibri"/>
          <w:sz w:val="24"/>
          <w:szCs w:val="24"/>
          <w:lang w:val="en-GB" w:eastAsia="en-US"/>
        </w:rPr>
        <w:t>s</w:t>
      </w:r>
      <w:r w:rsidRPr="00AE5093">
        <w:rPr>
          <w:rFonts w:cs="Calibri"/>
          <w:sz w:val="24"/>
          <w:szCs w:val="24"/>
          <w:lang w:val="en-GB" w:eastAsia="en-US"/>
        </w:rPr>
        <w:t xml:space="preserve">, we sampled and spread 100 </w:t>
      </w:r>
      <w:r w:rsidRPr="00AE5093">
        <w:rPr>
          <w:rFonts w:ascii="DejaVu Sans Greek" w:hAnsi="DejaVu Sans Greek" w:cs="DejaVu Sans Greek"/>
          <w:sz w:val="24"/>
          <w:szCs w:val="24"/>
          <w:lang w:val="en-GB" w:eastAsia="en-US"/>
        </w:rPr>
        <w:t>μ</w:t>
      </w:r>
      <w:r w:rsidRPr="00AE5093">
        <w:rPr>
          <w:rFonts w:cs="Calibri"/>
          <w:sz w:val="24"/>
          <w:szCs w:val="24"/>
          <w:lang w:val="en-GB" w:eastAsia="en-US"/>
        </w:rPr>
        <w:t>l of the evolving culture on LB solid agar supplemented with gentamycin, to which donor cells with the F plasmid integrate are resistant (Table S1). We counted the number of visible colonies to estimate the population density of the donor strain within the recipient population. We only performed the next round of donor strain introduction (described below) if the donor cell density within each recipient population was lower than 1000 cfu/ml.</w:t>
      </w:r>
    </w:p>
    <w:p w14:paraId="523E9C52" w14:textId="71144EB7" w:rsidR="00AE5093" w:rsidRDefault="00AE5093" w:rsidP="00AE5093">
      <w:pPr>
        <w:widowControl w:val="0"/>
        <w:spacing w:before="240" w:after="240" w:line="480" w:lineRule="auto"/>
        <w:rPr>
          <w:rFonts w:cs="Calibri"/>
          <w:sz w:val="24"/>
          <w:szCs w:val="24"/>
          <w:lang w:val="en-GB" w:eastAsia="en-US"/>
        </w:rPr>
      </w:pPr>
      <w:r w:rsidRPr="00AE5093">
        <w:rPr>
          <w:rFonts w:cs="Calibri"/>
          <w:sz w:val="24"/>
          <w:szCs w:val="24"/>
          <w:lang w:val="en-GB" w:eastAsia="en-US"/>
        </w:rPr>
        <w:t xml:space="preserve">In addition, we performed multiplex PCR using strain-specific primers </w:t>
      </w:r>
      <w:r w:rsidRPr="00AE5093">
        <w:rPr>
          <w:rFonts w:cs="Calibri"/>
          <w:sz w:val="24"/>
          <w:szCs w:val="24"/>
          <w:lang w:val="en-GB" w:eastAsia="en-US"/>
        </w:rPr>
        <w:fldChar w:fldCharType="begin" w:fldLock="1"/>
      </w:r>
      <w:r w:rsidR="00595277">
        <w:rPr>
          <w:rFonts w:cs="Calibri"/>
          <w:sz w:val="24"/>
          <w:szCs w:val="24"/>
          <w:lang w:val="en-GB" w:eastAsia="en-US"/>
        </w:rPr>
        <w:instrText>ADDIN CSL_CITATION { "citationItems" : [ { "id" : "ITEM-1", "itemData" : { "author" : [ { "dropping-particle" : "", "family" : "Bauer", "given" : "Andreas Peter", "non-dropping-particle" : "", "parse-names" : false, "suffix" : "" }, { "dropping-particle" : "", "family" : "Dieckmann", "given" : "Sarah Maria", "non-dropping-particle" : "", "parse-names" : false, "suffix" : "" }, { "dropping-particle" : "", "family" : "Ludwig", "given" : "Wolfgang", "non-dropping-particle" : "", "parse-names" : false, "suffix" : "" }, { "dropping-particle" : "", "family" : "Schleifer", "given" : "Karl-Heinz", "non-dropping-particle" : "", "parse-names" : false, "suffix" : "" } ], "container-title" : "FEMS microbiology letters", "id" : "ITEM-1", "issue" : "1", "issued" : { "date-parts" : [ [ "2007" ] ] }, "page" : "36-40", "publisher" : "The Oxford University Press", "title" : "Rapid identification of Escherichia coli safety and laboratory strain lineages based on Multiplex-PCR", "type" : "article-journal", "volume" : "269" }, "uris" : [ "http://www.mendeley.com/documents/?uuid=f06175aa-f7d4-4201-8820-4c8ab164699b" ] } ], "mendeley" : { "formattedCitation" : "[15]", "plainTextFormattedCitation" : "[15]", "previouslyFormattedCitation" : "[15]" }, "properties" : { "noteIndex" : 0 }, "schema" : "https://github.com/citation-style-language/schema/raw/master/csl-citation.json" }</w:instrText>
      </w:r>
      <w:r w:rsidRPr="00AE5093">
        <w:rPr>
          <w:rFonts w:cs="Calibri"/>
          <w:sz w:val="24"/>
          <w:szCs w:val="24"/>
          <w:lang w:val="en-GB" w:eastAsia="en-US"/>
        </w:rPr>
        <w:fldChar w:fldCharType="separate"/>
      </w:r>
      <w:r w:rsidR="00346A22" w:rsidRPr="00346A22">
        <w:rPr>
          <w:rFonts w:cs="Calibri"/>
          <w:noProof/>
          <w:sz w:val="24"/>
          <w:szCs w:val="24"/>
          <w:lang w:val="en-GB" w:eastAsia="en-US"/>
        </w:rPr>
        <w:t>[15]</w:t>
      </w:r>
      <w:r w:rsidRPr="00AE5093">
        <w:rPr>
          <w:rFonts w:cs="Calibri"/>
          <w:sz w:val="24"/>
          <w:szCs w:val="24"/>
          <w:lang w:val="en-GB" w:eastAsia="en-US"/>
        </w:rPr>
        <w:fldChar w:fldCharType="end"/>
      </w:r>
      <w:r w:rsidRPr="00AE5093">
        <w:rPr>
          <w:rFonts w:cs="Calibri"/>
          <w:sz w:val="24"/>
          <w:szCs w:val="24"/>
          <w:lang w:val="en-GB" w:eastAsia="en-US"/>
        </w:rPr>
        <w:t xml:space="preserve"> to validate that the evolving recipient populations were not overtaken by the donor strains. We found that all K recipient populations adapting to HPA showed an </w:t>
      </w:r>
      <w:r w:rsidRPr="00AE5093">
        <w:rPr>
          <w:rFonts w:cs="Calibri"/>
          <w:i/>
          <w:sz w:val="24"/>
          <w:szCs w:val="24"/>
          <w:lang w:val="en-GB" w:eastAsia="en-US"/>
        </w:rPr>
        <w:t>E. coli</w:t>
      </w:r>
      <w:r w:rsidRPr="00AE5093">
        <w:rPr>
          <w:rFonts w:cs="Calibri"/>
          <w:sz w:val="24"/>
          <w:szCs w:val="24"/>
          <w:lang w:val="en-GB" w:eastAsia="en-US"/>
        </w:rPr>
        <w:t xml:space="preserve"> K12 specific PCR band (1600 bp) </w:t>
      </w:r>
      <w:r w:rsidRPr="00AE5093">
        <w:rPr>
          <w:rFonts w:cs="Calibri"/>
          <w:sz w:val="24"/>
          <w:szCs w:val="24"/>
          <w:lang w:val="en-GB" w:eastAsia="en-US"/>
        </w:rPr>
        <w:fldChar w:fldCharType="begin" w:fldLock="1"/>
      </w:r>
      <w:r w:rsidR="00595277">
        <w:rPr>
          <w:rFonts w:cs="Calibri"/>
          <w:sz w:val="24"/>
          <w:szCs w:val="24"/>
          <w:lang w:val="en-GB" w:eastAsia="en-US"/>
        </w:rPr>
        <w:instrText>ADDIN CSL_CITATION { "citationItems" : [ { "id" : "ITEM-1", "itemData" : { "author" : [ { "dropping-particle" : "", "family" : "Bauer", "given" : "Andreas Peter", "non-dropping-particle" : "", "parse-names" : false, "suffix" : "" }, { "dropping-particle" : "", "family" : "Dieckmann", "given" : "Sarah Maria", "non-dropping-particle" : "", "parse-names" : false, "suffix" : "" }, { "dropping-particle" : "", "family" : "Ludwig", "given" : "Wolfgang", "non-dropping-particle" : "", "parse-names" : false, "suffix" : "" }, { "dropping-particle" : "", "family" : "Schleifer", "given" : "Karl-Heinz", "non-dropping-particle" : "", "parse-names" : false, "suffix" : "" } ], "container-title" : "FEMS microbiology letters", "id" : "ITEM-1", "issue" : "1", "issued" : { "date-parts" : [ [ "2007" ] ] }, "page" : "36-40", "publisher" : "The Oxford University Press", "title" : "Rapid identification of Escherichia coli safety and laboratory strain lineages based on Multiplex-PCR", "type" : "article-journal", "volume" : "269" }, "uris" : [ "http://www.mendeley.com/documents/?uuid=f06175aa-f7d4-4201-8820-4c8ab164699b" ] } ], "mendeley" : { "formattedCitation" : "[15]", "plainTextFormattedCitation" : "[15]", "previouslyFormattedCitation" : "[15]" }, "properties" : { "noteIndex" : 0 }, "schema" : "https://github.com/citation-style-language/schema/raw/master/csl-citation.json" }</w:instrText>
      </w:r>
      <w:r w:rsidRPr="00AE5093">
        <w:rPr>
          <w:rFonts w:cs="Calibri"/>
          <w:sz w:val="24"/>
          <w:szCs w:val="24"/>
          <w:lang w:val="en-GB" w:eastAsia="en-US"/>
        </w:rPr>
        <w:fldChar w:fldCharType="separate"/>
      </w:r>
      <w:r w:rsidR="00346A22" w:rsidRPr="00346A22">
        <w:rPr>
          <w:rFonts w:cs="Calibri"/>
          <w:noProof/>
          <w:sz w:val="24"/>
          <w:szCs w:val="24"/>
          <w:lang w:val="en-GB" w:eastAsia="en-US"/>
        </w:rPr>
        <w:t>[15]</w:t>
      </w:r>
      <w:r w:rsidRPr="00AE5093">
        <w:rPr>
          <w:rFonts w:cs="Calibri"/>
          <w:sz w:val="24"/>
          <w:szCs w:val="24"/>
          <w:lang w:val="en-GB" w:eastAsia="en-US"/>
        </w:rPr>
        <w:fldChar w:fldCharType="end"/>
      </w:r>
      <w:r w:rsidRPr="00AE5093">
        <w:rPr>
          <w:rFonts w:cs="Calibri"/>
          <w:sz w:val="24"/>
          <w:szCs w:val="24"/>
          <w:lang w:val="en-GB" w:eastAsia="en-US"/>
        </w:rPr>
        <w:t xml:space="preserve"> as the brightest band. Thus, as expected, these populations consisted mainly of K recipient cells. Similarly, we found that all W recipient populations adapting to butyric acid showed an </w:t>
      </w:r>
      <w:r w:rsidRPr="00AE5093">
        <w:rPr>
          <w:rFonts w:cs="Calibri"/>
          <w:i/>
          <w:iCs/>
          <w:sz w:val="24"/>
          <w:szCs w:val="24"/>
          <w:lang w:val="en-GB" w:eastAsia="en-US"/>
        </w:rPr>
        <w:t>E. coli</w:t>
      </w:r>
      <w:r w:rsidRPr="00AE5093">
        <w:rPr>
          <w:rFonts w:cs="Calibri"/>
          <w:sz w:val="24"/>
          <w:szCs w:val="24"/>
          <w:lang w:val="en-GB" w:eastAsia="en-US"/>
        </w:rPr>
        <w:t xml:space="preserve"> W specific band (500 bp) </w:t>
      </w:r>
      <w:r w:rsidRPr="00AE5093">
        <w:rPr>
          <w:rFonts w:cs="Calibri"/>
          <w:sz w:val="24"/>
          <w:szCs w:val="24"/>
          <w:lang w:val="en-GB" w:eastAsia="en-US"/>
        </w:rPr>
        <w:fldChar w:fldCharType="begin" w:fldLock="1"/>
      </w:r>
      <w:r w:rsidR="00595277">
        <w:rPr>
          <w:rFonts w:cs="Calibri"/>
          <w:sz w:val="24"/>
          <w:szCs w:val="24"/>
          <w:lang w:val="en-GB" w:eastAsia="en-US"/>
        </w:rPr>
        <w:instrText>ADDIN CSL_CITATION { "citationItems" : [ { "id" : "ITEM-1", "itemData" : { "author" : [ { "dropping-particle" : "", "family" : "Bauer", "given" : "Andreas Peter", "non-dropping-particle" : "", "parse-names" : false, "suffix" : "" }, { "dropping-particle" : "", "family" : "Dieckmann", "given" : "Sarah Maria", "non-dropping-particle" : "", "parse-names" : false, "suffix" : "" }, { "dropping-particle" : "", "family" : "Ludwig", "given" : "Wolfgang", "non-dropping-particle" : "", "parse-names" : false, "suffix" : "" }, { "dropping-particle" : "", "family" : "Schleifer", "given" : "Karl-Heinz", "non-dropping-particle" : "", "parse-names" : false, "suffix" : "" } ], "container-title" : "FEMS microbiology letters", "id" : "ITEM-1", "issue" : "1", "issued" : { "date-parts" : [ [ "2007" ] ] }, "page" : "36-40", "publisher" : "The Oxford University Press", "title" : "Rapid identification of Escherichia coli safety and laboratory strain lineages based on Multiplex-PCR", "type" : "article-journal", "volume" : "269" }, "uris" : [ "http://www.mendeley.com/documents/?uuid=f06175aa-f7d4-4201-8820-4c8ab164699b" ] } ], "mendeley" : { "formattedCitation" : "[15]", "plainTextFormattedCitation" : "[15]", "previouslyFormattedCitation" : "[15]" }, "properties" : { "noteIndex" : 0 }, "schema" : "https://github.com/citation-style-language/schema/raw/master/csl-citation.json" }</w:instrText>
      </w:r>
      <w:r w:rsidRPr="00AE5093">
        <w:rPr>
          <w:rFonts w:cs="Calibri"/>
          <w:sz w:val="24"/>
          <w:szCs w:val="24"/>
          <w:lang w:val="en-GB" w:eastAsia="en-US"/>
        </w:rPr>
        <w:fldChar w:fldCharType="separate"/>
      </w:r>
      <w:r w:rsidR="00346A22" w:rsidRPr="00346A22">
        <w:rPr>
          <w:rFonts w:cs="Calibri"/>
          <w:noProof/>
          <w:sz w:val="24"/>
          <w:szCs w:val="24"/>
          <w:lang w:val="en-GB" w:eastAsia="en-US"/>
        </w:rPr>
        <w:t>[15]</w:t>
      </w:r>
      <w:r w:rsidRPr="00AE5093">
        <w:rPr>
          <w:rFonts w:cs="Calibri"/>
          <w:sz w:val="24"/>
          <w:szCs w:val="24"/>
          <w:lang w:val="en-GB" w:eastAsia="en-US"/>
        </w:rPr>
        <w:fldChar w:fldCharType="end"/>
      </w:r>
      <w:r w:rsidRPr="00AE5093">
        <w:rPr>
          <w:rFonts w:cs="Calibri"/>
          <w:sz w:val="24"/>
          <w:szCs w:val="24"/>
          <w:lang w:val="en-GB" w:eastAsia="en-US"/>
        </w:rPr>
        <w:t xml:space="preserve">, indicating that the donor strains had not invaded these recipient populations either. </w:t>
      </w:r>
    </w:p>
    <w:p w14:paraId="7696CE69" w14:textId="77777777" w:rsidR="00E82909" w:rsidRPr="00432A9D" w:rsidRDefault="00E82909" w:rsidP="00E82909">
      <w:pPr>
        <w:pStyle w:val="body"/>
        <w:rPr>
          <w:rFonts w:eastAsia="Times New Roman" w:cs="Calibri"/>
        </w:rPr>
      </w:pPr>
      <w:r w:rsidRPr="00432A9D">
        <w:rPr>
          <w:rFonts w:cs="Calibri"/>
        </w:rPr>
        <w:t xml:space="preserve">Using these methods, we identified two likely contamination incidents </w:t>
      </w:r>
      <w:r>
        <w:rPr>
          <w:rFonts w:cs="Calibri"/>
        </w:rPr>
        <w:t>where</w:t>
      </w:r>
      <w:r w:rsidRPr="00432A9D">
        <w:rPr>
          <w:rFonts w:cs="Calibri"/>
        </w:rPr>
        <w:t xml:space="preserve"> empty wells in </w:t>
      </w:r>
      <w:r>
        <w:rPr>
          <w:rFonts w:cs="Calibri"/>
        </w:rPr>
        <w:t>a</w:t>
      </w:r>
      <w:r w:rsidRPr="00432A9D">
        <w:rPr>
          <w:rFonts w:cs="Calibri"/>
        </w:rPr>
        <w:t xml:space="preserve"> plate had show</w:t>
      </w:r>
      <w:r>
        <w:rPr>
          <w:rFonts w:cs="Calibri"/>
        </w:rPr>
        <w:t>n</w:t>
      </w:r>
      <w:r w:rsidRPr="00432A9D">
        <w:rPr>
          <w:rFonts w:cs="Calibri"/>
        </w:rPr>
        <w:t xml:space="preserve"> bacterial growth after 24-hour incubation before the daily serial </w:t>
      </w:r>
      <w:r>
        <w:rPr>
          <w:rFonts w:cs="Calibri"/>
        </w:rPr>
        <w:t>transfer</w:t>
      </w:r>
      <w:r w:rsidRPr="00432A9D">
        <w:rPr>
          <w:rFonts w:cs="Calibri"/>
        </w:rPr>
        <w:t xml:space="preserve">, and resumed the experiments using populations from the previous day </w:t>
      </w:r>
      <w:r w:rsidRPr="00432A9D">
        <w:rPr>
          <w:rFonts w:cs="Calibri"/>
        </w:rPr>
        <w:lastRenderedPageBreak/>
        <w:t>stored at 4</w:t>
      </w:r>
      <w:r w:rsidRPr="00432A9D">
        <w:rPr>
          <w:rFonts w:eastAsia="Times New Roman" w:cs="Calibri"/>
        </w:rPr>
        <w:sym w:font="Symbol" w:char="F0B0"/>
      </w:r>
      <w:r>
        <w:rPr>
          <w:rFonts w:eastAsia="Times New Roman" w:cs="Calibri"/>
        </w:rPr>
        <w:t xml:space="preserve"> </w:t>
      </w:r>
      <w:r w:rsidRPr="00432A9D">
        <w:rPr>
          <w:rFonts w:cs="Calibri"/>
        </w:rPr>
        <w:t>C</w:t>
      </w:r>
      <w:r w:rsidRPr="00432A9D">
        <w:rPr>
          <w:rFonts w:eastAsia="Times New Roman" w:cs="Calibri"/>
        </w:rPr>
        <w:t>.</w:t>
      </w:r>
    </w:p>
    <w:p w14:paraId="12798E87" w14:textId="77777777" w:rsidR="00E82909" w:rsidRPr="00432A9D" w:rsidRDefault="00E82909" w:rsidP="00E82909">
      <w:pPr>
        <w:pStyle w:val="body"/>
        <w:rPr>
          <w:rFonts w:cs="Calibri"/>
        </w:rPr>
      </w:pPr>
      <w:r>
        <w:rPr>
          <w:rFonts w:cs="Calibri"/>
        </w:rPr>
        <w:t>Despite these precautions</w:t>
      </w:r>
      <w:r w:rsidRPr="00432A9D">
        <w:rPr>
          <w:rFonts w:cs="Calibri"/>
        </w:rPr>
        <w:t xml:space="preserve">, whole genome sequence data of evolved clones suggested that three of our </w:t>
      </w:r>
      <w:r>
        <w:rPr>
          <w:rFonts w:cs="Calibri"/>
        </w:rPr>
        <w:t>HPA-</w:t>
      </w:r>
      <w:r w:rsidRPr="00432A9D">
        <w:rPr>
          <w:rFonts w:cs="Calibri"/>
        </w:rPr>
        <w:t>evolved replicates might have been recombin</w:t>
      </w:r>
      <w:r>
        <w:rPr>
          <w:rFonts w:cs="Calibri"/>
        </w:rPr>
        <w:t>ing</w:t>
      </w:r>
      <w:r w:rsidRPr="00432A9D">
        <w:rPr>
          <w:rFonts w:cs="Calibri"/>
        </w:rPr>
        <w:t xml:space="preserve"> with the wrong donor. </w:t>
      </w:r>
      <w:r>
        <w:rPr>
          <w:rFonts w:cs="Calibri"/>
        </w:rPr>
        <w:t>This was revealed by</w:t>
      </w:r>
      <w:r w:rsidRPr="00432A9D">
        <w:rPr>
          <w:rFonts w:cs="Calibri"/>
        </w:rPr>
        <w:t xml:space="preserve"> a princip</w:t>
      </w:r>
      <w:r>
        <w:rPr>
          <w:rFonts w:cs="Calibri"/>
        </w:rPr>
        <w:t>al</w:t>
      </w:r>
      <w:r w:rsidRPr="00432A9D">
        <w:rPr>
          <w:rFonts w:cs="Calibri"/>
        </w:rPr>
        <w:t xml:space="preserve"> component analysis </w:t>
      </w:r>
      <w:r>
        <w:rPr>
          <w:rFonts w:cs="Calibri"/>
        </w:rPr>
        <w:t>(Methods) of</w:t>
      </w:r>
      <w:r w:rsidRPr="00432A9D">
        <w:rPr>
          <w:rFonts w:cs="Calibri"/>
        </w:rPr>
        <w:t xml:space="preserve"> the genotypes of all </w:t>
      </w:r>
      <w:r>
        <w:rPr>
          <w:rFonts w:cs="Calibri"/>
        </w:rPr>
        <w:t>HPA</w:t>
      </w:r>
      <w:r w:rsidRPr="00432A9D">
        <w:rPr>
          <w:rFonts w:cs="Calibri"/>
        </w:rPr>
        <w:t xml:space="preserve"> evolved clones </w:t>
      </w:r>
      <w:r>
        <w:rPr>
          <w:rFonts w:cs="Calibri"/>
        </w:rPr>
        <w:t>determined from</w:t>
      </w:r>
      <w:r w:rsidRPr="00432A9D">
        <w:rPr>
          <w:rFonts w:cs="Calibri"/>
        </w:rPr>
        <w:t xml:space="preserve"> alignments to the </w:t>
      </w:r>
      <w:r w:rsidRPr="00432A9D">
        <w:rPr>
          <w:rFonts w:cs="Calibri"/>
          <w:i/>
        </w:rPr>
        <w:t xml:space="preserve">E. coli </w:t>
      </w:r>
      <w:r w:rsidRPr="00432A9D">
        <w:rPr>
          <w:rFonts w:cs="Calibri"/>
        </w:rPr>
        <w:t>K</w:t>
      </w:r>
      <w:r>
        <w:rPr>
          <w:rFonts w:cs="Calibri"/>
        </w:rPr>
        <w:t>12</w:t>
      </w:r>
      <w:r w:rsidRPr="00432A9D">
        <w:rPr>
          <w:rFonts w:cs="Calibri"/>
        </w:rPr>
        <w:t xml:space="preserve"> reference genome. </w:t>
      </w:r>
      <w:r>
        <w:rPr>
          <w:rFonts w:cs="Calibri"/>
        </w:rPr>
        <w:t>For this analysis, we used genotypes based</w:t>
      </w:r>
      <w:r w:rsidRPr="00432A9D">
        <w:rPr>
          <w:rFonts w:cs="Calibri"/>
        </w:rPr>
        <w:t xml:space="preserve"> on </w:t>
      </w:r>
      <w:r>
        <w:rPr>
          <w:rFonts w:cs="Calibri"/>
        </w:rPr>
        <w:t>high confidence polymorphic sites</w:t>
      </w:r>
      <w:r w:rsidRPr="00432A9D">
        <w:rPr>
          <w:rFonts w:cs="Calibri"/>
        </w:rPr>
        <w:t xml:space="preserve"> (genotype quality &gt; 80)</w:t>
      </w:r>
      <w:r>
        <w:rPr>
          <w:rFonts w:cs="Calibri"/>
        </w:rPr>
        <w:t xml:space="preserve">, which are </w:t>
      </w:r>
      <w:r w:rsidRPr="00432A9D">
        <w:rPr>
          <w:rFonts w:cs="Calibri"/>
        </w:rPr>
        <w:t xml:space="preserve">mainly located in gene orthologues present in </w:t>
      </w:r>
      <w:r>
        <w:rPr>
          <w:rFonts w:cs="Calibri"/>
        </w:rPr>
        <w:t xml:space="preserve">the </w:t>
      </w:r>
      <w:r w:rsidRPr="00432A9D">
        <w:rPr>
          <w:rFonts w:cs="Calibri"/>
        </w:rPr>
        <w:t xml:space="preserve">genomes of </w:t>
      </w:r>
      <w:r>
        <w:rPr>
          <w:rFonts w:cs="Calibri"/>
        </w:rPr>
        <w:t xml:space="preserve">all </w:t>
      </w:r>
      <w:r w:rsidRPr="00827FF8">
        <w:rPr>
          <w:rFonts w:cs="Calibri"/>
        </w:rPr>
        <w:t xml:space="preserve">three </w:t>
      </w:r>
      <w:r w:rsidRPr="00DB77AE">
        <w:rPr>
          <w:rFonts w:cs="Calibri"/>
        </w:rPr>
        <w:t>(</w:t>
      </w:r>
      <w:r w:rsidRPr="00827FF8">
        <w:rPr>
          <w:rFonts w:cs="Calibri"/>
        </w:rPr>
        <w:t>K12</w:t>
      </w:r>
      <w:r w:rsidRPr="00432A9D">
        <w:rPr>
          <w:rFonts w:cs="Calibri"/>
        </w:rPr>
        <w:t>, B and W</w:t>
      </w:r>
      <w:r>
        <w:rPr>
          <w:rFonts w:cs="Calibri"/>
        </w:rPr>
        <w:t>)</w:t>
      </w:r>
      <w:r w:rsidRPr="00432A9D">
        <w:rPr>
          <w:rFonts w:cs="Calibri"/>
        </w:rPr>
        <w:t xml:space="preserve"> </w:t>
      </w:r>
      <w:r>
        <w:rPr>
          <w:rFonts w:cs="Calibri"/>
        </w:rPr>
        <w:t>strains</w:t>
      </w:r>
      <w:r w:rsidRPr="00432A9D">
        <w:rPr>
          <w:rFonts w:cs="Calibri"/>
        </w:rPr>
        <w:t xml:space="preserve">. Additionally, we only </w:t>
      </w:r>
      <w:r>
        <w:rPr>
          <w:rFonts w:cs="Calibri"/>
        </w:rPr>
        <w:t xml:space="preserve">used alleles </w:t>
      </w:r>
      <w:r w:rsidRPr="00432A9D">
        <w:rPr>
          <w:rFonts w:cs="Calibri"/>
        </w:rPr>
        <w:t>located within protein coding regions</w:t>
      </w:r>
      <w:r>
        <w:rPr>
          <w:rFonts w:cs="Calibri"/>
        </w:rPr>
        <w:t xml:space="preserve"> in the analysis, which is based on a</w:t>
      </w:r>
      <w:r w:rsidRPr="00432A9D">
        <w:rPr>
          <w:rFonts w:cs="Calibri"/>
        </w:rPr>
        <w:t xml:space="preserve"> total </w:t>
      </w:r>
      <w:r>
        <w:rPr>
          <w:rFonts w:cs="Calibri"/>
        </w:rPr>
        <w:t xml:space="preserve">of </w:t>
      </w:r>
      <w:r w:rsidRPr="00432A9D">
        <w:rPr>
          <w:rFonts w:cs="Calibri"/>
        </w:rPr>
        <w:t>547</w:t>
      </w:r>
      <w:r>
        <w:rPr>
          <w:rFonts w:cs="Calibri"/>
        </w:rPr>
        <w:t xml:space="preserve"> synonymous and non-synonymous</w:t>
      </w:r>
      <w:r w:rsidRPr="00432A9D">
        <w:rPr>
          <w:rFonts w:cs="Calibri"/>
        </w:rPr>
        <w:t xml:space="preserve"> </w:t>
      </w:r>
      <w:r>
        <w:rPr>
          <w:rFonts w:cs="Calibri"/>
        </w:rPr>
        <w:t>polymorphic</w:t>
      </w:r>
      <w:r w:rsidRPr="00432A9D">
        <w:rPr>
          <w:rFonts w:cs="Calibri"/>
        </w:rPr>
        <w:t xml:space="preserve"> sites. </w:t>
      </w:r>
    </w:p>
    <w:p w14:paraId="5C5D9899" w14:textId="77777777" w:rsidR="00E82909" w:rsidRPr="00432A9D" w:rsidRDefault="00E82909" w:rsidP="00E82909">
      <w:pPr>
        <w:pStyle w:val="body"/>
      </w:pPr>
      <w:r w:rsidRPr="00432A9D">
        <w:t xml:space="preserve">The </w:t>
      </w:r>
      <w:r>
        <w:t>analysis showed that HPA-</w:t>
      </w:r>
      <w:r w:rsidRPr="00432A9D">
        <w:t xml:space="preserve">evolved clones split into three main groups, </w:t>
      </w:r>
      <w:r>
        <w:t>most of which clustered with the expected donor (B, W, or K; S8 Fig.</w:t>
      </w:r>
      <w:r w:rsidRPr="00432A9D">
        <w:t>). However, six clones from t</w:t>
      </w:r>
      <w:r>
        <w:t>hree</w:t>
      </w:r>
      <w:r w:rsidRPr="00432A9D">
        <w:t xml:space="preserve"> replicate</w:t>
      </w:r>
      <w:r>
        <w:t xml:space="preserve"> populations </w:t>
      </w:r>
      <w:r w:rsidRPr="00432A9D">
        <w:t xml:space="preserve">clustered unexpected with the </w:t>
      </w:r>
      <w:r>
        <w:t xml:space="preserve">clones exposed to the </w:t>
      </w:r>
      <w:r w:rsidRPr="00432A9D">
        <w:t>B donor</w:t>
      </w:r>
      <w:r>
        <w:t>, even though they were supposedly only exposed to K donor</w:t>
      </w:r>
      <w:r w:rsidRPr="00432A9D">
        <w:t xml:space="preserve"> </w:t>
      </w:r>
      <w:r>
        <w:t>(or to no donor at all, S8 Fig.</w:t>
      </w:r>
      <w:r w:rsidRPr="00432A9D">
        <w:t xml:space="preserve">). </w:t>
      </w:r>
      <w:r>
        <w:t>We excluded these likely contaminants from further analysis.</w:t>
      </w:r>
    </w:p>
    <w:p w14:paraId="0DB41155" w14:textId="77777777" w:rsidR="00E82909" w:rsidRPr="00432A9D" w:rsidRDefault="00E82909" w:rsidP="00E82909">
      <w:pPr>
        <w:pStyle w:val="body"/>
        <w:rPr>
          <w:rFonts w:cs="Calibri"/>
        </w:rPr>
      </w:pPr>
      <w:r>
        <w:rPr>
          <w:rFonts w:cs="Calibri"/>
        </w:rPr>
        <w:t>An analogous principal component analysis based on 566 polymorphic sites in butyric acid-evolved clones (not shown) revealed no signs of contamination</w:t>
      </w:r>
      <w:r w:rsidRPr="00432A9D">
        <w:rPr>
          <w:rFonts w:cs="Calibri"/>
        </w:rPr>
        <w:t xml:space="preserve">. </w:t>
      </w:r>
    </w:p>
    <w:p w14:paraId="46FFE296" w14:textId="77777777" w:rsidR="00AE5093" w:rsidRPr="0039310B" w:rsidRDefault="00AE5093" w:rsidP="00AE5093">
      <w:pPr>
        <w:pStyle w:val="body"/>
        <w:rPr>
          <w:rFonts w:cs="Calibri"/>
          <w:b/>
          <w:sz w:val="32"/>
          <w:szCs w:val="32"/>
        </w:rPr>
      </w:pPr>
      <w:r w:rsidRPr="0039310B">
        <w:rPr>
          <w:rFonts w:cs="Calibri"/>
          <w:b/>
          <w:sz w:val="32"/>
          <w:szCs w:val="32"/>
        </w:rPr>
        <w:t xml:space="preserve">Donor strain </w:t>
      </w:r>
      <w:r>
        <w:rPr>
          <w:rFonts w:cs="Calibri"/>
          <w:b/>
          <w:sz w:val="32"/>
          <w:szCs w:val="32"/>
        </w:rPr>
        <w:t xml:space="preserve">culture </w:t>
      </w:r>
      <w:r w:rsidRPr="0039310B">
        <w:rPr>
          <w:rFonts w:cs="Calibri"/>
          <w:b/>
          <w:sz w:val="32"/>
          <w:szCs w:val="32"/>
        </w:rPr>
        <w:t>preparation</w:t>
      </w:r>
    </w:p>
    <w:p w14:paraId="61A46470" w14:textId="3044461A" w:rsidR="00AE5093" w:rsidRDefault="00AE5093" w:rsidP="00AE5093">
      <w:pPr>
        <w:pStyle w:val="body"/>
        <w:rPr>
          <w:rFonts w:cs="Calibri"/>
        </w:rPr>
      </w:pPr>
      <w:r>
        <w:rPr>
          <w:rFonts w:cs="Calibri"/>
        </w:rPr>
        <w:t xml:space="preserve">We had prepared a glycerol stock of each donor strain at the beginning of the experiment in the following way. We established a 20 ml overnight culture of the donor </w:t>
      </w:r>
      <w:r>
        <w:rPr>
          <w:rFonts w:cs="Calibri"/>
        </w:rPr>
        <w:lastRenderedPageBreak/>
        <w:t>strain in DM liquid medi</w:t>
      </w:r>
      <w:r w:rsidR="00F13AFC">
        <w:rPr>
          <w:rFonts w:cs="Calibri"/>
        </w:rPr>
        <w:t>um</w:t>
      </w:r>
      <w:r>
        <w:rPr>
          <w:rFonts w:cs="Calibri"/>
        </w:rPr>
        <w:t xml:space="preserve"> supplemented with 0.2% glucose and 30 </w:t>
      </w:r>
      <w:r>
        <w:rPr>
          <w:rFonts w:ascii="DejaVu Sans Greek" w:hAnsi="DejaVu Sans Greek" w:cs="DejaVu Sans Greek"/>
        </w:rPr>
        <w:t>μ</w:t>
      </w:r>
      <w:r>
        <w:rPr>
          <w:rFonts w:cs="Calibri"/>
        </w:rPr>
        <w:t xml:space="preserve">g/ml gentamycin. We washed this culture three times and resuspended it in 20 ml of DM broth to remove the antibiotics. Then we prepared 100 glycerol stocks from the donor strain culture by adding 100 </w:t>
      </w:r>
      <w:r>
        <w:rPr>
          <w:rFonts w:ascii="DejaVu Sans Greek" w:hAnsi="DejaVu Sans Greek" w:cs="DejaVu Sans Greek"/>
        </w:rPr>
        <w:t>μ</w:t>
      </w:r>
      <w:r>
        <w:rPr>
          <w:rFonts w:cs="Calibri"/>
        </w:rPr>
        <w:t xml:space="preserve">l of the culture to 50 </w:t>
      </w:r>
      <w:r>
        <w:rPr>
          <w:rFonts w:ascii="DejaVu Sans Greek" w:hAnsi="DejaVu Sans Greek" w:cs="DejaVu Sans Greek"/>
        </w:rPr>
        <w:t>μ</w:t>
      </w:r>
      <w:r>
        <w:rPr>
          <w:rFonts w:cs="Calibri"/>
        </w:rPr>
        <w:t xml:space="preserve">l of 50% glycerol. </w:t>
      </w:r>
    </w:p>
    <w:p w14:paraId="7AAE159E" w14:textId="77777777" w:rsidR="00AE5093" w:rsidRDefault="00AE5093" w:rsidP="00AE5093">
      <w:pPr>
        <w:pStyle w:val="body"/>
        <w:rPr>
          <w:rFonts w:cs="Calibri"/>
        </w:rPr>
      </w:pPr>
      <w:r>
        <w:rPr>
          <w:rFonts w:cs="Calibri"/>
        </w:rPr>
        <w:t xml:space="preserve">To obtain a donor sample for addition to the recipient culture, we thawed one of the glycerol stocks of the donor strain, washed the cell suspension in 1 ml of DM liquid medium, and resuspended the cells in 100 </w:t>
      </w:r>
      <w:r>
        <w:rPr>
          <w:rFonts w:ascii="DejaVu Sans Greek" w:hAnsi="DejaVu Sans Greek" w:cs="DejaVu Sans Greek"/>
        </w:rPr>
        <w:t>μ</w:t>
      </w:r>
      <w:r>
        <w:rPr>
          <w:rFonts w:cs="Calibri"/>
        </w:rPr>
        <w:t xml:space="preserve">l of DM liquid medium. We then added 5 </w:t>
      </w:r>
      <w:r>
        <w:rPr>
          <w:rFonts w:ascii="DejaVu Sans Greek" w:hAnsi="DejaVu Sans Greek" w:cs="DejaVu Sans Greek"/>
        </w:rPr>
        <w:t>μ</w:t>
      </w:r>
      <w:r>
        <w:rPr>
          <w:rFonts w:cs="Calibri"/>
        </w:rPr>
        <w:t xml:space="preserve">l of the appropriate donor strain, according to the recombination condition (Fig 1), along with 20 </w:t>
      </w:r>
      <w:r>
        <w:rPr>
          <w:rFonts w:ascii="DejaVu Sans Greek" w:hAnsi="DejaVu Sans Greek" w:cs="DejaVu Sans Greek"/>
        </w:rPr>
        <w:t>μ</w:t>
      </w:r>
      <w:r>
        <w:rPr>
          <w:rFonts w:cs="Calibri"/>
        </w:rPr>
        <w:t xml:space="preserve">l of the recipient population to fresh growth medium during the serial transfer. We note that this practice of obtaining donor samples from a single ancestral glycerol stock ensures genetic uniformity of the donor samples. </w:t>
      </w:r>
    </w:p>
    <w:p w14:paraId="6D4B7091" w14:textId="77777777" w:rsidR="0064244E" w:rsidRPr="00E66D7A" w:rsidRDefault="0064244E" w:rsidP="0064244E">
      <w:pPr>
        <w:pStyle w:val="body"/>
        <w:rPr>
          <w:rFonts w:cs="Calibri"/>
          <w:b/>
          <w:sz w:val="32"/>
          <w:szCs w:val="32"/>
        </w:rPr>
      </w:pPr>
      <w:r w:rsidRPr="00E66D7A">
        <w:rPr>
          <w:rFonts w:cs="Calibri"/>
          <w:b/>
          <w:sz w:val="32"/>
          <w:szCs w:val="32"/>
        </w:rPr>
        <w:t>Library preparation for sequencing</w:t>
      </w:r>
    </w:p>
    <w:p w14:paraId="022A6842" w14:textId="4092393A" w:rsidR="0064244E" w:rsidRPr="00546C3A" w:rsidRDefault="0064244E" w:rsidP="0064244E">
      <w:pPr>
        <w:pStyle w:val="body"/>
        <w:rPr>
          <w:rFonts w:eastAsiaTheme="minorEastAsia" w:cs="Calibri"/>
        </w:rPr>
      </w:pPr>
      <w:r>
        <w:rPr>
          <w:rFonts w:cs="Calibri"/>
        </w:rPr>
        <w:t xml:space="preserve">For each clone, we isolated genomic DNA from 1 ml of overnight culture using the QiAampDNA Mini kit (Qiagen 51304). We used the NEBNext Ultra DNA library preparation kit for Illumina (NEB E7370L), and NEBNext Multiplex Oligos for Illumina (Dual Index Primers Set 1; NEB E7600S), preparing indexed libraries according to Manual E7370. We sequenced whole genome DNA fragments of length between 500 to 800 bp using the Agencourt AMPure XP system (Beckman Coulter E6260). We pooled all indexed libraries and sequenced 2 × 150 bp paired-end reads using the Illumina NextSeq 500/550 sequencer at the Functional Genomic Center Zurich. We sequenced the evolved clones to an average 99.9-fold genome-wide sequence coverage and at </w:t>
      </w:r>
      <w:r>
        <w:rPr>
          <w:rFonts w:cs="Calibri"/>
        </w:rPr>
        <w:lastRenderedPageBreak/>
        <w:t xml:space="preserve">minimum 25-fold coverage (Figure S5). We further eliminated one </w:t>
      </w:r>
      <m:oMath>
        <m:r>
          <m:rPr>
            <m:sty m:val="p"/>
          </m:rPr>
          <w:rPr>
            <w:rFonts w:ascii="Cambria Math" w:hAnsi="Cambria Math" w:cs="Calibri"/>
          </w:rPr>
          <m:t>Re</m:t>
        </m:r>
        <m:sSubSup>
          <m:sSubSupPr>
            <m:ctrlPr>
              <w:rPr>
                <w:rFonts w:ascii="Cambria Math" w:hAnsi="Cambria Math" w:cs="Calibri"/>
              </w:rPr>
            </m:ctrlPr>
          </m:sSubSupPr>
          <m:e>
            <m:r>
              <m:rPr>
                <m:sty m:val="p"/>
              </m:rPr>
              <w:rPr>
                <w:rFonts w:ascii="Cambria Math" w:hAnsi="Cambria Math" w:cs="Calibri"/>
              </w:rPr>
              <m:t>c</m:t>
            </m:r>
          </m:e>
          <m:sub>
            <m:r>
              <m:rPr>
                <m:sty m:val="p"/>
              </m:rPr>
              <w:rPr>
                <w:rFonts w:ascii="Cambria Math" w:hAnsi="Cambria Math" w:cs="Calibri"/>
              </w:rPr>
              <m:t>K</m:t>
            </m:r>
          </m:sub>
          <m:sup>
            <m:r>
              <m:rPr>
                <m:sty m:val="p"/>
              </m:rPr>
              <w:rPr>
                <w:rFonts w:ascii="Cambria Math" w:hAnsi="Cambria Math" w:cs="Calibri"/>
              </w:rPr>
              <m:t>W</m:t>
            </m:r>
          </m:sup>
        </m:sSubSup>
      </m:oMath>
      <w:r w:rsidRPr="005866B9">
        <w:rPr>
          <w:rFonts w:eastAsiaTheme="minorEastAsia" w:cs="Calibri"/>
        </w:rPr>
        <w:t xml:space="preserve"> clo</w:t>
      </w:r>
      <w:r>
        <w:rPr>
          <w:rFonts w:eastAsiaTheme="minorEastAsia" w:cs="Calibri"/>
        </w:rPr>
        <w:t xml:space="preserve">ne due to library failure and two </w:t>
      </w:r>
      <m:oMath>
        <m:r>
          <m:rPr>
            <m:sty m:val="p"/>
          </m:rPr>
          <w:rPr>
            <w:rFonts w:ascii="Cambria Math" w:eastAsiaTheme="minorEastAsia" w:hAnsi="Cambria Math" w:cs="Calibri"/>
          </w:rPr>
          <m:t>Re</m:t>
        </m:r>
        <m:sSubSup>
          <m:sSubSupPr>
            <m:ctrlPr>
              <w:rPr>
                <w:rFonts w:ascii="Cambria Math" w:eastAsiaTheme="minorEastAsia" w:hAnsi="Cambria Math" w:cs="Calibri"/>
              </w:rPr>
            </m:ctrlPr>
          </m:sSubSupPr>
          <m:e>
            <m:r>
              <m:rPr>
                <m:sty m:val="p"/>
              </m:rPr>
              <w:rPr>
                <w:rFonts w:ascii="Cambria Math" w:eastAsiaTheme="minorEastAsia" w:hAnsi="Cambria Math" w:cs="Calibri"/>
              </w:rPr>
              <m:t>c</m:t>
            </m:r>
          </m:e>
          <m:sub>
            <m:r>
              <m:rPr>
                <m:sty m:val="p"/>
              </m:rPr>
              <w:rPr>
                <w:rFonts w:ascii="Cambria Math" w:eastAsiaTheme="minorEastAsia" w:hAnsi="Cambria Math" w:cs="Calibri"/>
              </w:rPr>
              <m:t>W</m:t>
            </m:r>
          </m:sub>
          <m:sup>
            <m:r>
              <m:rPr>
                <m:sty m:val="p"/>
              </m:rPr>
              <w:rPr>
                <w:rFonts w:ascii="Cambria Math" w:eastAsiaTheme="minorEastAsia" w:hAnsi="Cambria Math" w:cs="Calibri"/>
              </w:rPr>
              <m:t>B</m:t>
            </m:r>
          </m:sup>
        </m:sSubSup>
      </m:oMath>
      <w:r>
        <w:rPr>
          <w:rFonts w:eastAsiaTheme="minorEastAsia" w:cs="Calibri"/>
        </w:rPr>
        <w:t xml:space="preserve"> clones due to indexing errors.</w:t>
      </w:r>
    </w:p>
    <w:p w14:paraId="2FEE6FF0" w14:textId="77777777" w:rsidR="0064244E" w:rsidRPr="00E66D7A" w:rsidRDefault="0064244E" w:rsidP="0064244E">
      <w:pPr>
        <w:pStyle w:val="Heading3"/>
        <w:rPr>
          <w:rFonts w:asciiTheme="minorHAnsi" w:hAnsiTheme="minorHAnsi" w:cstheme="minorHAnsi"/>
          <w:sz w:val="32"/>
          <w:szCs w:val="32"/>
        </w:rPr>
      </w:pPr>
      <w:r w:rsidRPr="00E66D7A">
        <w:rPr>
          <w:rStyle w:val="subsubsectuibChar"/>
          <w:rFonts w:asciiTheme="minorHAnsi" w:hAnsiTheme="minorHAnsi" w:cstheme="minorHAnsi"/>
          <w:b/>
          <w:i w:val="0"/>
          <w:iCs w:val="0"/>
          <w:sz w:val="32"/>
          <w:szCs w:val="32"/>
        </w:rPr>
        <w:t>Whole genome sequence data alignment and mutation discovery</w:t>
      </w:r>
      <w:r w:rsidRPr="00E66D7A">
        <w:rPr>
          <w:rFonts w:asciiTheme="minorHAnsi" w:hAnsiTheme="minorHAnsi" w:cstheme="minorHAnsi"/>
          <w:sz w:val="32"/>
          <w:szCs w:val="32"/>
        </w:rPr>
        <w:t xml:space="preserve"> </w:t>
      </w:r>
    </w:p>
    <w:p w14:paraId="69491A5C" w14:textId="7D93CD3B" w:rsidR="0064244E" w:rsidRDefault="0064244E" w:rsidP="0064244E">
      <w:pPr>
        <w:pStyle w:val="body"/>
        <w:rPr>
          <w:rFonts w:eastAsia="Times New Roman" w:cs="Calibri"/>
        </w:rPr>
      </w:pPr>
      <w:r>
        <w:rPr>
          <w:rFonts w:cs="Calibri"/>
        </w:rPr>
        <w:t xml:space="preserve">We used Trimmomatic 0.27 </w:t>
      </w:r>
      <w:r>
        <w:rPr>
          <w:rFonts w:cs="Calibri"/>
        </w:rPr>
        <w:fldChar w:fldCharType="begin" w:fldLock="1"/>
      </w:r>
      <w:r w:rsidR="00595277">
        <w:rPr>
          <w:rFonts w:cs="Calibri"/>
        </w:rPr>
        <w:instrText>ADDIN CSL_CITATION { "citationItems" : [ { "id" : "ITEM-1", "itemData" : { "author" : [ { "dropping-particle" : "", "family" : "Bolger", "given" : "A M", "non-dropping-particle" : "", "parse-names" : false, "suffix" : "" }, { "dropping-particle" : "", "family" : "Lohse", "given" : "M", "non-dropping-particle" : "", "parse-names" : false, "suffix" : "" }, { "dropping-particle" : "", "family" : "Usadel", "given" : "B", "non-dropping-particle" : "", "parse-names" : false, "suffix" : "" } ], "container-title" : "Bioinformatics", "id" : "ITEM-1", "issued" : { "date-parts" : [ [ "2014" ] ] }, "page" : "btu170", "publisher" : "Oxford Univ Press", "title" : "Trimmomatic: a flexible trimmer for {I}llumina sequence data", "type" : "article-journal" }, "uris" : [ "http://www.mendeley.com/documents/?uuid=327842be-762b-4fb2-a1c8-a75c1680af32" ] } ], "mendeley" : { "formattedCitation" : "[16]", "plainTextFormattedCitation" : "[16]", "previouslyFormattedCitation" : "[16]" }, "properties" : { "noteIndex" : 0 }, "schema" : "https://github.com/citation-style-language/schema/raw/master/csl-citation.json" }</w:instrText>
      </w:r>
      <w:r>
        <w:rPr>
          <w:rFonts w:cs="Calibri"/>
        </w:rPr>
        <w:fldChar w:fldCharType="separate"/>
      </w:r>
      <w:r w:rsidR="009C0452" w:rsidRPr="009C0452">
        <w:rPr>
          <w:rFonts w:cs="Calibri"/>
          <w:noProof/>
        </w:rPr>
        <w:t>[16]</w:t>
      </w:r>
      <w:r>
        <w:rPr>
          <w:rFonts w:cs="Calibri"/>
        </w:rPr>
        <w:fldChar w:fldCharType="end"/>
      </w:r>
      <w:r>
        <w:rPr>
          <w:rFonts w:cs="Calibri"/>
        </w:rPr>
        <w:t xml:space="preserve"> to remove specific Illumina sequencing adaptors, low quality read ends (base quality lower than 10) and trimmed sequence reads shorter than 40 bp. We aligned the reads against the appropriate reference genome using Bowtie2 </w:t>
      </w:r>
      <w:r>
        <w:rPr>
          <w:rFonts w:cs="Calibri"/>
        </w:rPr>
        <w:fldChar w:fldCharType="begin" w:fldLock="1"/>
      </w:r>
      <w:r w:rsidR="00595277">
        <w:rPr>
          <w:rFonts w:cs="Calibri"/>
        </w:rPr>
        <w:instrText>ADDIN CSL_CITATION { "citationItems" : [ { "id" : "ITEM-1", "itemData" : { "author" : [ { "dropping-particle" : "", "family" : "Langmead", "given" : "B", "non-dropping-particle" : "", "parse-names" : false, "suffix" : "" }, { "dropping-particle" : "", "family" : "Salzberg", "given" : "S L", "non-dropping-particle" : "", "parse-names" : false, "suffix" : "" } ], "container-title" : "Nat Methods", "id" : "ITEM-1", "issued" : { "date-parts" : [ [ "2012" ] ] }, "page" : "357-359", "publisher" : "Nature Publishing Group", "title" : "Fast gapped-read alignment with {B}owtie 2", "type" : "article-journal", "volume" : "9" }, "uris" : [ "http://www.mendeley.com/documents/?uuid=712fe46d-1e43-4295-9602-6164f5a23ee2" ] } ], "mendeley" : { "formattedCitation" : "[17]", "plainTextFormattedCitation" : "[17]", "previouslyFormattedCitation" : "[17]" }, "properties" : { "noteIndex" : 0 }, "schema" : "https://github.com/citation-style-language/schema/raw/master/csl-citation.json" }</w:instrText>
      </w:r>
      <w:r>
        <w:rPr>
          <w:rFonts w:cs="Calibri"/>
        </w:rPr>
        <w:fldChar w:fldCharType="separate"/>
      </w:r>
      <w:r w:rsidR="009C0452" w:rsidRPr="009C0452">
        <w:rPr>
          <w:rFonts w:cs="Calibri"/>
          <w:noProof/>
        </w:rPr>
        <w:t>[17]</w:t>
      </w:r>
      <w:r>
        <w:rPr>
          <w:rFonts w:cs="Calibri"/>
        </w:rPr>
        <w:fldChar w:fldCharType="end"/>
      </w:r>
      <w:r>
        <w:rPr>
          <w:rFonts w:cs="Calibri"/>
        </w:rPr>
        <w:t xml:space="preserve"> in local alignment mode, which specifically performs alignment using part(s) of a read most highly similar to the reference genome and detects small-scale local mismatches</w:t>
      </w:r>
      <w:r>
        <w:rPr>
          <w:rFonts w:eastAsia="Times New Roman" w:cs="Calibri"/>
        </w:rPr>
        <w:t xml:space="preserve">. We used combinations of </w:t>
      </w:r>
      <w:r>
        <w:rPr>
          <w:rFonts w:cs="Calibri"/>
          <w:i/>
          <w:iCs/>
        </w:rPr>
        <w:t xml:space="preserve">E. coli </w:t>
      </w:r>
      <w:r>
        <w:rPr>
          <w:rFonts w:cs="Calibri"/>
        </w:rPr>
        <w:t xml:space="preserve">K12 reference genome NC_000913.3 </w:t>
      </w:r>
      <w:r>
        <w:rPr>
          <w:rFonts w:cs="Calibri"/>
        </w:rPr>
        <w:fldChar w:fldCharType="begin" w:fldLock="1"/>
      </w:r>
      <w:r w:rsidR="00595277">
        <w:rPr>
          <w:rFonts w:cs="Calibri"/>
        </w:rPr>
        <w:instrText>ADDIN CSL_CITATION { "citationItems" : [ { "id" : "ITEM-1", "itemData" : { "DOI" : "10.1093/nar/gkj405", "ISBN" : "1362-4962 (Electronic)", "ISSN" : "03051048", "PMID" : "16397293", "abstract" : "The goal of this group project has been to coordinate and bring up-to-date information on all genes of Escherichia coli K-12. Annotation of the genome of an organism entails identification of genes, the boundaries of genes in terms of precise start and end sites, and description of the gene products. Known and predicted functions were assigned to each gene product on the basis of experimental evidence or sequence analysis. Since both kinds of evidence are constantly expanding, no annotation is complete at any moment in time. This is a snapshot analysis based on the most recent genome sequences of two E.coli K-12 bacteria. An accurate and up-to-date description of E.coli K-12 genes is of particular importance to the scientific community because experimentally determined properties of its gene products provide fundamental information for annotation of innumerable genes of other organisms. Availability of the complete genome sequence of two K-12 strains allows comparison of their genotypes and mutant status of alleles.", "author" : [ { "dropping-particle" : "", "family" : "Riley", "given" : "Monica", "non-dropping-particle" : "", "parse-names" : false, "suffix" : "" }, { "dropping-particle" : "", "family" : "Abe", "given" : "Takashi", "non-dropping-particle" : "", "parse-names" : false, "suffix" : "" }, { "dropping-particle" : "", "family" : "Arnaud", "given" : "Martha B.", "non-dropping-particle" : "", "parse-names" : false, "suffix" : "" }, { "dropping-particle" : "", "family" : "Berlyn", "given" : "Mary K B", "non-dropping-particle" : "", "parse-names" : false, "suffix" : "" }, { "dropping-particle" : "", "family" : "Blattner", "given" : "Frederick R.", "non-dropping-particle" : "", "parse-names" : false, "suffix" : "" }, { "dropping-particle" : "", "family" : "Chaudhuri", "given" : "Roy R.", "non-dropping-particle" : "", "parse-names" : false, "suffix" : "" }, { "dropping-particle" : "", "family" : "Glasner", "given" : "Jeremy D.", "non-dropping-particle" : "", "parse-names" : false, "suffix" : "" }, { "dropping-particle" : "", "family" : "Horiuchi", "given" : "Takashi", "non-dropping-particle" : "", "parse-names" : false, "suffix" : "" }, { "dropping-particle" : "", "family" : "Keseler", "given" : "Ingrid M.", "non-dropping-particle" : "", "parse-names" : false, "suffix" : "" }, { "dropping-particle" : "", "family" : "Kosuge", "given" : "Takehide", "non-dropping-particle" : "", "parse-names" : false, "suffix" : "" }, { "dropping-particle" : "", "family" : "Mori", "given" : "Hirotada", "non-dropping-particle" : "", "parse-names" : false, "suffix" : "" }, { "dropping-particle" : "", "family" : "Perna", "given" : "Nicole T.", "non-dropping-particle" : "", "parse-names" : false, "suffix" : "" }, { "dropping-particle" : "", "family" : "Plunkett", "given" : "Guy", "non-dropping-particle" : "", "parse-names" : false, "suffix" : "" }, { "dropping-particle" : "", "family" : "Rudd", "given" : "Kenneth E.", "non-dropping-particle" : "", "parse-names" : false, "suffix" : "" }, { "dropping-particle" : "", "family" : "Serres", "given" : "Margrethe H.", "non-dropping-particle" : "", "parse-names" : false, "suffix" : "" }, { "dropping-particle" : "", "family" : "Thomas", "given" : "Gavin H.", "non-dropping-particle" : "", "parse-names" : false, "suffix" : "" }, { "dropping-particle" : "", "family" : "Thomson", "given" : "Nicholas R.", "non-dropping-particle" : "", "parse-names" : false, "suffix" : "" }, { "dropping-particle" : "", "family" : "Wishart", "given" : "David", "non-dropping-particle" : "", "parse-names" : false, "suffix" : "" }, { "dropping-particle" : "", "family" : "Wanner", "given" : "Barry L.", "non-dropping-particle" : "", "parse-names" : false, "suffix" : "" } ], "container-title" : "Nucleic Acids Research", "id" : "ITEM-1", "issue" : "1", "issued" : { "date-parts" : [ [ "2006" ] ] }, "page" : "1-9", "title" : "Escherichia coli K-12: A cooperatively developed annotation snapshot - 2005", "type" : "article-journal", "volume" : "34" }, "uris" : [ "http://www.mendeley.com/documents/?uuid=9dde821b-bd3a-4e2b-a421-e3abe1a69ddd" ] } ], "mendeley" : { "formattedCitation" : "[18]", "plainTextFormattedCitation" : "[18]", "previouslyFormattedCitation" : "[18]" }, "properties" : { "noteIndex" : 0 }, "schema" : "https://github.com/citation-style-language/schema/raw/master/csl-citation.json" }</w:instrText>
      </w:r>
      <w:r>
        <w:rPr>
          <w:rFonts w:cs="Calibri"/>
        </w:rPr>
        <w:fldChar w:fldCharType="separate"/>
      </w:r>
      <w:r w:rsidR="009C0452" w:rsidRPr="009C0452">
        <w:rPr>
          <w:rFonts w:cs="Calibri"/>
          <w:noProof/>
        </w:rPr>
        <w:t>[18]</w:t>
      </w:r>
      <w:r>
        <w:rPr>
          <w:rFonts w:cs="Calibri"/>
        </w:rPr>
        <w:fldChar w:fldCharType="end"/>
      </w:r>
      <w:r>
        <w:rPr>
          <w:rFonts w:cs="Calibri"/>
        </w:rPr>
        <w:t xml:space="preserve">, </w:t>
      </w:r>
      <w:r>
        <w:rPr>
          <w:rFonts w:cs="Calibri"/>
          <w:i/>
        </w:rPr>
        <w:t>E.coli</w:t>
      </w:r>
      <w:r>
        <w:rPr>
          <w:rFonts w:cs="Calibri"/>
        </w:rPr>
        <w:t xml:space="preserve"> B reference genome NC_012967.1 and </w:t>
      </w:r>
      <w:r>
        <w:rPr>
          <w:rFonts w:cs="Calibri"/>
          <w:i/>
          <w:iCs/>
        </w:rPr>
        <w:t xml:space="preserve">E. coli </w:t>
      </w:r>
      <w:r>
        <w:rPr>
          <w:rFonts w:cs="Calibri"/>
        </w:rPr>
        <w:t xml:space="preserve">W reference genome NC_017635.1 </w:t>
      </w:r>
      <w:r>
        <w:rPr>
          <w:rFonts w:cs="Calibri"/>
        </w:rPr>
        <w:fldChar w:fldCharType="begin" w:fldLock="1"/>
      </w:r>
      <w:r w:rsidR="00595277">
        <w:rPr>
          <w:rFonts w:cs="Calibri"/>
        </w:rPr>
        <w:instrText>ADDIN CSL_CITATION { "citationItems" : [ { "id" : "ITEM-1", "itemData" : { "author" : [ { "dropping-particle" : "", "family" : "Archer", "given" : "Colin T", "non-dropping-particle" : "", "parse-names" : false, "suffix" : "" }, { "dropping-particle" : "", "family" : "Kim", "given" : "Jihyun F", "non-dropping-particle" : "", "parse-names" : false, "suffix" : "" }, { "dropping-particle" : "", "family" : "Jeong", "given" : "Haeyoung", "non-dropping-particle" : "", "parse-names" : false, "suffix" : "" }, { "dropping-particle" : "", "family" : "Park", "given" : "Jin Hwan", "non-dropping-particle" : "", "parse-names" : false, "suffix" : "" }, { "dropping-particle" : "", "family" : "Vickers", "given" : "Claudia E", "non-dropping-particle" : "", "parse-names" : false, "suffix" : "" }, { "dropping-particle" : "", "family" : "Lee", "given" : "Sang Yup", "non-dropping-particle" : "", "parse-names" : false, "suffix" : "" }, { "dropping-particle" : "", "family" : "Nielsen", "given" : "Lars K", "non-dropping-particle" : "", "parse-names" : false, "suffix" : "" } ], "container-title" : "BMC genomics", "id" : "ITEM-1", "issue" : "1", "issued" : { "date-parts" : [ [ "2011" ] ] }, "page" : "1", "publisher" : "BioMed Central", "title" : "The genome sequence of E. coli W (ATCC 9637): comparative genome analysis and an improved genome-scale reconstruction of E. coli", "type" : "article-journal", "volume" : "12" }, "uris" : [ "http://www.mendeley.com/documents/?uuid=ed7512e8-765f-4846-a3ec-25fbae9bba34" ] } ], "mendeley" : { "formattedCitation" : "[19]", "plainTextFormattedCitation" : "[19]", "previouslyFormattedCitation" : "[19]" }, "properties" : { "noteIndex" : 0 }, "schema" : "https://github.com/citation-style-language/schema/raw/master/csl-citation.json" }</w:instrText>
      </w:r>
      <w:r>
        <w:rPr>
          <w:rFonts w:cs="Calibri"/>
        </w:rPr>
        <w:fldChar w:fldCharType="separate"/>
      </w:r>
      <w:r w:rsidR="009C0452" w:rsidRPr="009C0452">
        <w:rPr>
          <w:rFonts w:cs="Calibri"/>
          <w:noProof/>
        </w:rPr>
        <w:t>[19]</w:t>
      </w:r>
      <w:r>
        <w:rPr>
          <w:rFonts w:cs="Calibri"/>
        </w:rPr>
        <w:fldChar w:fldCharType="end"/>
      </w:r>
      <w:r>
        <w:rPr>
          <w:rFonts w:cs="Calibri"/>
        </w:rPr>
        <w:t xml:space="preserve"> in the alignments for each group of evolved populations (see Table S16).</w:t>
      </w:r>
    </w:p>
    <w:p w14:paraId="348539E7" w14:textId="0D7B414F" w:rsidR="0064244E" w:rsidRPr="00E66D7A" w:rsidRDefault="0064244E" w:rsidP="00EC0907">
      <w:pPr>
        <w:pStyle w:val="body"/>
        <w:rPr>
          <w:rFonts w:cs="Calibri"/>
        </w:rPr>
      </w:pPr>
      <w:r>
        <w:rPr>
          <w:rFonts w:cs="Calibri"/>
        </w:rPr>
        <w:t xml:space="preserve">We refined all alignments around indels using  Picard tools (http://picard.sourceforge.net.), GATK v3.14 RealignerTargetCreator and IndelRealigner </w:t>
      </w:r>
      <w:r>
        <w:rPr>
          <w:rFonts w:cs="Calibri"/>
        </w:rPr>
        <w:fldChar w:fldCharType="begin" w:fldLock="1"/>
      </w:r>
      <w:r w:rsidR="00595277">
        <w:rPr>
          <w:rFonts w:cs="Calibri"/>
        </w:rPr>
        <w:instrText>ADDIN CSL_CITATION { "citationItems" : [ { "id" : "ITEM-1", "itemData" : { "author" : [ { "dropping-particle" : "", "family" : "McKenna", "given" : "A", "non-dropping-particle" : "", "parse-names" : false, "suffix" : "" }, { "dropping-particle" : "", "family" : "Hanna", "given" : "M", "non-dropping-particle" : "", "parse-names" : false, "suffix" : "" }, { "dropping-particle" : "", "family" : "Banks", "given" : "E", "non-dropping-particle" : "", "parse-names" : false, "suffix" : "" }, { "dropping-particle" : "", "family" : "Sivachenko", "given" : "A", "non-dropping-particle" : "", "parse-names" : false, "suffix" : "" }, { "dropping-particle" : "", "family" : "Cibulskis", "given" : "K", "non-dropping-particle" : "", "parse-names" : false, "suffix" : "" }, { "dropping-particle" : "", "family" : "Kernytsky", "given" : "A", "non-dropping-particle" : "", "parse-names" : false, "suffix" : "" }, { "dropping-particle" : "", "family" : "Garimella", "given" : "K", "non-dropping-particle" : "", "parse-names" : false, "suffix" : "" }, { "dropping-particle" : "", "family" : "Altshuler", "given" : "D", "non-dropping-particle" : "", "parse-names" : false, "suffix" : "" }, { "dropping-particle" : "", "family" : "Gabriel", "given" : "S", "non-dropping-particle" : "", "parse-names" : false, "suffix" : "" }, { "dropping-particle" : "", "family" : "Daly", "given" : "M", "non-dropping-particle" : "", "parse-names" : false, "suffix" : "" }, { "dropping-particle" : "", "family" : "DePristo", "given" : "M A", "non-dropping-particle" : "", "parse-names" : false, "suffix" : "" } ], "container-title" : "Genome Res", "id" : "ITEM-1", "issued" : { "date-parts" : [ [ "2010" ] ] }, "page" : "1297-1303", "publisher" : "Cold Spring Harbor Lab", "title" : "The Genome Analysis Toolkit: a MapReduce framework for analyzing next-generation DNA sequencing data", "type" : "article-journal", "volume" : "20" }, "uris" : [ "http://www.mendeley.com/documents/?uuid=b712517c-bcc8-4aff-95bb-e05b7616eb7d" ] } ], "mendeley" : { "formattedCitation" : "[20]", "plainTextFormattedCitation" : "[20]", "previouslyFormattedCitation" : "[20]" }, "properties" : { "noteIndex" : 0 }, "schema" : "https://github.com/citation-style-language/schema/raw/master/csl-citation.json" }</w:instrText>
      </w:r>
      <w:r>
        <w:rPr>
          <w:rFonts w:cs="Calibri"/>
        </w:rPr>
        <w:fldChar w:fldCharType="separate"/>
      </w:r>
      <w:r w:rsidR="009C0452" w:rsidRPr="009C0452">
        <w:rPr>
          <w:rFonts w:cs="Calibri"/>
          <w:noProof/>
        </w:rPr>
        <w:t>[20]</w:t>
      </w:r>
      <w:r>
        <w:rPr>
          <w:rFonts w:cs="Calibri"/>
        </w:rPr>
        <w:fldChar w:fldCharType="end"/>
      </w:r>
      <w:r>
        <w:rPr>
          <w:rFonts w:cs="Calibri"/>
        </w:rPr>
        <w:t xml:space="preserve">. After alignment, we called all genotypes at sites with point mutations and small insertion/deletions (indels &lt; 5bp) using GATK v3.14 HaplotypeCaller in haploid mode </w:t>
      </w:r>
      <w:r>
        <w:rPr>
          <w:rFonts w:cs="Calibri"/>
        </w:rPr>
        <w:fldChar w:fldCharType="begin" w:fldLock="1"/>
      </w:r>
      <w:r w:rsidR="00595277">
        <w:rPr>
          <w:rFonts w:cs="Calibri"/>
        </w:rPr>
        <w:instrText>ADDIN CSL_CITATION { "citationItems" : [ { "id" : "ITEM-1", "itemData" : { "author" : [ { "dropping-particle" : "", "family" : "Auwera", "given" : "Geraldine A", "non-dropping-particle" : "", "parse-names" : false, "suffix" : "" }, { "dropping-particle" : "", "family" : "Carneiro", "given" : "Mauricio O", "non-dropping-particle" : "", "parse-names" : false, "suffix" : "" }, { "dropping-particle" : "", "family" : "Hartl", "given" : "Christopher", "non-dropping-particle" : "", "parse-names" : false, "suffix" : "" }, { "dropping-particle" : "", "family" : "Poplin", "given" : "Ryan", "non-dropping-particle" : "", "parse-names" : false, "suffix" : "" }, { "dropping-particle" : "", "family" : "Angel", "given" : "Guillermo", "non-dropping-particle" : "del", "parse-names" : false, "suffix" : "" }, { "dropping-particle" : "", "family" : "Levy-Moonshine", "given" : "Ami", "non-dropping-particle" : "", "parse-names" : false, "suffix" : "" }, { "dropping-particle" : "", "family" : "Jordan", "given" : "Tadeusz", "non-dropping-particle" : "", "parse-names" : false, "suffix" : "" }, { "dropping-particle" : "", "family" : "Shakir", "given" : "Khalid", "non-dropping-particle" : "", "parse-names" : false, "suffix" : "" }, { "dropping-particle" : "", "family" : "Roazen", "given" : "David", "non-dropping-particle" : "", "parse-names" : false, "suffix" : "" }, { "dropping-particle" : "", "family" : "Thibault", "given" : "Joel", "non-dropping-particle" : "", "parse-names" : false, "suffix" : "" }, { "dropping-particle" : "", "family" : "others", "given" : "", "non-dropping-particle" : "", "parse-names" : false, "suffix" : "" } ], "container-title" : "Current protocols in bioinformatics", "id" : "ITEM-1", "issued" : { "date-parts" : [ [ "2013" ] ] }, "page" : "10-11", "publisher" : "Wiley Online Library", "title" : "From FastQ data to high-confidence variant calls: the genome analysis toolkit best practices pipeline", "type" : "article-journal" }, "uris" : [ "http://www.mendeley.com/documents/?uuid=7ca7e11a-3189-41b0-a355-5d7fca332059" ] } ], "mendeley" : { "formattedCitation" : "[21]", "plainTextFormattedCitation" : "[21]", "previouslyFormattedCitation" : "[21]" }, "properties" : { "noteIndex" : 0 }, "schema" : "https://github.com/citation-style-language/schema/raw/master/csl-citation.json" }</w:instrText>
      </w:r>
      <w:r>
        <w:rPr>
          <w:rFonts w:cs="Calibri"/>
        </w:rPr>
        <w:fldChar w:fldCharType="separate"/>
      </w:r>
      <w:r w:rsidR="009C0452" w:rsidRPr="009C0452">
        <w:rPr>
          <w:rFonts w:cs="Calibri"/>
          <w:noProof/>
        </w:rPr>
        <w:t>[21]</w:t>
      </w:r>
      <w:r>
        <w:rPr>
          <w:rFonts w:cs="Calibri"/>
        </w:rPr>
        <w:fldChar w:fldCharType="end"/>
      </w:r>
      <w:r>
        <w:rPr>
          <w:rFonts w:cs="Calibri"/>
        </w:rPr>
        <w:t xml:space="preserve">. We called genotypes separately for each group of clones that had been exposed to different donors. We used SnpEff </w:t>
      </w:r>
      <w:r>
        <w:rPr>
          <w:rFonts w:cs="Calibri"/>
        </w:rPr>
        <w:fldChar w:fldCharType="begin" w:fldLock="1"/>
      </w:r>
      <w:r w:rsidR="00595277">
        <w:rPr>
          <w:rFonts w:cs="Calibri"/>
        </w:rPr>
        <w:instrText>ADDIN CSL_CITATION { "citationItems" : [ { "id" : "ITEM-1", "itemData" : { "DOI" : "10.4161/fly.19695", "ISBN" : "1549-5469 (Electronic) 1088-9051 (Linking)", "ISSN" : "1933-6934", "PMID" : "21324876", "abstract" : "Copy number variation (CNV) in the genome is a complex phenomenon, and not completely understood. We have developed a method, CNVnator, for CNV discovery and genotyping from read-depth (RD) analysis of personal genome sequencing. Our method is based on combining the established mean-shift approach with additional refinements (multiple-bandwidth partitioning and GC correction) to broaden the range of discovered CNVs. We calibrated CNVnator using the extensive validation performed by the 1000 Genomes Project. Because of this, we could use CNVnator for CNV discovery and genotyping in a population and characterization of atypical CNVs, such as de novo and multi-allelic events. Overall, for CNVs accessible by RD, CNVnator has high sensitivity (86%-96%), low false-discovery rate (3%-20%), high genotyping accuracy (93%-95%), and high resolution in breakpoint discovery (&lt;200 bp in 90% of cases with high sequencing coverage). Furthermore, CNVnator is complementary in a straightforward way to split-read and read-pair approaches: It misses CNVs created by retrotransposable elements, but more than half of the validated CNVs that it identifies are not detected by split-read or read-pair. By genotyping CNVs in the CEPH, Yoruba, and Chinese-Japanese populations, we estimated that at least 11% of all CNV loci involve complex, multi-allelic events, a considerably higher estimate than reported earlier. Moreover, among these events, we observed cases with allele distribution strongly deviating from Hardy-Weinberg equilibrium, possibly implying selection on certain complex loci. Finally, by combining discovery and genotyping, we identified six potential de novo CNVs in two family trios.", "author" : [ { "dropping-particle" : "", "family" : "Cingolani", "given" : "Pablo", "non-dropping-particle" : "", "parse-names" : false, "suffix" : "" }, { "dropping-particle" : "", "family" : "Platts", "given" : "Adrian", "non-dropping-particle" : "", "parse-names" : false, "suffix" : "" }, { "dropping-particle" : "", "family" : "Wang", "given" : "Le Lily", "non-dropping-particle" : "", "parse-names" : false, "suffix" : "" }, { "dropping-particle" : "", "family" : "Coon", "given" : "Melissa", "non-dropping-particle" : "", "parse-names" : false, "suffix" : "" }, { "dropping-particle" : "", "family" : "Nguyen", "given" : "Tung", "non-dropping-particle" : "", "parse-names" : false, "suffix" : "" }, { "dropping-particle" : "", "family" : "Wang", "given" : "Luan", "non-dropping-particle" : "", "parse-names" : false, "suffix" : "" }, { "dropping-particle" : "", "family" : "Land", "given" : "Susan J.", "non-dropping-particle" : "", "parse-names" : false, "suffix" : "" }, { "dropping-particle" : "", "family" : "Lu", "given" : "Xiangyi", "non-dropping-particle" : "", "parse-names" : false, "suffix" : "" }, { "dropping-particle" : "", "family" : "Ruden", "given" : "Douglas M.", "non-dropping-particle" : "", "parse-names" : false, "suffix" : "" } ], "container-title" : "Fly", "id" : "ITEM-1", "issue" : "2", "issued" : { "date-parts" : [ [ "2012" ] ] }, "page" : "80-92", "publisher" : "Taylor &amp; Francis", "title" : "A program for annotating and predicting the effects of single nucleotide polymorphisms, SnpEff", "type" : "article-journal", "volume" : "6" }, "uris" : [ "http://www.mendeley.com/documents/?uuid=bced280e-3d84-4136-aa16-23201f88b233" ] } ], "mendeley" : { "formattedCitation" : "[22]", "plainTextFormattedCitation" : "[22]", "previouslyFormattedCitation" : "[22]" }, "properties" : { "noteIndex" : 0 }, "schema" : "https://github.com/citation-style-language/schema/raw/master/csl-citation.json" }</w:instrText>
      </w:r>
      <w:r>
        <w:rPr>
          <w:rFonts w:cs="Calibri"/>
        </w:rPr>
        <w:fldChar w:fldCharType="separate"/>
      </w:r>
      <w:r w:rsidR="009C0452" w:rsidRPr="009C0452">
        <w:rPr>
          <w:rFonts w:cs="Calibri"/>
          <w:noProof/>
        </w:rPr>
        <w:t>[22]</w:t>
      </w:r>
      <w:r>
        <w:rPr>
          <w:rFonts w:cs="Calibri"/>
        </w:rPr>
        <w:fldChar w:fldCharType="end"/>
      </w:r>
      <w:r>
        <w:rPr>
          <w:rFonts w:cs="Calibri"/>
        </w:rPr>
        <w:t xml:space="preserve"> to estimate the likely phenotypic effect of the discovered mutations. We eliminated all SNPs identified in genomic regions prone to alignment errors due to repeats and duplicated genes prior to further analyses.</w:t>
      </w:r>
    </w:p>
    <w:p w14:paraId="2381FA04" w14:textId="77777777" w:rsidR="00075367" w:rsidRPr="00E66D7A" w:rsidRDefault="00075367" w:rsidP="00E66D7A">
      <w:pPr>
        <w:pStyle w:val="subsubsection"/>
        <w:rPr>
          <w:rFonts w:cstheme="minorHAnsi"/>
          <w:b w:val="0"/>
          <w:sz w:val="32"/>
        </w:rPr>
      </w:pPr>
      <w:r w:rsidRPr="00E66D7A">
        <w:rPr>
          <w:rFonts w:asciiTheme="minorHAnsi" w:hAnsiTheme="minorHAnsi" w:cstheme="minorHAnsi"/>
          <w:i w:val="0"/>
          <w:sz w:val="32"/>
        </w:rPr>
        <w:lastRenderedPageBreak/>
        <w:t xml:space="preserve">Filtering of genomic regions prone to alignment errors </w:t>
      </w:r>
    </w:p>
    <w:p w14:paraId="4C613136" w14:textId="77777777" w:rsidR="00EC0907" w:rsidRPr="00EC0907" w:rsidRDefault="00EC0907" w:rsidP="00EC0907">
      <w:pPr>
        <w:pStyle w:val="body"/>
        <w:rPr>
          <w:rFonts w:cs="Calibri"/>
        </w:rPr>
      </w:pPr>
      <w:r w:rsidRPr="00EC0907">
        <w:rPr>
          <w:rFonts w:cs="Calibri"/>
        </w:rPr>
        <w:t xml:space="preserve">We identified regions prone to alignment errors by Bowtie2 [80], and eliminated SNPs and indels located within these regions from further analyses. Specifically, we identified these regions by the enrichment of low mapping-quality alignments and partially alignable reads. We used both of these criteria because they reflect two different types of alignment artefacts: Genomic regions with repetitive elements or genes with multiple paralogues can lead to alignment artefacts with low mapping quality, whereas boundaries of structural variants and intergenic regions of duplicated genes can lead to partially alignable reads. Here are the specific filtering steps we took. </w:t>
      </w:r>
    </w:p>
    <w:p w14:paraId="47A9C294" w14:textId="77777777" w:rsidR="00EC0907" w:rsidRPr="00EC0907" w:rsidRDefault="00EC0907" w:rsidP="00EC0907">
      <w:pPr>
        <w:pStyle w:val="body"/>
        <w:rPr>
          <w:rFonts w:cs="Calibri"/>
        </w:rPr>
      </w:pPr>
      <w:r w:rsidRPr="00EC0907">
        <w:rPr>
          <w:rFonts w:cs="Calibri"/>
        </w:rPr>
        <w:t xml:space="preserve">First, we identified genes with poor mapping quality (mapping quality &lt; 5, mapping accuracy &lt; 70%) in the ancestral recipient genomes. For 95% of the genes of the ancestral K (W) recipient, at least 86.74% (75.87%) of reads aligned well to </w:t>
      </w:r>
      <w:r w:rsidRPr="0024591E">
        <w:rPr>
          <w:rFonts w:cs="Calibri"/>
          <w:i/>
        </w:rPr>
        <w:t>the E. coli</w:t>
      </w:r>
      <w:r w:rsidRPr="00EC0907">
        <w:rPr>
          <w:rFonts w:cs="Calibri"/>
        </w:rPr>
        <w:t xml:space="preserve"> K12 (W) reference genome (mapping quality ≥ 30). We also eliminated 119 </w:t>
      </w:r>
      <w:r w:rsidRPr="0024591E">
        <w:rPr>
          <w:rFonts w:cs="Calibri"/>
          <w:i/>
        </w:rPr>
        <w:t>E. coli</w:t>
      </w:r>
      <w:r w:rsidRPr="00EC0907">
        <w:rPr>
          <w:rFonts w:cs="Calibri"/>
        </w:rPr>
        <w:t xml:space="preserve"> K12 genes and 179 E. coli W genes from further analyses, because these genes were enriched in likely alignment artefacts (&gt; 60% of reads aligned to these genes had mapping quality ≤ 10, equivalent to lower than 90% accuracy). </w:t>
      </w:r>
    </w:p>
    <w:p w14:paraId="569A7910" w14:textId="597B260F" w:rsidR="00EC0907" w:rsidRPr="00EC0907" w:rsidRDefault="00EC0907" w:rsidP="00EC0907">
      <w:pPr>
        <w:pStyle w:val="body"/>
        <w:rPr>
          <w:rFonts w:cs="Calibri"/>
        </w:rPr>
      </w:pPr>
      <w:r w:rsidRPr="00EC0907">
        <w:rPr>
          <w:rFonts w:cs="Calibri"/>
        </w:rPr>
        <w:t xml:space="preserve">Next, we focused on reads that are only partially alignable to the reference genome (soft-clipped reads), and computed the genome-wide distribution of soft-clipped base pairs (bps) in reads aligned to the reference genome as follows. We identified reads containing soft-clipped base pairs, and recorded the positions of soft-clipped base pairs relative to the first or last mappable base pair (depending on whether the clipping </w:t>
      </w:r>
      <w:r w:rsidRPr="00EC0907">
        <w:rPr>
          <w:rFonts w:cs="Calibri"/>
        </w:rPr>
        <w:lastRenderedPageBreak/>
        <w:t>occurred at the start or end of the read). For example, if only the first 50 base pairs of a 150 bp long hypothetical read mapped to position 1000 – 1050 of the reference genome, we considered the rest of the read (100 base pairs) as soft-clipped, and assigned positions 1051 - 1150 as soft-clipped base pairs. We did this for all soft-clipped reads, and then computed the mean number of soft-clipped base pairs, normalized by the number of mappable base pairs, for each base pair location of the recipient genome. We then computed the average proportion of soft-clipped base pairs for each gene. This analysis showed that 95% of genes in the ancestral K recipient had fewer than 0.01</w:t>
      </w:r>
      <w:r w:rsidR="00F42800">
        <w:rPr>
          <w:rFonts w:cs="Calibri"/>
        </w:rPr>
        <w:t>3</w:t>
      </w:r>
      <w:r w:rsidRPr="00EC0907">
        <w:rPr>
          <w:rFonts w:cs="Calibri"/>
        </w:rPr>
        <w:t xml:space="preserve"> soft-clipped base pairs per mappable base pair</w:t>
      </w:r>
      <w:r w:rsidR="00F42800">
        <w:rPr>
          <w:rFonts w:cs="Calibri"/>
        </w:rPr>
        <w:t xml:space="preserve"> </w:t>
      </w:r>
      <w:r w:rsidR="00F42800" w:rsidRPr="00EC0907">
        <w:rPr>
          <w:rFonts w:cs="Calibri"/>
        </w:rPr>
        <w:t>(soft-clipped base pairs/averaged mappable base pair per gene=2.99/239.5)</w:t>
      </w:r>
      <w:r w:rsidR="0024591E">
        <w:rPr>
          <w:rFonts w:cs="Calibri"/>
        </w:rPr>
        <w:t>. Similarly, in the W recipient</w:t>
      </w:r>
      <w:r w:rsidRPr="00EC0907">
        <w:rPr>
          <w:rFonts w:cs="Calibri"/>
        </w:rPr>
        <w:t xml:space="preserve"> 95% of genes had fewer than 0.017 soft-clipped base pairs per mappable base pair</w:t>
      </w:r>
      <w:r w:rsidR="00F42800">
        <w:rPr>
          <w:rFonts w:cs="Calibri"/>
        </w:rPr>
        <w:t xml:space="preserve"> </w:t>
      </w:r>
      <w:r w:rsidR="00F42800" w:rsidRPr="00EC0907">
        <w:rPr>
          <w:rFonts w:cs="Calibri"/>
        </w:rPr>
        <w:t>(soft-clipped/gene coverage=3.01/182)</w:t>
      </w:r>
      <w:r w:rsidRPr="00EC0907">
        <w:rPr>
          <w:rFonts w:cs="Calibri"/>
        </w:rPr>
        <w:t xml:space="preserve">. We eliminated the 5% of genes (184 in the </w:t>
      </w:r>
      <w:r w:rsidRPr="0024591E">
        <w:rPr>
          <w:rFonts w:cs="Calibri"/>
          <w:i/>
        </w:rPr>
        <w:t>E. coli</w:t>
      </w:r>
      <w:r w:rsidRPr="00EC0907">
        <w:rPr>
          <w:rFonts w:cs="Calibri"/>
        </w:rPr>
        <w:t xml:space="preserve"> K12 and 247 in the </w:t>
      </w:r>
      <w:r w:rsidRPr="0024591E">
        <w:rPr>
          <w:rFonts w:cs="Calibri"/>
          <w:i/>
        </w:rPr>
        <w:t>E. coli</w:t>
      </w:r>
      <w:r w:rsidRPr="00EC0907">
        <w:rPr>
          <w:rFonts w:cs="Calibri"/>
        </w:rPr>
        <w:t xml:space="preserve"> W genome) with the highest number of soft-clipped base pairs per mappable base pair from further analyses.</w:t>
      </w:r>
    </w:p>
    <w:p w14:paraId="7F2337B8" w14:textId="77777777" w:rsidR="00EC0907" w:rsidRDefault="00EC0907" w:rsidP="00EC0907">
      <w:pPr>
        <w:pStyle w:val="body"/>
        <w:rPr>
          <w:rFonts w:cs="Calibri"/>
        </w:rPr>
      </w:pPr>
      <w:r w:rsidRPr="00EC0907">
        <w:rPr>
          <w:rFonts w:cs="Calibri"/>
        </w:rPr>
        <w:t xml:space="preserve">In sum, we eliminated 272 </w:t>
      </w:r>
      <w:r w:rsidRPr="0024591E">
        <w:rPr>
          <w:rFonts w:cs="Calibri"/>
          <w:i/>
        </w:rPr>
        <w:t>E. coli</w:t>
      </w:r>
      <w:r w:rsidRPr="00EC0907">
        <w:rPr>
          <w:rFonts w:cs="Calibri"/>
        </w:rPr>
        <w:t xml:space="preserve"> K12 genes (6.57% of all 4140 genes, 201 genes with functional annotations) and 392 (7.88% of 4971 genes, 273 with functional annotations) from further analyses. The majority of these genes encode hypothetical proteins, prophage proteins, ribosomal proteins and insertion sequences.</w:t>
      </w:r>
    </w:p>
    <w:p w14:paraId="051D970B" w14:textId="072F723C" w:rsidR="00630364" w:rsidRDefault="00630364" w:rsidP="00EC0907">
      <w:pPr>
        <w:pStyle w:val="body"/>
        <w:rPr>
          <w:rFonts w:cs="Calibri"/>
        </w:rPr>
      </w:pPr>
      <w:r w:rsidRPr="00630364">
        <w:rPr>
          <w:rFonts w:cs="Calibri"/>
        </w:rPr>
        <w:t xml:space="preserve">We used </w:t>
      </w:r>
      <w:r w:rsidR="008732E3">
        <w:rPr>
          <w:rFonts w:cs="Calibri"/>
        </w:rPr>
        <w:t xml:space="preserve">a </w:t>
      </w:r>
      <w:r w:rsidRPr="00630364">
        <w:rPr>
          <w:rFonts w:cs="Calibri"/>
        </w:rPr>
        <w:t>sequence coverage-based strategy to exclude</w:t>
      </w:r>
      <w:r w:rsidR="008732E3">
        <w:rPr>
          <w:rFonts w:cs="Calibri"/>
        </w:rPr>
        <w:t xml:space="preserve"> from further analysis</w:t>
      </w:r>
      <w:r w:rsidRPr="00630364">
        <w:rPr>
          <w:rFonts w:cs="Calibri"/>
        </w:rPr>
        <w:t xml:space="preserve"> (i) genes prone to alignment artefacts or (ii) subject to historical gene transfer events that occurred before our experiments with the K and W ancestral strains. To this end, we </w:t>
      </w:r>
      <w:r w:rsidRPr="00630364">
        <w:rPr>
          <w:rFonts w:cs="Calibri"/>
        </w:rPr>
        <w:lastRenderedPageBreak/>
        <w:t xml:space="preserve">aligned reads of our K and W recipient ancestors to the </w:t>
      </w:r>
      <w:r w:rsidRPr="0024591E">
        <w:rPr>
          <w:rFonts w:cs="Calibri"/>
          <w:i/>
        </w:rPr>
        <w:t>E. coli</w:t>
      </w:r>
      <w:r w:rsidRPr="00630364">
        <w:rPr>
          <w:rFonts w:cs="Calibri"/>
        </w:rPr>
        <w:t xml:space="preserve"> K12, B and W reference genome (Table S1), and assigned the likely genomic origin of each gene in the ancestral</w:t>
      </w:r>
      <w:r w:rsidR="0024591E">
        <w:rPr>
          <w:rFonts w:cs="Calibri"/>
        </w:rPr>
        <w:t xml:space="preserve"> </w:t>
      </w:r>
      <w:r w:rsidR="00250617">
        <w:rPr>
          <w:rFonts w:cs="Calibri"/>
        </w:rPr>
        <w:t xml:space="preserve">recipient strain </w:t>
      </w:r>
      <w:r w:rsidRPr="00630364">
        <w:rPr>
          <w:rFonts w:cs="Calibri"/>
        </w:rPr>
        <w:t>. Based on this analysis, we eliminated 27 and 78 genes in the ancestral K and W recipients, respectively, from further analysis, because they appeared to originate from strains other than the recipient. These genes were generally scattered across the genome, clustering physically only if they resided in the same operon.</w:t>
      </w:r>
    </w:p>
    <w:p w14:paraId="5B382496" w14:textId="79FFF8B4" w:rsidR="007D41E5" w:rsidRPr="004B1996" w:rsidRDefault="007D41E5" w:rsidP="007D41E5">
      <w:pPr>
        <w:pStyle w:val="body"/>
        <w:rPr>
          <w:rFonts w:cs="Calibri"/>
          <w:b/>
          <w:sz w:val="32"/>
          <w:szCs w:val="32"/>
        </w:rPr>
      </w:pPr>
      <w:r w:rsidRPr="004B1996">
        <w:rPr>
          <w:rFonts w:cs="Calibri"/>
          <w:b/>
          <w:sz w:val="32"/>
          <w:szCs w:val="32"/>
        </w:rPr>
        <w:t>One-to-one orthologue identification</w:t>
      </w:r>
    </w:p>
    <w:p w14:paraId="13E0730D" w14:textId="4BE8BAC6" w:rsidR="007D41E5" w:rsidRDefault="007D41E5" w:rsidP="007D41E5">
      <w:pPr>
        <w:pStyle w:val="body"/>
        <w:rPr>
          <w:rFonts w:cs="Calibri"/>
        </w:rPr>
      </w:pPr>
      <w:r>
        <w:rPr>
          <w:rFonts w:cs="Calibri"/>
        </w:rPr>
        <w:t xml:space="preserve">To identify one-to-one orthologues, we first created pairwise genome alignments between the reference genomes of </w:t>
      </w:r>
      <w:r>
        <w:rPr>
          <w:rFonts w:cs="Calibri"/>
          <w:i/>
        </w:rPr>
        <w:t xml:space="preserve">E. coli </w:t>
      </w:r>
      <w:r>
        <w:rPr>
          <w:rFonts w:cs="Calibri"/>
        </w:rPr>
        <w:t xml:space="preserve">K12, B, and W using progressiveMauve </w:t>
      </w:r>
      <w:r>
        <w:rPr>
          <w:rFonts w:cs="Calibri"/>
        </w:rPr>
        <w:fldChar w:fldCharType="begin" w:fldLock="1"/>
      </w:r>
      <w:r w:rsidR="00595277">
        <w:rPr>
          <w:rFonts w:cs="Calibri"/>
        </w:rPr>
        <w:instrText>ADDIN CSL_CITATION { "citationItems" : [ { "id" : "ITEM-1", "itemData" : { "abstract" : "Multiple genome alignment remains a challenging problem. Effects of recombination including rearrangement, segmental duplication, gain, and loss can create a mosaic pattern of homology even among closely related organisms. We describe a method to align two or more genomes that have undergone large-scale recombination, particularly genomes that have undergone substantial amounts of gene gain and loss (gene flux). The method utilizes a novel alignment objective score, referred to as a sum-of-pairs breakpoint score. We also apply a probabilistic alignment filtering method to remove erroneous alignments of unrelated sequences, which are commonly observed in other genome alignment methods. We describe new metrics for quantifying genome alignment accuracy which measure the quality of rearrangement breakpoint predictions and indel predictions. The progressive genome alignment algorithm demonstrates markedly improved accuracy over previous approaches in situations where genomes have undergone realistic amounts of genome rearrangement, gene gain, loss, and duplication. We apply the progressive genome alignment algorithm to a set of 23 completely sequenced genomes from the genera Escherichia, Shigella, and Salmonella. The 23 enterobacteria have an estimated 2.46Mbp of genomic content conserved among all taxa and total unique content of 15.2Mbp. We document substantial population-level variability among these organisms driven by homologous recombination, gene gain, and gene loss. Free, open-source software implementing the described genome alignment approach is available from http://gel.ahabs.wisc.edu/mauve .", "author" : [ { "dropping-particle" : "", "family" : "Darling", "given" : "Aaron E", "non-dropping-particle" : "", "parse-names" : false, "suffix" : "" }, { "dropping-particle" : "", "family" : "Mau", "given" : "Bob", "non-dropping-particle" : "", "parse-names" : false, "suffix" : "" }, { "dropping-particle" : "", "family" : "Perna", "given" : "Nicole T", "non-dropping-particle" : "", "parse-names" : false, "suffix" : "" } ], "container-title" : "Genome", "id" : "ITEM-1", "issued" : { "date-parts" : [ [ "2009" ] ] }, "title" : "Progressive Mauve: Multiple alignment of genomes with gene flux and rearrangement", "type" : "article-journal" }, "uris" : [ "http://www.mendeley.com/documents/?uuid=bc7e6a0e-d8fc-4d4b-b5b7-6b4807b5bd5d" ] } ], "mendeley" : { "formattedCitation" : "[23]", "plainTextFormattedCitation" : "[23]", "previouslyFormattedCitation" : "[23]" }, "properties" : { "noteIndex" : 0 }, "schema" : "https://github.com/citation-style-language/schema/raw/master/csl-citation.json" }</w:instrText>
      </w:r>
      <w:r>
        <w:rPr>
          <w:rFonts w:cs="Calibri"/>
        </w:rPr>
        <w:fldChar w:fldCharType="separate"/>
      </w:r>
      <w:r w:rsidR="009C0452" w:rsidRPr="009C0452">
        <w:rPr>
          <w:rFonts w:cs="Calibri"/>
          <w:noProof/>
        </w:rPr>
        <w:t>[23]</w:t>
      </w:r>
      <w:r>
        <w:rPr>
          <w:rFonts w:cs="Calibri"/>
        </w:rPr>
        <w:fldChar w:fldCharType="end"/>
      </w:r>
      <w:r>
        <w:rPr>
          <w:rFonts w:cs="Calibri"/>
        </w:rPr>
        <w:t xml:space="preserve"> with default parameters,</w:t>
      </w:r>
      <w:r w:rsidRPr="009666FD">
        <w:rPr>
          <w:rFonts w:cs="Calibri"/>
        </w:rPr>
        <w:t xml:space="preserve"> and </w:t>
      </w:r>
      <w:r>
        <w:rPr>
          <w:rFonts w:cs="Calibri"/>
        </w:rPr>
        <w:t xml:space="preserve">then identified gene orthologues according to NCBI RefSeq annotations </w:t>
      </w:r>
      <w:r>
        <w:rPr>
          <w:rFonts w:cs="Calibri"/>
        </w:rPr>
        <w:fldChar w:fldCharType="begin" w:fldLock="1"/>
      </w:r>
      <w:r w:rsidR="00595277">
        <w:rPr>
          <w:rFonts w:cs="Calibri"/>
        </w:rPr>
        <w:instrText>ADDIN CSL_CITATION { "citationItems" : [ { "id" : "ITEM-1", "itemData" : { "ISSN" : "0305-1048", "author" : [ { "dropping-particle" : "", "family" : "Tatusova", "given" : "Tatiana", "non-dropping-particle" : "", "parse-names" : false, "suffix" : "" }, { "dropping-particle" : "", "family" : "DiCuccio", "given" : "Michael", "non-dropping-particle" : "", "parse-names" : false, "suffix" : "" }, { "dropping-particle" : "", "family" : "Badretdin", "given" : "Azat", "non-dropping-particle" : "", "parse-names" : false, "suffix" : "" }, { "dropping-particle" : "", "family" : "Chetvernin", "given" : "Vyacheslav", "non-dropping-particle" : "", "parse-names" : false, "suffix" : "" }, { "dropping-particle" : "", "family" : "Nawrocki", "given" : "Eric P", "non-dropping-particle" : "", "parse-names" : false, "suffix" : "" }, { "dropping-particle" : "", "family" : "Zaslavsky", "given" : "Leonid", "non-dropping-particle" : "", "parse-names" : false, "suffix" : "" }, { "dropping-particle" : "", "family" : "Lomsadze", "given" : "Alexandre", "non-dropping-particle" : "", "parse-names" : false, "suffix" : "" }, { "dropping-particle" : "", "family" : "Pruitt", "given" : "Kim D", "non-dropping-particle" : "", "parse-names" : false, "suffix" : "" }, { "dropping-particle" : "", "family" : "Borodovsky", "given" : "Mark", "non-dropping-particle" : "", "parse-names" : false, "suffix" : "" }, { "dropping-particle" : "", "family" : "Ostell", "given" : "James", "non-dropping-particle" : "", "parse-names" : false, "suffix" : "" } ], "container-title" : "Nucleic Acids Research", "id" : "ITEM-1", "issued" : { "date-parts" : [ [ "2016" ] ] }, "page" : "gkw569", "publisher" : "Oxford Univ Press", "title" : "NCBI prokaryotic genome annotation pipeline", "type" : "article-journal" }, "uris" : [ "http://www.mendeley.com/documents/?uuid=578077db-bc65-4199-9c08-a4af692bd1b1" ] } ], "mendeley" : { "formattedCitation" : "[24]", "plainTextFormattedCitation" : "[24]", "previouslyFormattedCitation" : "[24]" }, "properties" : { "noteIndex" : 0 }, "schema" : "https://github.com/citation-style-language/schema/raw/master/csl-citation.json" }</w:instrText>
      </w:r>
      <w:r>
        <w:rPr>
          <w:rFonts w:cs="Calibri"/>
        </w:rPr>
        <w:fldChar w:fldCharType="separate"/>
      </w:r>
      <w:r w:rsidR="009C0452" w:rsidRPr="009C0452">
        <w:rPr>
          <w:rFonts w:cs="Calibri"/>
          <w:noProof/>
        </w:rPr>
        <w:t>[24]</w:t>
      </w:r>
      <w:r>
        <w:rPr>
          <w:rFonts w:cs="Calibri"/>
        </w:rPr>
        <w:fldChar w:fldCharType="end"/>
      </w:r>
      <w:r>
        <w:rPr>
          <w:rFonts w:cs="Calibri"/>
        </w:rPr>
        <w:t xml:space="preserve"> based on synteny (Table S2). We eliminated genes that had tandem duplicates in one of the genomes (three out of 5669 genes). In addition to using annotated RefSeq features, we identified short repetitive regions using Tandem repeat finder </w:t>
      </w:r>
      <w:r>
        <w:rPr>
          <w:rFonts w:cs="Calibri"/>
        </w:rPr>
        <w:fldChar w:fldCharType="begin" w:fldLock="1"/>
      </w:r>
      <w:r w:rsidR="00595277">
        <w:rPr>
          <w:rFonts w:cs="Calibri"/>
        </w:rPr>
        <w:instrText>ADDIN CSL_CITATION { "citationItems" : [ { "id" : "ITEM-1", "itemData" : { "ISSN" : "0305-1048", "abstract" : "A tandem repeat in DNA is two or more contiguous, approximate copies of a pattern of nucleotides. Tandem repeats have been shown to cause human disease, may play a variety of regulatory and evolutionary roles and are important laboratory and analytic tools. Extensive knowledge about pattern size, copy number, mutational history, etc. for tandem repeats has been limited by the inability to easily detect them in genomic sequence data. In this paper, we present a new algorithm for finding tandem repeats which works without the need to specify either the pattern or pattern size. We model tandem repeats by percent identity and frequency of indels between adjacent pattern copies and use statistically based recognition criteria. We demonstrate the algorithm's speed and its ability to detect tandem repeats that have undergone extensive mutational change by analyzing four sequences: the human frataxin gene, the human beta T cellreceptor locus sequence and two yeast chromosomes. These sequences range in size from 3 kb up to 700 kb. A World Wide Web server interface atc3.biomath.mssm.edu/trf.html has been established for automated use of the program. ", "author" : [ { "dropping-particle" : "", "family" : "Benson", "given" : "G", "non-dropping-particle" : "", "parse-names" : false, "suffix" : "" } ], "container-title" : "Nucleic Acids Research", "id" : "ITEM-1", "issue" : "2", "issued" : { "date-parts" : [ [ "1999", "1", "15" ] ] }, "page" : "573-580", "title" : "Tandem repeats finder: a program to analyze DNA sequences.", "type" : "article-journal", "volume" : "27" }, "uris" : [ "http://www.mendeley.com/documents/?uuid=95dee0ae-349a-403d-ad49-10c9c1ce15d3" ] } ], "mendeley" : { "formattedCitation" : "[25]", "plainTextFormattedCitation" : "[25]", "previouslyFormattedCitation" : "[25]" }, "properties" : { "noteIndex" : 0 }, "schema" : "https://github.com/citation-style-language/schema/raw/master/csl-citation.json" }</w:instrText>
      </w:r>
      <w:r>
        <w:rPr>
          <w:rFonts w:cs="Calibri"/>
        </w:rPr>
        <w:fldChar w:fldCharType="separate"/>
      </w:r>
      <w:r w:rsidR="009C0452" w:rsidRPr="009C0452">
        <w:rPr>
          <w:rFonts w:cs="Calibri"/>
          <w:noProof/>
        </w:rPr>
        <w:t>[25]</w:t>
      </w:r>
      <w:r>
        <w:rPr>
          <w:rFonts w:cs="Calibri"/>
        </w:rPr>
        <w:fldChar w:fldCharType="end"/>
      </w:r>
      <w:r>
        <w:rPr>
          <w:rFonts w:cs="Calibri"/>
        </w:rPr>
        <w:t>.</w:t>
      </w:r>
    </w:p>
    <w:p w14:paraId="24AA640F" w14:textId="77777777" w:rsidR="00075367" w:rsidRPr="00075367" w:rsidRDefault="00075367" w:rsidP="00EC0907">
      <w:pPr>
        <w:pStyle w:val="body"/>
        <w:rPr>
          <w:rFonts w:cs="Calibri"/>
          <w:b/>
          <w:sz w:val="32"/>
          <w:szCs w:val="32"/>
        </w:rPr>
      </w:pPr>
      <w:r w:rsidRPr="00075367">
        <w:rPr>
          <w:rFonts w:cs="Calibri"/>
          <w:b/>
          <w:sz w:val="32"/>
          <w:szCs w:val="32"/>
        </w:rPr>
        <w:t>Identification of horizontally acquired genes using single nucleotide polymorphisms</w:t>
      </w:r>
    </w:p>
    <w:p w14:paraId="37CD5EFA" w14:textId="77777777" w:rsidR="00075367" w:rsidRDefault="00075367" w:rsidP="00075367">
      <w:pPr>
        <w:pStyle w:val="body"/>
        <w:rPr>
          <w:rFonts w:cs="Calibri"/>
        </w:rPr>
      </w:pPr>
      <w:r>
        <w:rPr>
          <w:rFonts w:cs="Calibri"/>
        </w:rPr>
        <w:t xml:space="preserve">In a clone that resulted from a recombination event between a (non-identical) donor-recipient pair, any one gene can fall into three classes of sequences. First, its sequence could be the same as in the ancestral recipient but different from the ancestral donor, </w:t>
      </w:r>
      <w:r>
        <w:rPr>
          <w:rFonts w:cs="Calibri"/>
        </w:rPr>
        <w:lastRenderedPageBreak/>
        <w:t xml:space="preserve">which makes an origin in the recipient likely (no horizontal transfer). Second, the gene may differ from both ancestors, which implies </w:t>
      </w:r>
      <w:r w:rsidRPr="00432A9D">
        <w:rPr>
          <w:rFonts w:cs="Calibri"/>
          <w:i/>
        </w:rPr>
        <w:t>de novo</w:t>
      </w:r>
      <w:r>
        <w:rPr>
          <w:rFonts w:cs="Calibri"/>
        </w:rPr>
        <w:t xml:space="preserve"> mutations and a potential origin in either ancestor. Third, the gene could be the same as in the ancestral donor but different from the ancestral recipient, which makes an origin in the donor, and thus horizontal transfer likely. We focused on the last category, and required for a gene to be assigned an origin in the donor that at least three nucleotide sites within 1 kbp had the same genotype as the ancestral donor, but differed from the ancestral recipient. </w:t>
      </w:r>
    </w:p>
    <w:p w14:paraId="5CC17A41" w14:textId="17727EBC" w:rsidR="00075367" w:rsidRDefault="00075367" w:rsidP="00075367">
      <w:pPr>
        <w:pStyle w:val="body"/>
        <w:rPr>
          <w:rFonts w:cs="Calibri"/>
        </w:rPr>
      </w:pPr>
      <w:r>
        <w:rPr>
          <w:rFonts w:cs="Calibri"/>
        </w:rPr>
        <w:t xml:space="preserve">More specifically, we screened for single-nucleotide variant sites where the ancestral recipient and donor had different genotypes, and used a protein coding gene’s codon position at the variant site inferred by snpEff </w:t>
      </w:r>
      <w:r>
        <w:rPr>
          <w:rFonts w:cs="Calibri"/>
        </w:rPr>
        <w:fldChar w:fldCharType="begin" w:fldLock="1"/>
      </w:r>
      <w:r w:rsidR="00595277">
        <w:rPr>
          <w:rFonts w:cs="Calibri"/>
        </w:rPr>
        <w:instrText>ADDIN CSL_CITATION { "citationItems" : [ { "id" : "ITEM-1", "itemData" : { "DOI" : "10.4161/fly.19695", "ISBN" : "1549-5469 (Electronic) 1088-9051 (Linking)", "ISSN" : "1933-6934", "PMID" : "21324876", "abstract" : "Copy number variation (CNV) in the genome is a complex phenomenon, and not completely understood. We have developed a method, CNVnator, for CNV discovery and genotyping from read-depth (RD) analysis of personal genome sequencing. Our method is based on combining the established mean-shift approach with additional refinements (multiple-bandwidth partitioning and GC correction) to broaden the range of discovered CNVs. We calibrated CNVnator using the extensive validation performed by the 1000 Genomes Project. Because of this, we could use CNVnator for CNV discovery and genotyping in a population and characterization of atypical CNVs, such as de novo and multi-allelic events. Overall, for CNVs accessible by RD, CNVnator has high sensitivity (86%-96%), low false-discovery rate (3%-20%), high genotyping accuracy (93%-95%), and high resolution in breakpoint discovery (&lt;200 bp in 90% of cases with high sequencing coverage). Furthermore, CNVnator is complementary in a straightforward way to split-read and read-pair approaches: It misses CNVs created by retrotransposable elements, but more than half of the validated CNVs that it identifies are not detected by split-read or read-pair. By genotyping CNVs in the CEPH, Yoruba, and Chinese-Japanese populations, we estimated that at least 11% of all CNV loci involve complex, multi-allelic events, a considerably higher estimate than reported earlier. Moreover, among these events, we observed cases with allele distribution strongly deviating from Hardy-Weinberg equilibrium, possibly implying selection on certain complex loci. Finally, by combining discovery and genotyping, we identified six potential de novo CNVs in two family trios.", "author" : [ { "dropping-particle" : "", "family" : "Cingolani", "given" : "Pablo", "non-dropping-particle" : "", "parse-names" : false, "suffix" : "" }, { "dropping-particle" : "", "family" : "Platts", "given" : "Adrian", "non-dropping-particle" : "", "parse-names" : false, "suffix" : "" }, { "dropping-particle" : "", "family" : "Wang", "given" : "Le Lily", "non-dropping-particle" : "", "parse-names" : false, "suffix" : "" }, { "dropping-particle" : "", "family" : "Coon", "given" : "Melissa", "non-dropping-particle" : "", "parse-names" : false, "suffix" : "" }, { "dropping-particle" : "", "family" : "Nguyen", "given" : "Tung", "non-dropping-particle" : "", "parse-names" : false, "suffix" : "" }, { "dropping-particle" : "", "family" : "Wang", "given" : "Luan", "non-dropping-particle" : "", "parse-names" : false, "suffix" : "" }, { "dropping-particle" : "", "family" : "Land", "given" : "Susan J.", "non-dropping-particle" : "", "parse-names" : false, "suffix" : "" }, { "dropping-particle" : "", "family" : "Lu", "given" : "Xiangyi", "non-dropping-particle" : "", "parse-names" : false, "suffix" : "" }, { "dropping-particle" : "", "family" : "Ruden", "given" : "Douglas M.", "non-dropping-particle" : "", "parse-names" : false, "suffix" : "" } ], "container-title" : "Fly", "id" : "ITEM-1", "issue" : "2", "issued" : { "date-parts" : [ [ "2012" ] ] }, "page" : "80-92", "publisher" : "Taylor &amp; Francis", "title" : "A program for annotating and predicting the effects of single nucleotide polymorphisms, SnpEff", "type" : "article-journal", "volume" : "6" }, "uris" : [ "http://www.mendeley.com/documents/?uuid=bced280e-3d84-4136-aa16-23201f88b233" ] } ], "mendeley" : { "formattedCitation" : "[22]", "plainTextFormattedCitation" : "[22]", "previouslyFormattedCitation" : "[22]" }, "properties" : { "noteIndex" : 0 }, "schema" : "https://github.com/citation-style-language/schema/raw/master/csl-citation.json" }</w:instrText>
      </w:r>
      <w:r>
        <w:rPr>
          <w:rFonts w:cs="Calibri"/>
        </w:rPr>
        <w:fldChar w:fldCharType="separate"/>
      </w:r>
      <w:r w:rsidR="009C0452" w:rsidRPr="009C0452">
        <w:rPr>
          <w:rFonts w:cs="Calibri"/>
          <w:noProof/>
        </w:rPr>
        <w:t>[22]</w:t>
      </w:r>
      <w:r>
        <w:rPr>
          <w:rFonts w:cs="Calibri"/>
        </w:rPr>
        <w:fldChar w:fldCharType="end"/>
      </w:r>
      <w:r>
        <w:rPr>
          <w:rFonts w:cs="Calibri"/>
        </w:rPr>
        <w:t xml:space="preserve"> in one genome to identify the equivalent variant site in the other genome. Additionally, we only focused on those variant sites where the genotypes of the clone and both ancestors had been consistently called from the two alignments. Cases of inconsistently called genotypes were mainly due to deletion (&gt; 50 bp) in either of the ancestors, leading to a variant called only in one alignment but not both. We constrained our analyses to synonymous or non-synonymous variant sites located within coding regions of genes, because we expected that the snpEff inference of mutation’s position would be most accurate within genes. </w:t>
      </w:r>
    </w:p>
    <w:p w14:paraId="057BFCDD" w14:textId="7DE92361" w:rsidR="00075367" w:rsidRDefault="00075367" w:rsidP="00075367">
      <w:pPr>
        <w:pStyle w:val="body"/>
        <w:rPr>
          <w:rFonts w:cs="Calibri"/>
        </w:rPr>
      </w:pPr>
      <w:r>
        <w:rPr>
          <w:rFonts w:cs="Calibri"/>
        </w:rPr>
        <w:t>This approach allowed us to assign a donor origin to between 1594 and 2688 genes, for experiments where the donor and recipient were different (Table S6, lower part). Where the donor and recipient were identical, the approach proved unreliable, because it could identify very few genes as transferred</w:t>
      </w:r>
      <w:r w:rsidR="008732E3">
        <w:rPr>
          <w:rFonts w:cs="Calibri"/>
        </w:rPr>
        <w:t xml:space="preserve">. This is expected, </w:t>
      </w:r>
      <w:r>
        <w:rPr>
          <w:rFonts w:cs="Calibri"/>
        </w:rPr>
        <w:t xml:space="preserve">because the two </w:t>
      </w:r>
      <w:r>
        <w:rPr>
          <w:rFonts w:cs="Calibri"/>
        </w:rPr>
        <w:lastRenderedPageBreak/>
        <w:t xml:space="preserve">genomes </w:t>
      </w:r>
      <w:r w:rsidR="008732E3">
        <w:rPr>
          <w:rFonts w:cs="Calibri"/>
        </w:rPr>
        <w:t xml:space="preserve">are </w:t>
      </w:r>
      <w:r>
        <w:rPr>
          <w:rFonts w:cs="Calibri"/>
        </w:rPr>
        <w:t>almost identical (Table S6, lower part)</w:t>
      </w:r>
      <w:r w:rsidR="008732E3">
        <w:rPr>
          <w:rFonts w:cs="Calibri"/>
        </w:rPr>
        <w:t>. W</w:t>
      </w:r>
      <w:r>
        <w:rPr>
          <w:rFonts w:cs="Calibri"/>
        </w:rPr>
        <w:t xml:space="preserve">e did not analyze the corresponding sequence data further. </w:t>
      </w:r>
    </w:p>
    <w:p w14:paraId="00A05752" w14:textId="77777777" w:rsidR="007D41E5" w:rsidRDefault="007D41E5" w:rsidP="00EC0907">
      <w:pPr>
        <w:pStyle w:val="body"/>
        <w:rPr>
          <w:rFonts w:cs="Calibri"/>
        </w:rPr>
      </w:pPr>
    </w:p>
    <w:p w14:paraId="22429EA3" w14:textId="77777777" w:rsidR="00346A22" w:rsidRPr="00346A22" w:rsidRDefault="00346A22" w:rsidP="004B1996">
      <w:pPr>
        <w:pStyle w:val="body"/>
        <w:rPr>
          <w:rFonts w:cs="Calibri"/>
          <w:b/>
          <w:sz w:val="32"/>
          <w:szCs w:val="32"/>
        </w:rPr>
      </w:pPr>
      <w:r w:rsidRPr="00346A22">
        <w:rPr>
          <w:rFonts w:cs="Calibri"/>
          <w:b/>
          <w:sz w:val="32"/>
          <w:szCs w:val="32"/>
        </w:rPr>
        <w:t>Reference</w:t>
      </w:r>
    </w:p>
    <w:p w14:paraId="66BF7100" w14:textId="56DC93D3" w:rsidR="004540E0" w:rsidRPr="004540E0" w:rsidRDefault="00346A22">
      <w:pPr>
        <w:widowControl w:val="0"/>
        <w:autoSpaceDE w:val="0"/>
        <w:autoSpaceDN w:val="0"/>
        <w:adjustRightInd w:val="0"/>
        <w:spacing w:after="140" w:line="288" w:lineRule="auto"/>
        <w:rPr>
          <w:rFonts w:ascii="Calibri" w:hAnsi="Calibri" w:cs="Calibri"/>
          <w:noProof/>
          <w:sz w:val="24"/>
          <w:szCs w:val="24"/>
        </w:rPr>
      </w:pPr>
      <w:r>
        <w:rPr>
          <w:rFonts w:cs="Calibri"/>
        </w:rPr>
        <w:fldChar w:fldCharType="begin" w:fldLock="1"/>
      </w:r>
      <w:r>
        <w:rPr>
          <w:rFonts w:cs="Calibri"/>
        </w:rPr>
        <w:instrText xml:space="preserve">ADDIN Mendeley Bibliography CSL_BIBLIOGRAPHY </w:instrText>
      </w:r>
      <w:r>
        <w:rPr>
          <w:rFonts w:cs="Calibri"/>
        </w:rPr>
        <w:fldChar w:fldCharType="separate"/>
      </w:r>
      <w:r w:rsidR="004540E0" w:rsidRPr="004540E0">
        <w:rPr>
          <w:rFonts w:ascii="Calibri" w:hAnsi="Calibri" w:cs="Calibri"/>
          <w:noProof/>
          <w:sz w:val="24"/>
          <w:szCs w:val="24"/>
        </w:rPr>
        <w:t xml:space="preserve">1. Datsenko KA, Wanner BL. One-step inactivation of chromosomal genes in Escherichia coli K-12 using PCR products. Proc. Natl. Acad. Sci. National Acad Sciences; 2000;97:6640–5. </w:t>
      </w:r>
    </w:p>
    <w:p w14:paraId="595F0D5A"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2. Rao DN, Dryden DTF, Bheemanaik S. Type III restriction-modification enzymes: a historical perspective. Nucleic Acids Res. Oxford Univ Press; 2014;42:45–55. </w:t>
      </w:r>
    </w:p>
    <w:p w14:paraId="2E90154E"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3. Achtman M, Kennedy N, Skurray R. Cell--cell interactions in conjugating Escherichia coli: role of traT protein in surface exclusion. Proc. Natl. Acad. Sci. National Acad Sciences; 1977;74:5104–8. </w:t>
      </w:r>
    </w:p>
    <w:p w14:paraId="688E227B"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4. Winkler J, Kao KC. Harnessing recombination to speed adaptive evolution in Escherichia coli. Metab. Eng. Elsevier; 2012;14:487–95. </w:t>
      </w:r>
    </w:p>
    <w:p w14:paraId="2FCDBE06"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5. Gellert M, Mizuuchi K, O’Dea MH, Itoh T, Tomizawa J-I. Nalidixic acid resistance: a second genetic character involved in DNA gyrase activity. Proc. Natl. Acad. Sci. National Acad Sciences; 1977;74:4772–6. </w:t>
      </w:r>
    </w:p>
    <w:p w14:paraId="02FFB0E5"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6. Jin DJ, Gross CA. Mapping and sequencing of mutations in the Escherichia coli rpoB gene that lead to rifampicin resistance. J. Mol. Biol. 1988;202:45–58. </w:t>
      </w:r>
    </w:p>
    <w:p w14:paraId="2631E3F6"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7. Karczmarczyk M, Martins M, Quinn T, Leonard N, Fanning S. Mechanisms of fluoroquinolone resistance in Escherichia coli isolates from food-producing animals. Appl. Environ. Microbiol. Am Soc Microbiol; 2011;77:7113–20. </w:t>
      </w:r>
    </w:p>
    <w:p w14:paraId="630312A2"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8. Campbell EA, Korzheva N, Mustaev A, Murakami K, Nair S, Goldfarb A, et al. Structural mechanism for rifampicin inhibition of bacterial RNA polymerase. Cell. Elsevier; 2001;104:901–12. </w:t>
      </w:r>
    </w:p>
    <w:p w14:paraId="07EEBF86"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9. Phornphisutthimas S, Thamchaipenet A, Panijpan B. Conjugation in Escherichia coli. Biochem. Mol. Biol. Educ. Wiley Online Library; 2007;35:440–5. </w:t>
      </w:r>
    </w:p>
    <w:p w14:paraId="6D363605"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10. Sprouffske K, Wagner A. Growthcurver: an R package for obtaining interpretable </w:t>
      </w:r>
      <w:r w:rsidRPr="004540E0">
        <w:rPr>
          <w:rFonts w:ascii="Calibri" w:hAnsi="Calibri" w:cs="Calibri"/>
          <w:noProof/>
          <w:sz w:val="24"/>
          <w:szCs w:val="24"/>
        </w:rPr>
        <w:lastRenderedPageBreak/>
        <w:t xml:space="preserve">metrics from microbial growth curves. BMC Bioinformatics. 2016;17:172. </w:t>
      </w:r>
    </w:p>
    <w:p w14:paraId="53C33C73"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11. Baumler DJ, Peplinski RG, Reed JL, Glasner JD, Perna NT. The evolution of metabolic networks of E. coli. BMC Syst. Biol. BioMed Central; 2011;5:1. </w:t>
      </w:r>
    </w:p>
    <w:p w14:paraId="03F2F181"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12. Yoon SH, Han M-J, Jeong H, Lee CH, Xia X-X, Lee D-H, et al. Comparative multi-omics systems analysis of Escherichia coli strains B and K-12. Genome Biol. BioMed Central; 2012;13:1. </w:t>
      </w:r>
    </w:p>
    <w:p w14:paraId="1A27A0A8"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13. Monk JM, Charusanti P, Aziz RK, Lerman JA, Premyodhin N, Orth JD, et al. Genome-scale metabolic reconstructions of multiple Escherichia coli strains highlight strain-specific adaptations to nutritional environments. Proc. Natl. Acad. Sci. National Acad Sciences; 2013;110:20338–43. </w:t>
      </w:r>
    </w:p>
    <w:p w14:paraId="7D4B08BF"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14. R Core Team. R: A Language and Environment for Statistical Computing. Vienna, Austria; 2015; Available from: http://www.r-project.org/</w:t>
      </w:r>
    </w:p>
    <w:p w14:paraId="429B7EAC"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15. Bauer AP, Dieckmann SM, Ludwig W, Schleifer K-H. Rapid identification of Escherichia coli safety and laboratory strain lineages based on Multiplex-PCR. FEMS Microbiol. Lett. The Oxford University Press; 2007;269:36–40. </w:t>
      </w:r>
    </w:p>
    <w:p w14:paraId="62576CEA"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16. Bolger AM, Lohse M, Usadel B. Trimmomatic: a flexible trimmer for {I}llumina sequence data. Bioinformatics. Oxford Univ Press; 2014;btu170. </w:t>
      </w:r>
    </w:p>
    <w:p w14:paraId="4EFA4471"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17. Langmead B, Salzberg SL. Fast gapped-read alignment with {B}owtie 2. Nat Methods. Nature Publishing Group; 2012;9:357–9. </w:t>
      </w:r>
    </w:p>
    <w:p w14:paraId="7220916B"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18. Riley M, Abe T, Arnaud MB, Berlyn MKB, Blattner FR, Chaudhuri RR, et al. Escherichia coli K-12: A cooperatively developed annotation snapshot - 2005. Nucleic Acids Res. 2006;34:1–9. </w:t>
      </w:r>
    </w:p>
    <w:p w14:paraId="6677A510"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19. Archer CT, Kim JF, Jeong H, Park JH, Vickers CE, Lee SY, et al. The genome sequence of E. coli W (ATCC 9637): comparative genome analysis and an improved genome-scale reconstruction of E. coli. BMC Genomics. BioMed Central; 2011;12:1. </w:t>
      </w:r>
    </w:p>
    <w:p w14:paraId="170445EF"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20. McKenna A, Hanna M, Banks E, Sivachenko A, Cibulskis K, Kernytsky A, et al. The Genome Analysis Toolkit: a MapReduce framework for analyzing next-generation DNA sequencing data. Genome Res. Cold Spring Harbor Lab; 2010;20:1297–303. </w:t>
      </w:r>
    </w:p>
    <w:p w14:paraId="19FBA39D"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21. Auwera GA, Carneiro MO, Hartl C, Poplin R, del Angel G, Levy-Moonshine A, et al. From FastQ data to high-confidence variant calls: the genome analysis toolkit best practices pipeline. Curr. Protoc. Bioinforma. Wiley Online Library; 2013;10–1. </w:t>
      </w:r>
    </w:p>
    <w:p w14:paraId="65C083F1"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22. Cingolani P, Platts A, Wang LL, Coon M, Nguyen T, Wang L, et al. A program for </w:t>
      </w:r>
      <w:r w:rsidRPr="004540E0">
        <w:rPr>
          <w:rFonts w:ascii="Calibri" w:hAnsi="Calibri" w:cs="Calibri"/>
          <w:noProof/>
          <w:sz w:val="24"/>
          <w:szCs w:val="24"/>
        </w:rPr>
        <w:lastRenderedPageBreak/>
        <w:t>annotating and predicting the effects of single nucleotide polymorphisms, SnpEff. Fly (Austin). [Internet]. Taylor &amp; Francis; 2012;6:80–92. Available from: http://www.tandfonline.com/doi/abs/10.4161/fly.19695</w:t>
      </w:r>
    </w:p>
    <w:p w14:paraId="2592A073"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23. Darling AE, Mau B, Perna NT. Progressive Mauve: Multiple alignment of genomes with gene flux and rearrangement. Genome [Internet]. 2009; Available from: http://arxiv.org/abs/0910.5780</w:t>
      </w:r>
    </w:p>
    <w:p w14:paraId="052224D6" w14:textId="77777777" w:rsidR="004540E0" w:rsidRPr="004540E0" w:rsidRDefault="004540E0">
      <w:pPr>
        <w:widowControl w:val="0"/>
        <w:autoSpaceDE w:val="0"/>
        <w:autoSpaceDN w:val="0"/>
        <w:adjustRightInd w:val="0"/>
        <w:spacing w:after="140" w:line="288" w:lineRule="auto"/>
        <w:rPr>
          <w:rFonts w:ascii="Calibri" w:hAnsi="Calibri" w:cs="Calibri"/>
          <w:noProof/>
          <w:sz w:val="24"/>
          <w:szCs w:val="24"/>
        </w:rPr>
      </w:pPr>
      <w:r w:rsidRPr="004540E0">
        <w:rPr>
          <w:rFonts w:ascii="Calibri" w:hAnsi="Calibri" w:cs="Calibri"/>
          <w:noProof/>
          <w:sz w:val="24"/>
          <w:szCs w:val="24"/>
        </w:rPr>
        <w:t xml:space="preserve">24. Tatusova T, DiCuccio M, Badretdin A, Chetvernin V, Nawrocki EP, Zaslavsky L, et al. NCBI prokaryotic genome annotation pipeline. Nucleic Acids Res. Oxford Univ Press; 2016;gkw569. </w:t>
      </w:r>
    </w:p>
    <w:p w14:paraId="09EBDD0B" w14:textId="77777777" w:rsidR="004540E0" w:rsidRPr="004540E0" w:rsidRDefault="004540E0">
      <w:pPr>
        <w:widowControl w:val="0"/>
        <w:autoSpaceDE w:val="0"/>
        <w:autoSpaceDN w:val="0"/>
        <w:adjustRightInd w:val="0"/>
        <w:spacing w:after="140" w:line="288" w:lineRule="auto"/>
        <w:rPr>
          <w:rFonts w:ascii="Calibri" w:hAnsi="Calibri" w:cs="Calibri"/>
          <w:noProof/>
          <w:sz w:val="24"/>
        </w:rPr>
      </w:pPr>
      <w:r w:rsidRPr="004540E0">
        <w:rPr>
          <w:rFonts w:ascii="Calibri" w:hAnsi="Calibri" w:cs="Calibri"/>
          <w:noProof/>
          <w:sz w:val="24"/>
          <w:szCs w:val="24"/>
        </w:rPr>
        <w:t>25. Benson G. Tandem repeats finder: a program to analyze DNA sequences. Nucleic Acids Res. [Internet]. 1999;27:573–80. Available from: http://www.ncbi.nlm.nih.gov/pmc/articles/PMC148217/</w:t>
      </w:r>
    </w:p>
    <w:p w14:paraId="15841646" w14:textId="77777777" w:rsidR="004B1996" w:rsidRDefault="00346A22" w:rsidP="00AE5093">
      <w:pPr>
        <w:pStyle w:val="body"/>
        <w:rPr>
          <w:rFonts w:cs="Calibri"/>
        </w:rPr>
      </w:pPr>
      <w:r>
        <w:rPr>
          <w:rFonts w:cs="Calibri"/>
        </w:rPr>
        <w:fldChar w:fldCharType="end"/>
      </w:r>
    </w:p>
    <w:p w14:paraId="07573487" w14:textId="77777777" w:rsidR="00AE5093" w:rsidRPr="00AE5093" w:rsidRDefault="00AE5093" w:rsidP="00AE5093">
      <w:pPr>
        <w:widowControl w:val="0"/>
        <w:spacing w:before="240" w:after="240" w:line="480" w:lineRule="auto"/>
        <w:rPr>
          <w:rFonts w:eastAsiaTheme="minorHAnsi" w:cs="Calibri"/>
          <w:sz w:val="24"/>
          <w:szCs w:val="24"/>
        </w:rPr>
      </w:pPr>
    </w:p>
    <w:p w14:paraId="3786E241" w14:textId="77777777" w:rsidR="00AE5093" w:rsidRDefault="00AE5093" w:rsidP="00AE5093">
      <w:pPr>
        <w:pStyle w:val="body"/>
        <w:rPr>
          <w:rFonts w:cs="Calibri"/>
        </w:rPr>
      </w:pPr>
    </w:p>
    <w:p w14:paraId="4CA2AED4" w14:textId="77777777" w:rsidR="00AE5093" w:rsidRDefault="00AE5093" w:rsidP="00AE5093">
      <w:pPr>
        <w:pStyle w:val="body"/>
        <w:rPr>
          <w:rFonts w:cs="Calibri"/>
        </w:rPr>
      </w:pPr>
    </w:p>
    <w:p w14:paraId="1819E557" w14:textId="77777777" w:rsidR="00AE5093" w:rsidRPr="00631775" w:rsidRDefault="00AE5093" w:rsidP="00AE5093"/>
    <w:p w14:paraId="34800AC8" w14:textId="77777777" w:rsidR="00AE5093" w:rsidRDefault="00AE5093" w:rsidP="005261C1">
      <w:pPr>
        <w:pStyle w:val="body"/>
        <w:rPr>
          <w:rFonts w:cs="Calibri"/>
        </w:rPr>
      </w:pPr>
    </w:p>
    <w:p w14:paraId="2F2A5BC5" w14:textId="77777777" w:rsidR="00BD4541" w:rsidRDefault="00BD4541" w:rsidP="00BD4541">
      <w:pPr>
        <w:pStyle w:val="body"/>
        <w:rPr>
          <w:rFonts w:cs="Calibri"/>
        </w:rPr>
      </w:pPr>
    </w:p>
    <w:p w14:paraId="070F687D" w14:textId="77777777" w:rsidR="00BD4541" w:rsidRDefault="00BD4541" w:rsidP="00BD4541">
      <w:pPr>
        <w:pStyle w:val="body"/>
        <w:rPr>
          <w:rFonts w:cs="Calibri"/>
        </w:rPr>
      </w:pPr>
    </w:p>
    <w:p w14:paraId="752847AB" w14:textId="77777777" w:rsidR="00BD4541" w:rsidRDefault="00BD4541" w:rsidP="00BD4541">
      <w:pPr>
        <w:pStyle w:val="body"/>
        <w:rPr>
          <w:rFonts w:cs="Calibri"/>
        </w:rPr>
      </w:pPr>
    </w:p>
    <w:p w14:paraId="2552572B" w14:textId="77777777" w:rsidR="00BD4541" w:rsidRDefault="00BD4541" w:rsidP="00BD4541">
      <w:pPr>
        <w:pStyle w:val="body"/>
        <w:rPr>
          <w:rFonts w:cs="Calibri"/>
        </w:rPr>
      </w:pPr>
      <w:r>
        <w:rPr>
          <w:rFonts w:cs="Calibri"/>
        </w:rPr>
        <w:t xml:space="preserve"> </w:t>
      </w:r>
    </w:p>
    <w:p w14:paraId="62E6E3C3" w14:textId="77777777" w:rsidR="00C17E16" w:rsidRDefault="00C17E16"/>
    <w:sectPr w:rsidR="00C17E16" w:rsidSect="00EF2B7F">
      <w:footerReference w:type="default" r:id="rId7"/>
      <w:pgSz w:w="12240" w:h="15840"/>
      <w:pgMar w:top="1440" w:right="1800" w:bottom="1440" w:left="180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7C1ED" w14:textId="77777777" w:rsidR="00623844" w:rsidRDefault="00623844" w:rsidP="00652E9E">
      <w:pPr>
        <w:spacing w:after="0" w:line="240" w:lineRule="auto"/>
      </w:pPr>
      <w:r>
        <w:separator/>
      </w:r>
    </w:p>
  </w:endnote>
  <w:endnote w:type="continuationSeparator" w:id="0">
    <w:p w14:paraId="20319C6A" w14:textId="77777777" w:rsidR="00623844" w:rsidRDefault="00623844" w:rsidP="0065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buntu">
    <w:altName w:val="Times New Roman"/>
    <w:panose1 w:val="00000000000000000000"/>
    <w:charset w:val="00"/>
    <w:family w:val="auto"/>
    <w:notTrueType/>
    <w:pitch w:val="default"/>
    <w:sig w:usb0="00000003" w:usb1="00000000" w:usb2="00000000" w:usb3="00000000" w:csb0="00000001" w:csb1="00000000"/>
  </w:font>
  <w:font w:name="DejaVu Sans Greek">
    <w:altName w:val="Calibri"/>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320562"/>
      <w:docPartObj>
        <w:docPartGallery w:val="Page Numbers (Bottom of Page)"/>
        <w:docPartUnique/>
      </w:docPartObj>
    </w:sdtPr>
    <w:sdtEndPr>
      <w:rPr>
        <w:noProof/>
      </w:rPr>
    </w:sdtEndPr>
    <w:sdtContent>
      <w:p w14:paraId="3A17EB70" w14:textId="72464B98" w:rsidR="00652E9E" w:rsidRDefault="00652E9E">
        <w:pPr>
          <w:pStyle w:val="Footer"/>
          <w:jc w:val="right"/>
        </w:pPr>
        <w:r>
          <w:fldChar w:fldCharType="begin"/>
        </w:r>
        <w:r>
          <w:instrText xml:space="preserve"> PAGE   \* MERGEFORMAT </w:instrText>
        </w:r>
        <w:r>
          <w:fldChar w:fldCharType="separate"/>
        </w:r>
        <w:r w:rsidR="00E42CE7">
          <w:rPr>
            <w:noProof/>
          </w:rPr>
          <w:t>1</w:t>
        </w:r>
        <w:r>
          <w:rPr>
            <w:noProof/>
          </w:rPr>
          <w:fldChar w:fldCharType="end"/>
        </w:r>
      </w:p>
    </w:sdtContent>
  </w:sdt>
  <w:p w14:paraId="06F60620" w14:textId="77777777" w:rsidR="00652E9E" w:rsidRDefault="00652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40709" w14:textId="77777777" w:rsidR="00623844" w:rsidRDefault="00623844" w:rsidP="00652E9E">
      <w:pPr>
        <w:spacing w:after="0" w:line="240" w:lineRule="auto"/>
      </w:pPr>
      <w:r>
        <w:separator/>
      </w:r>
    </w:p>
  </w:footnote>
  <w:footnote w:type="continuationSeparator" w:id="0">
    <w:p w14:paraId="363A1431" w14:textId="77777777" w:rsidR="00623844" w:rsidRDefault="00623844" w:rsidP="00652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560731F-CBAF-4501-A885-C6CFAF64EE28}"/>
    <w:docVar w:name="dgnword-eventsink" w:val="1485145451680"/>
  </w:docVars>
  <w:rsids>
    <w:rsidRoot w:val="00BD4541"/>
    <w:rsid w:val="00036E3C"/>
    <w:rsid w:val="00072124"/>
    <w:rsid w:val="00074E52"/>
    <w:rsid w:val="00075367"/>
    <w:rsid w:val="000A0A47"/>
    <w:rsid w:val="000D7F62"/>
    <w:rsid w:val="00196A1D"/>
    <w:rsid w:val="00207EF8"/>
    <w:rsid w:val="0024591E"/>
    <w:rsid w:val="00250617"/>
    <w:rsid w:val="0026177E"/>
    <w:rsid w:val="00277EBA"/>
    <w:rsid w:val="00287775"/>
    <w:rsid w:val="00346A22"/>
    <w:rsid w:val="003F0473"/>
    <w:rsid w:val="003F2B9E"/>
    <w:rsid w:val="00436903"/>
    <w:rsid w:val="004540E0"/>
    <w:rsid w:val="004B1996"/>
    <w:rsid w:val="00511BC4"/>
    <w:rsid w:val="005261C1"/>
    <w:rsid w:val="0058389A"/>
    <w:rsid w:val="005866B9"/>
    <w:rsid w:val="00595277"/>
    <w:rsid w:val="005B4D4F"/>
    <w:rsid w:val="005E405C"/>
    <w:rsid w:val="00600490"/>
    <w:rsid w:val="00623844"/>
    <w:rsid w:val="00630364"/>
    <w:rsid w:val="0064244E"/>
    <w:rsid w:val="00652E9E"/>
    <w:rsid w:val="00664016"/>
    <w:rsid w:val="0067370D"/>
    <w:rsid w:val="006928F1"/>
    <w:rsid w:val="006B3A01"/>
    <w:rsid w:val="006D5D68"/>
    <w:rsid w:val="006E38DE"/>
    <w:rsid w:val="00707CA2"/>
    <w:rsid w:val="00754DD2"/>
    <w:rsid w:val="00781BB7"/>
    <w:rsid w:val="007D41E5"/>
    <w:rsid w:val="00813D57"/>
    <w:rsid w:val="008732E3"/>
    <w:rsid w:val="00965CEF"/>
    <w:rsid w:val="009C0452"/>
    <w:rsid w:val="00A0110D"/>
    <w:rsid w:val="00A63192"/>
    <w:rsid w:val="00AC3E5A"/>
    <w:rsid w:val="00AC4315"/>
    <w:rsid w:val="00AE4A24"/>
    <w:rsid w:val="00AE5093"/>
    <w:rsid w:val="00B3423F"/>
    <w:rsid w:val="00BC1909"/>
    <w:rsid w:val="00BC7587"/>
    <w:rsid w:val="00BD4541"/>
    <w:rsid w:val="00BF1BFB"/>
    <w:rsid w:val="00C17E16"/>
    <w:rsid w:val="00CD72E3"/>
    <w:rsid w:val="00CF5CC6"/>
    <w:rsid w:val="00D86FE1"/>
    <w:rsid w:val="00DC186E"/>
    <w:rsid w:val="00E20C9C"/>
    <w:rsid w:val="00E368A4"/>
    <w:rsid w:val="00E42CE7"/>
    <w:rsid w:val="00E447F8"/>
    <w:rsid w:val="00E66D7A"/>
    <w:rsid w:val="00E71875"/>
    <w:rsid w:val="00E82909"/>
    <w:rsid w:val="00EC0907"/>
    <w:rsid w:val="00ED0D5F"/>
    <w:rsid w:val="00EF2B7F"/>
    <w:rsid w:val="00F13AFC"/>
    <w:rsid w:val="00F21DE5"/>
    <w:rsid w:val="00F42800"/>
    <w:rsid w:val="00F63F97"/>
    <w:rsid w:val="00F77C6A"/>
    <w:rsid w:val="00FA65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875B"/>
  <w15:chartTrackingRefBased/>
  <w15:docId w15:val="{5F4272C2-A25F-4D5D-B5C6-0287296CB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DD2"/>
  </w:style>
  <w:style w:type="paragraph" w:styleId="Heading1">
    <w:name w:val="heading 1"/>
    <w:basedOn w:val="Normal"/>
    <w:next w:val="Normal"/>
    <w:link w:val="Heading1Char"/>
    <w:uiPriority w:val="9"/>
    <w:qFormat/>
    <w:rsid w:val="00AE5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E5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4244E"/>
    <w:pPr>
      <w:keepNext/>
      <w:keepLines/>
      <w:widowControl w:val="0"/>
      <w:spacing w:before="40" w:after="0" w:line="360" w:lineRule="auto"/>
      <w:jc w:val="both"/>
      <w:outlineLvl w:val="2"/>
    </w:pPr>
    <w:rPr>
      <w:rFonts w:ascii="Calibri" w:eastAsiaTheme="majorEastAsia" w:hAnsi="Calibri" w:cstheme="majorBidi"/>
      <w:b/>
      <w:kern w:val="2"/>
      <w:sz w:val="28"/>
      <w:szCs w:val="24"/>
      <w:lang w:eastAsia="zh-CN"/>
    </w:rPr>
  </w:style>
  <w:style w:type="paragraph" w:styleId="Heading8">
    <w:name w:val="heading 8"/>
    <w:basedOn w:val="Normal"/>
    <w:next w:val="Normal"/>
    <w:link w:val="Heading8Char"/>
    <w:uiPriority w:val="9"/>
    <w:semiHidden/>
    <w:unhideWhenUsed/>
    <w:qFormat/>
    <w:rsid w:val="0064244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Char">
    <w:name w:val="body Char"/>
    <w:link w:val="body"/>
    <w:unhideWhenUsed/>
    <w:qFormat/>
    <w:locked/>
    <w:rsid w:val="00BD4541"/>
    <w:rPr>
      <w:rFonts w:eastAsiaTheme="minorHAnsi"/>
      <w:sz w:val="24"/>
      <w:szCs w:val="24"/>
    </w:rPr>
  </w:style>
  <w:style w:type="paragraph" w:customStyle="1" w:styleId="body">
    <w:name w:val="body"/>
    <w:basedOn w:val="Normal"/>
    <w:link w:val="bodyChar"/>
    <w:unhideWhenUsed/>
    <w:qFormat/>
    <w:rsid w:val="00BD4541"/>
    <w:pPr>
      <w:widowControl w:val="0"/>
      <w:spacing w:before="240" w:after="240" w:line="480" w:lineRule="auto"/>
    </w:pPr>
    <w:rPr>
      <w:rFonts w:eastAsiaTheme="minorHAnsi"/>
      <w:sz w:val="24"/>
      <w:szCs w:val="24"/>
    </w:rPr>
  </w:style>
  <w:style w:type="paragraph" w:customStyle="1" w:styleId="subsection">
    <w:name w:val="subsection"/>
    <w:basedOn w:val="Heading2"/>
    <w:link w:val="subsectionChar"/>
    <w:unhideWhenUsed/>
    <w:qFormat/>
    <w:rsid w:val="00AE5093"/>
    <w:pPr>
      <w:widowControl w:val="0"/>
      <w:spacing w:before="260" w:after="260" w:line="416" w:lineRule="auto"/>
      <w:jc w:val="both"/>
    </w:pPr>
    <w:rPr>
      <w:rFonts w:asciiTheme="minorHAnsi" w:eastAsia="SimSun" w:hAnsiTheme="minorHAnsi" w:cs="Arial"/>
      <w:b/>
      <w:i/>
      <w:color w:val="5A5A5A" w:themeColor="text1" w:themeTint="A5"/>
      <w:spacing w:val="15"/>
      <w:kern w:val="2"/>
      <w:sz w:val="28"/>
      <w:szCs w:val="28"/>
      <w:lang w:eastAsia="zh-CN"/>
    </w:rPr>
  </w:style>
  <w:style w:type="character" w:customStyle="1" w:styleId="subsectionChar">
    <w:name w:val="subsection Char"/>
    <w:basedOn w:val="DefaultParagraphFont"/>
    <w:link w:val="subsection"/>
    <w:rsid w:val="00AE5093"/>
    <w:rPr>
      <w:rFonts w:eastAsia="SimSun" w:cs="Arial"/>
      <w:b/>
      <w:i/>
      <w:color w:val="5A5A5A" w:themeColor="text1" w:themeTint="A5"/>
      <w:spacing w:val="15"/>
      <w:kern w:val="2"/>
      <w:sz w:val="28"/>
      <w:szCs w:val="28"/>
      <w:lang w:eastAsia="zh-CN"/>
    </w:rPr>
  </w:style>
  <w:style w:type="character" w:customStyle="1" w:styleId="Heading2Char">
    <w:name w:val="Heading 2 Char"/>
    <w:basedOn w:val="DefaultParagraphFont"/>
    <w:link w:val="Heading2"/>
    <w:uiPriority w:val="9"/>
    <w:semiHidden/>
    <w:rsid w:val="00AE5093"/>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E5093"/>
    <w:rPr>
      <w:rFonts w:asciiTheme="majorHAnsi" w:eastAsiaTheme="majorEastAsia" w:hAnsiTheme="majorHAnsi" w:cstheme="majorBidi"/>
      <w:color w:val="2E74B5" w:themeColor="accent1" w:themeShade="BF"/>
      <w:sz w:val="32"/>
      <w:szCs w:val="32"/>
    </w:rPr>
  </w:style>
  <w:style w:type="paragraph" w:customStyle="1" w:styleId="subsubsection">
    <w:name w:val="subsubsection"/>
    <w:basedOn w:val="Heading1"/>
    <w:qFormat/>
    <w:rsid w:val="00813D57"/>
    <w:pPr>
      <w:widowControl w:val="0"/>
      <w:spacing w:line="480" w:lineRule="auto"/>
      <w:jc w:val="both"/>
    </w:pPr>
    <w:rPr>
      <w:b/>
      <w:i/>
      <w:color w:val="auto"/>
      <w:kern w:val="2"/>
      <w:sz w:val="24"/>
      <w:lang w:eastAsia="zh-CN"/>
    </w:rPr>
  </w:style>
  <w:style w:type="paragraph" w:styleId="BalloonText">
    <w:name w:val="Balloon Text"/>
    <w:basedOn w:val="Normal"/>
    <w:link w:val="BalloonTextChar"/>
    <w:uiPriority w:val="99"/>
    <w:semiHidden/>
    <w:unhideWhenUsed/>
    <w:rsid w:val="005E4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05C"/>
    <w:rPr>
      <w:rFonts w:ascii="Segoe UI" w:hAnsi="Segoe UI" w:cs="Segoe UI"/>
      <w:sz w:val="18"/>
      <w:szCs w:val="18"/>
    </w:rPr>
  </w:style>
  <w:style w:type="character" w:customStyle="1" w:styleId="Heading3Char">
    <w:name w:val="Heading 3 Char"/>
    <w:basedOn w:val="DefaultParagraphFont"/>
    <w:link w:val="Heading3"/>
    <w:uiPriority w:val="9"/>
    <w:rsid w:val="0064244E"/>
    <w:rPr>
      <w:rFonts w:ascii="Calibri" w:eastAsiaTheme="majorEastAsia" w:hAnsi="Calibri" w:cstheme="majorBidi"/>
      <w:b/>
      <w:kern w:val="2"/>
      <w:sz w:val="28"/>
      <w:szCs w:val="24"/>
      <w:lang w:eastAsia="zh-CN"/>
    </w:rPr>
  </w:style>
  <w:style w:type="paragraph" w:styleId="CommentText">
    <w:name w:val="annotation text"/>
    <w:basedOn w:val="Normal"/>
    <w:link w:val="CommentTextChar"/>
    <w:uiPriority w:val="99"/>
    <w:unhideWhenUsed/>
    <w:qFormat/>
    <w:rsid w:val="0064244E"/>
    <w:pPr>
      <w:widowControl w:val="0"/>
      <w:spacing w:after="0" w:line="360" w:lineRule="auto"/>
      <w:jc w:val="both"/>
    </w:pPr>
    <w:rPr>
      <w:rFonts w:ascii="Calibri" w:eastAsia="SimSun" w:hAnsi="Calibri" w:cs="SimSun"/>
      <w:kern w:val="2"/>
      <w:sz w:val="24"/>
      <w:szCs w:val="24"/>
      <w:lang w:eastAsia="zh-CN"/>
    </w:rPr>
  </w:style>
  <w:style w:type="character" w:customStyle="1" w:styleId="CommentTextChar">
    <w:name w:val="Comment Text Char"/>
    <w:basedOn w:val="DefaultParagraphFont"/>
    <w:link w:val="CommentText"/>
    <w:uiPriority w:val="99"/>
    <w:qFormat/>
    <w:rsid w:val="0064244E"/>
    <w:rPr>
      <w:rFonts w:ascii="Calibri" w:eastAsia="SimSun" w:hAnsi="Calibri" w:cs="SimSun"/>
      <w:kern w:val="2"/>
      <w:sz w:val="24"/>
      <w:szCs w:val="24"/>
      <w:lang w:eastAsia="zh-CN"/>
    </w:rPr>
  </w:style>
  <w:style w:type="character" w:styleId="CommentReference">
    <w:name w:val="annotation reference"/>
    <w:basedOn w:val="DefaultParagraphFont"/>
    <w:uiPriority w:val="99"/>
    <w:unhideWhenUsed/>
    <w:qFormat/>
    <w:rsid w:val="0064244E"/>
    <w:rPr>
      <w:sz w:val="18"/>
      <w:szCs w:val="18"/>
    </w:rPr>
  </w:style>
  <w:style w:type="paragraph" w:customStyle="1" w:styleId="subsubsectuib">
    <w:name w:val="subsubsectuib"/>
    <w:basedOn w:val="Heading8"/>
    <w:next w:val="body"/>
    <w:link w:val="subsubsectuibChar"/>
    <w:unhideWhenUsed/>
    <w:qFormat/>
    <w:rsid w:val="0064244E"/>
    <w:pPr>
      <w:widowControl w:val="0"/>
      <w:spacing w:line="480" w:lineRule="auto"/>
      <w:jc w:val="both"/>
    </w:pPr>
    <w:rPr>
      <w:b/>
      <w:i/>
      <w:iCs/>
      <w:kern w:val="2"/>
      <w:sz w:val="24"/>
      <w:szCs w:val="24"/>
      <w:lang w:eastAsia="zh-CN"/>
    </w:rPr>
  </w:style>
  <w:style w:type="character" w:customStyle="1" w:styleId="subsubsectuibChar">
    <w:name w:val="subsubsectuib Char"/>
    <w:basedOn w:val="DefaultParagraphFont"/>
    <w:link w:val="subsubsectuib"/>
    <w:rsid w:val="0064244E"/>
    <w:rPr>
      <w:rFonts w:asciiTheme="majorHAnsi" w:eastAsiaTheme="majorEastAsia" w:hAnsiTheme="majorHAnsi" w:cstheme="majorBidi"/>
      <w:b/>
      <w:i/>
      <w:iCs/>
      <w:color w:val="272727" w:themeColor="text1" w:themeTint="D8"/>
      <w:kern w:val="2"/>
      <w:sz w:val="24"/>
      <w:szCs w:val="24"/>
      <w:lang w:eastAsia="zh-CN"/>
    </w:rPr>
  </w:style>
  <w:style w:type="character" w:customStyle="1" w:styleId="Heading8Char">
    <w:name w:val="Heading 8 Char"/>
    <w:basedOn w:val="DefaultParagraphFont"/>
    <w:link w:val="Heading8"/>
    <w:uiPriority w:val="9"/>
    <w:semiHidden/>
    <w:rsid w:val="0064244E"/>
    <w:rPr>
      <w:rFonts w:asciiTheme="majorHAnsi" w:eastAsiaTheme="majorEastAsia" w:hAnsiTheme="majorHAnsi" w:cstheme="majorBidi"/>
      <w:color w:val="272727" w:themeColor="text1" w:themeTint="D8"/>
      <w:sz w:val="21"/>
      <w:szCs w:val="21"/>
    </w:rPr>
  </w:style>
  <w:style w:type="character" w:styleId="LineNumber">
    <w:name w:val="line number"/>
    <w:basedOn w:val="DefaultParagraphFont"/>
    <w:uiPriority w:val="99"/>
    <w:semiHidden/>
    <w:unhideWhenUsed/>
    <w:rsid w:val="00652E9E"/>
  </w:style>
  <w:style w:type="paragraph" w:styleId="Header">
    <w:name w:val="header"/>
    <w:basedOn w:val="Normal"/>
    <w:link w:val="HeaderChar"/>
    <w:uiPriority w:val="99"/>
    <w:unhideWhenUsed/>
    <w:rsid w:val="00652E9E"/>
    <w:pPr>
      <w:tabs>
        <w:tab w:val="center" w:pos="4320"/>
        <w:tab w:val="right" w:pos="8640"/>
      </w:tabs>
      <w:spacing w:after="0" w:line="240" w:lineRule="auto"/>
    </w:pPr>
  </w:style>
  <w:style w:type="character" w:customStyle="1" w:styleId="HeaderChar">
    <w:name w:val="Header Char"/>
    <w:basedOn w:val="DefaultParagraphFont"/>
    <w:link w:val="Header"/>
    <w:uiPriority w:val="99"/>
    <w:rsid w:val="00652E9E"/>
  </w:style>
  <w:style w:type="paragraph" w:styleId="Footer">
    <w:name w:val="footer"/>
    <w:basedOn w:val="Normal"/>
    <w:link w:val="FooterChar"/>
    <w:uiPriority w:val="99"/>
    <w:unhideWhenUsed/>
    <w:rsid w:val="00652E9E"/>
    <w:pPr>
      <w:tabs>
        <w:tab w:val="center" w:pos="4320"/>
        <w:tab w:val="right" w:pos="8640"/>
      </w:tabs>
      <w:spacing w:after="0" w:line="240" w:lineRule="auto"/>
    </w:pPr>
  </w:style>
  <w:style w:type="character" w:customStyle="1" w:styleId="FooterChar">
    <w:name w:val="Footer Char"/>
    <w:basedOn w:val="DefaultParagraphFont"/>
    <w:link w:val="Footer"/>
    <w:uiPriority w:val="99"/>
    <w:rsid w:val="00652E9E"/>
  </w:style>
  <w:style w:type="paragraph" w:styleId="CommentSubject">
    <w:name w:val="annotation subject"/>
    <w:basedOn w:val="CommentText"/>
    <w:next w:val="CommentText"/>
    <w:link w:val="CommentSubjectChar"/>
    <w:uiPriority w:val="99"/>
    <w:semiHidden/>
    <w:unhideWhenUsed/>
    <w:rsid w:val="00965CEF"/>
    <w:pPr>
      <w:widowControl/>
      <w:spacing w:after="160" w:line="240" w:lineRule="auto"/>
      <w:jc w:val="left"/>
    </w:pPr>
    <w:rPr>
      <w:rFonts w:asciiTheme="minorHAnsi" w:eastAsiaTheme="minorEastAsia" w:hAnsiTheme="minorHAnsi" w:cstheme="minorBidi"/>
      <w:b/>
      <w:bCs/>
      <w:kern w:val="0"/>
      <w:sz w:val="20"/>
      <w:szCs w:val="20"/>
      <w:lang w:eastAsia="zh-TW"/>
    </w:rPr>
  </w:style>
  <w:style w:type="character" w:customStyle="1" w:styleId="CommentSubjectChar">
    <w:name w:val="Comment Subject Char"/>
    <w:basedOn w:val="CommentTextChar"/>
    <w:link w:val="CommentSubject"/>
    <w:uiPriority w:val="99"/>
    <w:semiHidden/>
    <w:rsid w:val="00965CEF"/>
    <w:rPr>
      <w:rFonts w:ascii="Calibri" w:eastAsia="SimSun" w:hAnsi="Calibri" w:cs="SimSu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D407A-7F53-465F-8606-ECDD65788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13117</Words>
  <Characters>74773</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2017-11-20T14:46:00Z</cp:lastPrinted>
  <dcterms:created xsi:type="dcterms:W3CDTF">2018-02-04T03:24:00Z</dcterms:created>
  <dcterms:modified xsi:type="dcterms:W3CDTF">2018-02-04T03:27:00Z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3fc677b1-b6b8-310d-9bf4-784879f4c527</vt:lpwstr>
  </property>
  <property fmtid="{D5CDD505-2E9C-101B-9397-08002B2CF9AE}" pid="4" name="Mendeley Citation Style_1">
    <vt:lpwstr>http://www.zotero.org/styles/bmc-evolutionary-biology</vt:lpwstr>
  </property>
  <property fmtid="{D5CDD505-2E9C-101B-9397-08002B2CF9AE}" pid="5" name="Mendeley Recent Style Id 0_1">
    <vt:lpwstr>http://www.zotero.org/styles/american-sociological-association</vt:lpwstr>
  </property>
  <property fmtid="{D5CDD505-2E9C-101B-9397-08002B2CF9AE}" pid="6" name="Mendeley Recent Style Name 0_1">
    <vt:lpwstr>American Sociological Association</vt:lpwstr>
  </property>
  <property fmtid="{D5CDD505-2E9C-101B-9397-08002B2CF9AE}" pid="7" name="Mendeley Recent Style Id 1_1">
    <vt:lpwstr>http://www.zotero.org/styles/bmc-evolutionary-biology</vt:lpwstr>
  </property>
  <property fmtid="{D5CDD505-2E9C-101B-9397-08002B2CF9AE}" pid="8" name="Mendeley Recent Style Name 1_1">
    <vt:lpwstr>BMC Evolutionary Biology</vt:lpwstr>
  </property>
  <property fmtid="{D5CDD505-2E9C-101B-9397-08002B2CF9AE}" pid="9" name="Mendeley Recent Style Id 2_1">
    <vt:lpwstr>http://www.zotero.org/styles/biomed-central</vt:lpwstr>
  </property>
  <property fmtid="{D5CDD505-2E9C-101B-9397-08002B2CF9AE}" pid="10" name="Mendeley Recent Style Name 2_1">
    <vt:lpwstr>BioMed Central</vt:lpwstr>
  </property>
  <property fmtid="{D5CDD505-2E9C-101B-9397-08002B2CF9AE}" pid="11" name="Mendeley Recent Style Id 3_1">
    <vt:lpwstr>http://csl.mendeley.com/styles/482276961/biomed-central</vt:lpwstr>
  </property>
  <property fmtid="{D5CDD505-2E9C-101B-9397-08002B2CF9AE}" pid="12" name="Mendeley Recent Style Name 3_1">
    <vt:lpwstr>BioMed Central - Hoi Yee Chu</vt:lpwstr>
  </property>
  <property fmtid="{D5CDD505-2E9C-101B-9397-08002B2CF9AE}" pid="13" name="Mendeley Recent Style Id 4_1">
    <vt:lpwstr>http://www.zotero.org/styles/biomed-research-international</vt:lpwstr>
  </property>
  <property fmtid="{D5CDD505-2E9C-101B-9397-08002B2CF9AE}" pid="14" name="Mendeley Recent Style Name 4_1">
    <vt:lpwstr>BioMed Research International</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16th edition (author-date)</vt:lpwstr>
  </property>
  <property fmtid="{D5CDD505-2E9C-101B-9397-08002B2CF9AE}" pid="17" name="Mendeley Recent Style Id 6_1">
    <vt:lpwstr>http://www.zotero.org/styles/chicago-note-bibliography</vt:lpwstr>
  </property>
  <property fmtid="{D5CDD505-2E9C-101B-9397-08002B2CF9AE}" pid="18" name="Mendeley Recent Style Name 6_1">
    <vt:lpwstr>Chicago Manual of Style 16th edition (note)</vt:lpwstr>
  </property>
  <property fmtid="{D5CDD505-2E9C-101B-9397-08002B2CF9AE}" pid="19" name="Mendeley Recent Style Id 7_1">
    <vt:lpwstr>http://www.zotero.org/styles/harvard-cite-them-right</vt:lpwstr>
  </property>
  <property fmtid="{D5CDD505-2E9C-101B-9397-08002B2CF9AE}" pid="20" name="Mendeley Recent Style Name 7_1">
    <vt:lpwstr>Cite Them Right 10th edition - Harvard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http://www.zotero.org/styles/modern-humanities-research-association</vt:lpwstr>
  </property>
  <property fmtid="{D5CDD505-2E9C-101B-9397-08002B2CF9AE}" pid="24" name="Mendeley Recent Style Name 9_1">
    <vt:lpwstr>Modern Humanities Research Association 3rd edition (note with bibliography)</vt:lpwstr>
  </property>
  <property fmtid="{D5CDD505-2E9C-101B-9397-08002B2CF9AE}" pid="25" name="Mendeley User Name_1">
    <vt:lpwstr>athena.chu@ieu.uzh.ch@www.mendeley.com</vt:lpwstr>
  </property>
</Properties>
</file>