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AA84AE" w14:textId="4D3EED44" w:rsidR="006F4934" w:rsidRPr="001F3904" w:rsidRDefault="00484067">
      <w:pPr>
        <w:rPr>
          <w:rFonts w:ascii="Times New Roman" w:hAnsi="Times New Roman" w:cs="Times New Roman"/>
          <w:b/>
          <w:sz w:val="24"/>
          <w:szCs w:val="24"/>
          <w:lang w:val="en-GB"/>
        </w:rPr>
      </w:pPr>
      <w:r w:rsidRPr="001F3904">
        <w:rPr>
          <w:rFonts w:ascii="Times New Roman" w:hAnsi="Times New Roman" w:cs="Times New Roman"/>
          <w:b/>
          <w:sz w:val="24"/>
          <w:szCs w:val="24"/>
          <w:lang w:val="en-GB"/>
        </w:rPr>
        <w:t xml:space="preserve">Additional File </w:t>
      </w:r>
      <w:r w:rsidR="0037796A">
        <w:rPr>
          <w:rFonts w:ascii="Times New Roman" w:hAnsi="Times New Roman" w:cs="Times New Roman"/>
          <w:b/>
          <w:sz w:val="24"/>
          <w:szCs w:val="24"/>
          <w:lang w:val="en-GB"/>
        </w:rPr>
        <w:t>8</w:t>
      </w:r>
      <w:r w:rsidR="00657A78">
        <w:rPr>
          <w:rFonts w:ascii="Times New Roman" w:hAnsi="Times New Roman" w:cs="Times New Roman"/>
          <w:b/>
          <w:sz w:val="24"/>
          <w:szCs w:val="24"/>
          <w:lang w:val="en-GB"/>
        </w:rPr>
        <w:t>:</w:t>
      </w:r>
      <w:r w:rsidRPr="001F3904">
        <w:rPr>
          <w:rFonts w:ascii="Times New Roman" w:hAnsi="Times New Roman" w:cs="Times New Roman"/>
          <w:b/>
          <w:sz w:val="24"/>
          <w:szCs w:val="24"/>
          <w:lang w:val="en-GB"/>
        </w:rPr>
        <w:t xml:space="preserve"> Additional </w:t>
      </w:r>
      <w:r w:rsidR="00657A78">
        <w:rPr>
          <w:rFonts w:ascii="Times New Roman" w:hAnsi="Times New Roman" w:cs="Times New Roman"/>
          <w:b/>
          <w:sz w:val="24"/>
          <w:szCs w:val="24"/>
          <w:lang w:val="en-GB"/>
        </w:rPr>
        <w:t>r</w:t>
      </w:r>
      <w:r w:rsidR="00DB78DA">
        <w:rPr>
          <w:rFonts w:ascii="Times New Roman" w:hAnsi="Times New Roman" w:cs="Times New Roman"/>
          <w:b/>
          <w:sz w:val="24"/>
          <w:szCs w:val="24"/>
          <w:lang w:val="en-GB"/>
        </w:rPr>
        <w:t>esults</w:t>
      </w:r>
    </w:p>
    <w:p w14:paraId="29B0FC1A" w14:textId="77777777" w:rsidR="00484067" w:rsidRPr="001F3904" w:rsidRDefault="00484067">
      <w:pPr>
        <w:rPr>
          <w:rFonts w:ascii="Times New Roman" w:hAnsi="Times New Roman" w:cs="Times New Roman"/>
          <w:b/>
          <w:sz w:val="24"/>
          <w:szCs w:val="24"/>
          <w:lang w:val="en-GB"/>
        </w:rPr>
      </w:pPr>
    </w:p>
    <w:p w14:paraId="05C432B6" w14:textId="77777777" w:rsidR="00DB78DA" w:rsidRPr="008557E2" w:rsidRDefault="00DB78DA" w:rsidP="008557E2">
      <w:pPr>
        <w:spacing w:line="480" w:lineRule="auto"/>
        <w:jc w:val="both"/>
        <w:rPr>
          <w:rFonts w:ascii="Times New Roman" w:hAnsi="Times New Roman"/>
          <w:b/>
          <w:sz w:val="24"/>
          <w:szCs w:val="24"/>
          <w:lang w:val="en-GB"/>
        </w:rPr>
      </w:pPr>
      <w:r>
        <w:rPr>
          <w:rFonts w:ascii="Times New Roman" w:hAnsi="Times New Roman"/>
          <w:b/>
          <w:sz w:val="24"/>
          <w:szCs w:val="24"/>
          <w:lang w:val="en-GB"/>
        </w:rPr>
        <w:t>Outlier annotation</w:t>
      </w:r>
    </w:p>
    <w:p w14:paraId="52DA2B9C" w14:textId="77777777" w:rsidR="000E3BBA" w:rsidRDefault="00DB78DA" w:rsidP="00DB78DA">
      <w:pPr>
        <w:spacing w:after="0" w:line="480" w:lineRule="auto"/>
        <w:jc w:val="both"/>
        <w:rPr>
          <w:rFonts w:ascii="Times New Roman" w:eastAsia="Times New Roman" w:hAnsi="Times New Roman" w:cs="Times New Roman"/>
          <w:sz w:val="24"/>
          <w:szCs w:val="24"/>
          <w:lang w:val="en-US" w:eastAsia="de-DE"/>
        </w:rPr>
      </w:pPr>
      <w:r w:rsidRPr="00DB78DA">
        <w:rPr>
          <w:rFonts w:ascii="Times New Roman" w:hAnsi="Times New Roman"/>
          <w:sz w:val="24"/>
          <w:szCs w:val="24"/>
          <w:lang w:val="en-US"/>
        </w:rPr>
        <w:t xml:space="preserve">From the 1,119 unique outliers identified with either PCADAPT or from the empirical </w:t>
      </w:r>
      <w:r w:rsidRPr="00DB78DA">
        <w:rPr>
          <w:rFonts w:ascii="Times New Roman" w:hAnsi="Times New Roman"/>
          <w:i/>
          <w:sz w:val="24"/>
          <w:szCs w:val="24"/>
          <w:lang w:val="en-US"/>
        </w:rPr>
        <w:t>F</w:t>
      </w:r>
      <w:r w:rsidRPr="00DB78DA">
        <w:rPr>
          <w:rFonts w:ascii="Times New Roman" w:hAnsi="Times New Roman"/>
          <w:sz w:val="24"/>
          <w:szCs w:val="24"/>
          <w:vertAlign w:val="subscript"/>
          <w:lang w:val="en-US"/>
        </w:rPr>
        <w:t>ST</w:t>
      </w:r>
      <w:r w:rsidRPr="00DB78DA">
        <w:rPr>
          <w:rFonts w:ascii="Times New Roman" w:hAnsi="Times New Roman"/>
          <w:sz w:val="24"/>
          <w:szCs w:val="24"/>
          <w:lang w:val="en-US"/>
        </w:rPr>
        <w:t xml:space="preserve"> distribution approach, we obtained a blast hit for 126 outlier RAD-tags (12%) in both pool </w:t>
      </w:r>
      <w:r w:rsidR="00BF654A">
        <w:rPr>
          <w:rFonts w:ascii="Times New Roman" w:hAnsi="Times New Roman"/>
          <w:sz w:val="24"/>
          <w:szCs w:val="24"/>
          <w:lang w:val="en-US"/>
        </w:rPr>
        <w:t xml:space="preserve">data </w:t>
      </w:r>
      <w:r w:rsidRPr="00DB78DA">
        <w:rPr>
          <w:rFonts w:ascii="Times New Roman" w:hAnsi="Times New Roman"/>
          <w:sz w:val="24"/>
          <w:szCs w:val="24"/>
          <w:lang w:val="en-US"/>
        </w:rPr>
        <w:t>sets (</w:t>
      </w:r>
      <w:r w:rsidR="00BF654A">
        <w:rPr>
          <w:rFonts w:ascii="Times New Roman" w:hAnsi="Times New Roman"/>
          <w:i/>
          <w:sz w:val="24"/>
          <w:szCs w:val="24"/>
          <w:lang w:val="en-US"/>
        </w:rPr>
        <w:t xml:space="preserve">population pools </w:t>
      </w:r>
      <w:r w:rsidR="00BF654A">
        <w:rPr>
          <w:rFonts w:ascii="Times New Roman" w:hAnsi="Times New Roman"/>
          <w:sz w:val="24"/>
          <w:szCs w:val="24"/>
          <w:lang w:val="en-US"/>
        </w:rPr>
        <w:t xml:space="preserve">and </w:t>
      </w:r>
      <w:r w:rsidR="00BF654A">
        <w:rPr>
          <w:rFonts w:ascii="Times New Roman" w:hAnsi="Times New Roman"/>
          <w:i/>
          <w:sz w:val="24"/>
          <w:szCs w:val="24"/>
          <w:lang w:val="en-US"/>
        </w:rPr>
        <w:t xml:space="preserve">leg </w:t>
      </w:r>
      <w:r w:rsidR="00BF654A" w:rsidRPr="00657A78">
        <w:rPr>
          <w:rFonts w:ascii="Times New Roman" w:hAnsi="Times New Roman"/>
          <w:sz w:val="24"/>
          <w:szCs w:val="24"/>
          <w:lang w:val="en-US"/>
        </w:rPr>
        <w:t>pools</w:t>
      </w:r>
      <w:r w:rsidR="00BF654A">
        <w:rPr>
          <w:rFonts w:ascii="Times New Roman" w:hAnsi="Times New Roman"/>
          <w:sz w:val="24"/>
          <w:szCs w:val="24"/>
          <w:lang w:val="en-US"/>
        </w:rPr>
        <w:t xml:space="preserve">; </w:t>
      </w:r>
      <w:r w:rsidRPr="00BF654A">
        <w:rPr>
          <w:rFonts w:ascii="Times New Roman" w:hAnsi="Times New Roman"/>
          <w:sz w:val="24"/>
          <w:szCs w:val="24"/>
          <w:lang w:val="en-US"/>
        </w:rPr>
        <w:t>see</w:t>
      </w:r>
      <w:r w:rsidRPr="00DB78DA">
        <w:rPr>
          <w:rFonts w:ascii="Times New Roman" w:hAnsi="Times New Roman"/>
          <w:sz w:val="24"/>
          <w:szCs w:val="24"/>
          <w:lang w:val="en-US"/>
        </w:rPr>
        <w:t xml:space="preserve"> </w:t>
      </w:r>
      <w:r>
        <w:rPr>
          <w:rFonts w:ascii="Times New Roman" w:hAnsi="Times New Roman"/>
          <w:sz w:val="24"/>
          <w:szCs w:val="24"/>
          <w:lang w:val="en-US"/>
        </w:rPr>
        <w:t>Table 1</w:t>
      </w:r>
      <w:r w:rsidRPr="00DB78DA">
        <w:rPr>
          <w:rFonts w:ascii="Times New Roman" w:hAnsi="Times New Roman"/>
          <w:sz w:val="24"/>
          <w:szCs w:val="24"/>
          <w:lang w:val="en-US"/>
        </w:rPr>
        <w:t xml:space="preserve"> </w:t>
      </w:r>
      <w:r>
        <w:rPr>
          <w:rFonts w:ascii="Times New Roman" w:hAnsi="Times New Roman"/>
          <w:sz w:val="24"/>
          <w:szCs w:val="24"/>
          <w:lang w:val="en-US"/>
        </w:rPr>
        <w:t>below</w:t>
      </w:r>
      <w:r w:rsidRPr="00DB78DA">
        <w:rPr>
          <w:rFonts w:ascii="Times New Roman" w:hAnsi="Times New Roman"/>
          <w:sz w:val="24"/>
          <w:szCs w:val="24"/>
          <w:lang w:val="en-US"/>
        </w:rPr>
        <w:t xml:space="preserve">). Among these 126 outliers we also identified candidate loci for FLL regulation such as the </w:t>
      </w:r>
      <w:proofErr w:type="spellStart"/>
      <w:r w:rsidRPr="00DB78DA">
        <w:rPr>
          <w:rFonts w:ascii="Times New Roman" w:hAnsi="Times New Roman"/>
          <w:sz w:val="24"/>
          <w:szCs w:val="24"/>
          <w:lang w:val="en-US"/>
        </w:rPr>
        <w:t>Hox</w:t>
      </w:r>
      <w:proofErr w:type="spellEnd"/>
      <w:r w:rsidRPr="00DB78DA">
        <w:rPr>
          <w:rFonts w:ascii="Times New Roman" w:hAnsi="Times New Roman"/>
          <w:sz w:val="24"/>
          <w:szCs w:val="24"/>
          <w:lang w:val="en-US"/>
        </w:rPr>
        <w:t xml:space="preserve"> gene </w:t>
      </w:r>
      <w:r w:rsidRPr="00DB78DA">
        <w:rPr>
          <w:rFonts w:ascii="Times New Roman" w:hAnsi="Times New Roman"/>
          <w:i/>
          <w:sz w:val="24"/>
          <w:szCs w:val="24"/>
          <w:lang w:val="en-US"/>
        </w:rPr>
        <w:t>Sex combs reduced</w:t>
      </w:r>
      <w:r w:rsidRPr="00DB78DA">
        <w:rPr>
          <w:rFonts w:ascii="Times New Roman" w:hAnsi="Times New Roman"/>
          <w:sz w:val="24"/>
          <w:szCs w:val="24"/>
          <w:lang w:val="en-US"/>
        </w:rPr>
        <w:t xml:space="preserve"> (</w:t>
      </w:r>
      <w:proofErr w:type="spellStart"/>
      <w:r w:rsidRPr="00DB78DA">
        <w:rPr>
          <w:rFonts w:ascii="Times New Roman" w:hAnsi="Times New Roman"/>
          <w:i/>
          <w:sz w:val="24"/>
          <w:szCs w:val="24"/>
          <w:lang w:val="en-US"/>
        </w:rPr>
        <w:t>Scr</w:t>
      </w:r>
      <w:proofErr w:type="spellEnd"/>
      <w:r w:rsidRPr="00DB78DA">
        <w:rPr>
          <w:rFonts w:ascii="Times New Roman" w:hAnsi="Times New Roman"/>
          <w:sz w:val="24"/>
          <w:szCs w:val="24"/>
          <w:lang w:val="en-US"/>
        </w:rPr>
        <w:t>), 12 other transcription factors and five genes involved in the regulation of transcription or cell division/DNA replication (see Additional file 10</w:t>
      </w:r>
      <w:r w:rsidRPr="00DB78DA">
        <w:rPr>
          <w:rFonts w:ascii="Times New Roman" w:eastAsia="Times New Roman" w:hAnsi="Times New Roman" w:cs="Times New Roman"/>
          <w:sz w:val="24"/>
          <w:szCs w:val="24"/>
          <w:lang w:val="en-US" w:eastAsia="de-DE"/>
        </w:rPr>
        <w:t xml:space="preserve">). </w:t>
      </w:r>
      <w:r w:rsidR="000E3BBA">
        <w:rPr>
          <w:rFonts w:ascii="Times New Roman" w:eastAsia="Times New Roman" w:hAnsi="Times New Roman" w:cs="Times New Roman"/>
          <w:sz w:val="24"/>
          <w:szCs w:val="24"/>
          <w:lang w:val="en-US" w:eastAsia="de-DE"/>
        </w:rPr>
        <w:t xml:space="preserve"> </w:t>
      </w:r>
    </w:p>
    <w:p w14:paraId="16C7E20E" w14:textId="77777777" w:rsidR="005B1DE0" w:rsidRDefault="005B1DE0" w:rsidP="00DB78DA">
      <w:pPr>
        <w:spacing w:after="0" w:line="480" w:lineRule="auto"/>
        <w:jc w:val="both"/>
        <w:rPr>
          <w:rFonts w:ascii="Times New Roman" w:eastAsia="Times New Roman" w:hAnsi="Times New Roman" w:cs="Times New Roman"/>
          <w:sz w:val="24"/>
          <w:szCs w:val="24"/>
          <w:lang w:val="en-US" w:eastAsia="de-DE"/>
        </w:rPr>
      </w:pPr>
    </w:p>
    <w:p w14:paraId="0D37F986" w14:textId="380D851F" w:rsidR="000E3BBA" w:rsidRDefault="000E3BBA" w:rsidP="000E3BBA">
      <w:pPr>
        <w:spacing w:after="0" w:line="480" w:lineRule="auto"/>
        <w:jc w:val="both"/>
        <w:rPr>
          <w:rFonts w:ascii="Times New Roman" w:hAnsi="Times New Roman"/>
          <w:sz w:val="24"/>
          <w:szCs w:val="24"/>
          <w:lang w:val="en-US"/>
        </w:rPr>
      </w:pPr>
      <w:r>
        <w:rPr>
          <w:rFonts w:ascii="Times New Roman" w:eastAsia="Times New Roman" w:hAnsi="Times New Roman"/>
          <w:sz w:val="24"/>
          <w:szCs w:val="24"/>
          <w:lang w:val="en-US" w:eastAsia="de-DE"/>
        </w:rPr>
        <w:t>I</w:t>
      </w:r>
      <w:r w:rsidRPr="000E3BBA">
        <w:rPr>
          <w:rFonts w:ascii="Times New Roman" w:eastAsia="Times New Roman" w:hAnsi="Times New Roman"/>
          <w:sz w:val="24"/>
          <w:szCs w:val="24"/>
          <w:lang w:val="en-US" w:eastAsia="de-DE"/>
        </w:rPr>
        <w:t xml:space="preserve">n most insect taxa </w:t>
      </w:r>
      <w:r>
        <w:rPr>
          <w:rFonts w:ascii="Times New Roman" w:eastAsia="Times New Roman" w:hAnsi="Times New Roman"/>
          <w:sz w:val="24"/>
          <w:szCs w:val="24"/>
          <w:lang w:val="en-US" w:eastAsia="de-DE"/>
        </w:rPr>
        <w:t>t</w:t>
      </w:r>
      <w:r w:rsidRPr="000E3BBA">
        <w:rPr>
          <w:rFonts w:ascii="Times New Roman" w:eastAsia="Times New Roman" w:hAnsi="Times New Roman"/>
          <w:sz w:val="24"/>
          <w:szCs w:val="24"/>
          <w:lang w:val="en-US" w:eastAsia="de-DE"/>
        </w:rPr>
        <w:t xml:space="preserve">he expression of </w:t>
      </w:r>
      <w:proofErr w:type="spellStart"/>
      <w:r w:rsidRPr="000E3BBA">
        <w:rPr>
          <w:rFonts w:ascii="Times New Roman" w:eastAsia="Times New Roman" w:hAnsi="Times New Roman"/>
          <w:i/>
          <w:sz w:val="24"/>
          <w:szCs w:val="24"/>
          <w:lang w:val="en-US" w:eastAsia="de-DE"/>
        </w:rPr>
        <w:t>Scr</w:t>
      </w:r>
      <w:proofErr w:type="spellEnd"/>
      <w:r w:rsidRPr="000E3BBA">
        <w:rPr>
          <w:rFonts w:ascii="Times New Roman" w:eastAsia="Times New Roman" w:hAnsi="Times New Roman"/>
          <w:sz w:val="24"/>
          <w:szCs w:val="24"/>
          <w:lang w:val="en-US" w:eastAsia="de-DE"/>
        </w:rPr>
        <w:t xml:space="preserve"> is needed to su</w:t>
      </w:r>
      <w:r w:rsidR="00BF654A">
        <w:rPr>
          <w:rFonts w:ascii="Times New Roman" w:eastAsia="Times New Roman" w:hAnsi="Times New Roman"/>
          <w:sz w:val="24"/>
          <w:szCs w:val="24"/>
          <w:lang w:val="en-US" w:eastAsia="de-DE"/>
        </w:rPr>
        <w:t>p</w:t>
      </w:r>
      <w:r w:rsidRPr="000E3BBA">
        <w:rPr>
          <w:rFonts w:ascii="Times New Roman" w:eastAsia="Times New Roman" w:hAnsi="Times New Roman"/>
          <w:sz w:val="24"/>
          <w:szCs w:val="24"/>
          <w:lang w:val="en-US" w:eastAsia="de-DE"/>
        </w:rPr>
        <w:t xml:space="preserve">press wing development and to establish the identity of legs in the first thoracic segment </w:t>
      </w:r>
      <w:r>
        <w:rPr>
          <w:rFonts w:ascii="Times New Roman" w:eastAsia="Times New Roman" w:hAnsi="Times New Roman"/>
          <w:sz w:val="24"/>
          <w:szCs w:val="24"/>
          <w:lang w:eastAsia="de-DE"/>
        </w:rPr>
        <w:fldChar w:fldCharType="begin" w:fldLock="1"/>
      </w:r>
      <w:r w:rsidRPr="000E3BBA">
        <w:rPr>
          <w:rFonts w:ascii="Times New Roman" w:eastAsia="Times New Roman" w:hAnsi="Times New Roman"/>
          <w:sz w:val="24"/>
          <w:szCs w:val="24"/>
          <w:lang w:val="en-US" w:eastAsia="de-DE"/>
        </w:rPr>
        <w:instrText>ADDIN CSL_CITATION { "citationItems" : [ { "id" : "ITEM-1", "itemData" : { "DOI" : "10.1073/pnas.79.23.7380", "ISSN" : "0027-8424", "PMID" : "6961417", "abstract" : "The roles of three homeotic genes, Ubx+, Scr+, and Antp+, in the Drosophila thorax have been studied by determining the cellular phenotypes of mutations resulting in loss of gene function. The principal results are: (i) The Scr+ and Ubx+ genes are required in the prothorax and metathorax, respectively; in the absence of these genes, both segments develop like the mesothorax. (ii) The Antp+ gene is required in all three thoracic segments: in its absence, parts of the mesothorax are transformed into corresponding parts of the antenna, and similar transformations to antenna are found in the prothorax and metathorax if the Scr+ and Ubx+ genes also are absent. (iii) Loss of the Ubx+ gene early in embryogenesis, but not later, leads to the inappropriate activity of the Scr+ gene in the meso- and metathorax. Results i and ii argue strongly that segmental determination is specified in a combinatorial fashion in the head and thorax by the selective activities of the Scr+, Ubx+, Antp+, and putative head-determining genes. Result iii suggests that a product of the Ubx+ gene also plays an early, regulatory role in ensuring the correct spatial expression of the Scr+ gene during subsequent development.", "author" : [ { "dropping-particle" : "", "family" : "Struhl", "given" : "G", "non-dropping-particle" : "", "parse-names" : false, "suffix" : "" } ], "container-title" : "Proceedings of the National Academy of Sciences of the United States of America", "id" : "ITEM-1", "issue" : "23", "issued" : { "date-parts" : [ [ "1982" ] ] }, "page" : "7380-4", "title" : "Genes controlling segmental specification in the &lt;i&gt;Drosophila&lt;/i&gt; thorax.", "type" : "article-journal", "volume" : "79" }, "uris" : [ "http://www.mendeley.com/documents/?uuid=541c54a0-a23f-4cce-867b-02d9c179dc1d" ] }, { "id" : "ITEM-2", "itemData" : { "DOI" : "10.1016/j.ydbio.2014.08.017", "ISBN" : "0012-1606", "ISSN" : "1095564X", "PMID" : "25195194", "abstract" : "The establishment of segment identity is a key developmental process that allows for divergence along the anteroposterior body axis in arthropods. In Drosophila, the identity of a segment is determined by the complement of Hox genes it expresses. In many contexts, Hox transcription factors require the protein products of extradenticle (exd) and homothorax (hth) as cofactors to perform their identity specification functions. In holometabolous insects, segment identity may be specified twice, during embryogenesis and metamorphosis. To glean insight into the relationship between embryonic and metamorphic segmental identity specification, we have compared these processes in the flour beetle Tribolium castaneum, which develops ventral appe</w:instrText>
      </w:r>
      <w:r>
        <w:rPr>
          <w:rFonts w:ascii="Times New Roman" w:eastAsia="Times New Roman" w:hAnsi="Times New Roman"/>
          <w:sz w:val="24"/>
          <w:szCs w:val="24"/>
          <w:lang w:eastAsia="de-DE"/>
        </w:rPr>
        <w:instrText>ndages during embryogenesis that later metamorphose into adult appendages with distinct morphologies. At metamorphosis, comparisons of RNAi phenotypes indicate that Hox genes function jointly with Tc-hth and Tc-exd to specify several region-specific aspects of the adult body wall. On the other hand, Hox genes specify appendage identities along the anteroposterior axis independently of Tc-hth/. Tc-exd and Tc-hth/. Tc-exd specify proximal vs. distal identity within appendages independently of Hox genes during this stage. During embryogenesis, Tc-hth and Tc-exd play a broad role in the segmentation process and are required for specification of body wall identities in the thorax; however, contrasting with results from other species, we did not obtain homeotic transformations of embryonic appendages in response to Tc-hth or Tc-exd RNAi. In general, the homeotic effects of interference with the function of Hox genes and Tc-hth/. Tc-exd during metamorphosis did not match predictions based on embryonic roles of these genes. Comparing metamorphic patterning in T. castaneum to embryonic and post-embryonic development in hemimetabolous insects suggests that holometabolous metamorphosis combines patterning processes of both late embryogenesis and metamorphosis of the hemimetabolous life cycle.", "author" : [ { "dropping-particle" : "", "family" : "Smith", "given" : "Frank W.", "non-dropping-particle" : "", "parse-names" : false, "suffix" : "" }, { "dropping-particle" : "", "family" : "Jockusch", "given" : "Elizabeth L.", "non-dropping-particle" : "", "parse-names" : false, "suffix" : "" } ], "container-title" : "Developmental Biology", "id" : "ITEM-2", "issue" : "1", "issued" : { "date-parts" : [ [ "2014" ] ] }, "page" : "182-197", "title" : "Hox genes require homothorax and extradenticle for body wall identity specification but not for appendage identity specification during metamorphosis of &lt;i&gt;Tribolium castaneum&lt;/i&gt;", "type" : "article-journal", "volume" : "395" }, "uris" : [ "http://www.mendeley.com/documents/?uuid=2088ec98-6862-4e8d-9b1e-2fc1612a9988" ] }, { "id" : "ITEM-3", "itemData" : { "author" : [ { "dropping-particle" : "", "family" : "Rogers", "given" : "Bryan T", "non-dropping-particle" : "", "parse-names" : false, "suffix" : "" }, { "dropping-particle" : "", "family" : "Peterson", "given" : "Michael D", "non-dropping-particle" : "", "parse-names" : false, "suffix" : "" }, { "dropping-particle" : "", "family" : "Kaufman", "given" : "Thomas C", "non-dropping-particle" : "", "parse-names" : false, "suffix" : "" } ], "id" : "ITEM-3", "issue" : "1", "issued" : { "date-parts" : [ [ "1997" ] ] }, "page" : "149-157", "title" : "Evolution of the insect body plan as revealed</w:instrText>
      </w:r>
      <w:r w:rsidRPr="000E3BBA">
        <w:rPr>
          <w:rFonts w:ascii="Times New Roman" w:eastAsia="Times New Roman" w:hAnsi="Times New Roman"/>
          <w:sz w:val="24"/>
          <w:szCs w:val="24"/>
          <w:lang w:val="en-US" w:eastAsia="de-DE"/>
        </w:rPr>
        <w:instrText xml:space="preserve"> by the Sex combs reduced expression pattern", "type" : "article-journal", "volume" : "124" }, "uris" : [ "http://www.mendeley.com/documents/?uuid=e8ac03ae-dabd-426d-ba6d-9e55beeabdcd" ] }, { "id" : "ITEM-4", "itemData" : { "DOI" : "10.1016/j.ydbio.2005.08.010", "author" : [ { "dropping-particle" : "", "family" : "Angelini", "given" : "David R", "non-dropping-particle" : "", "parse-names" : false, "suffix" : "" }, { "dropping-particle" : "", "family" : "Liu", "given" : "Paul Z", "non-dropping-particle" : "", "parse-names" : false, "suffix" : "" }, { "dropping-particle" : "", "family" : "Hughes", "given" : "Cynthia L", "non-dropping-particle" : "", "parse-names" : false, "suffix" : "" }, { "dropping-particle" : "", "family" : "Kaufman", "given" : "Thomas C", "non-dropping-particle" : "", "parse-names" : false, "suffix" : "" } ], "container-title" : "Developmental Biology", "id" : "ITEM-4", "issue" : "2", "issued" : { "date-parts" : [ [ "2005" ] ] }, "page" : "440-455", "title" : "Hox gene function and interaction in the milkweed bug &lt;i&gt;Oncopeltus fasciatus&lt;/i&gt; (Hemiptera)", "type" : "article-journal", "volume" : "287" }, "uris" : [ "http://www.mendeley.com/documents/?uuid=952cf78f-934e-4454-aae1-2fe57af93ca6" ] } ], "mendeley" : { "formattedCitation" : "[73\u201376]", "plainTextFormattedCitation" : "[73\u201376]", "previouslyFormattedCitation" : "[73\u201376]" }, "properties" : {  }, "schema" : "https://github.com/citation-style-language/schema/raw/master/csl-citation.json" }</w:instrText>
      </w:r>
      <w:r>
        <w:rPr>
          <w:rFonts w:ascii="Times New Roman" w:eastAsia="Times New Roman" w:hAnsi="Times New Roman"/>
          <w:sz w:val="24"/>
          <w:szCs w:val="24"/>
          <w:lang w:eastAsia="de-DE"/>
        </w:rPr>
        <w:fldChar w:fldCharType="separate"/>
      </w:r>
      <w:r w:rsidRPr="000E3BBA">
        <w:rPr>
          <w:rFonts w:ascii="Times New Roman" w:eastAsia="Times New Roman" w:hAnsi="Times New Roman"/>
          <w:noProof/>
          <w:sz w:val="24"/>
          <w:szCs w:val="24"/>
          <w:lang w:val="en-US" w:eastAsia="de-DE"/>
        </w:rPr>
        <w:t>[73–76]</w:t>
      </w:r>
      <w:r>
        <w:rPr>
          <w:rFonts w:ascii="Times New Roman" w:eastAsia="Times New Roman" w:hAnsi="Times New Roman"/>
          <w:sz w:val="24"/>
          <w:szCs w:val="24"/>
          <w:lang w:eastAsia="de-DE"/>
        </w:rPr>
        <w:fldChar w:fldCharType="end"/>
      </w:r>
      <w:r w:rsidR="00BF654A">
        <w:rPr>
          <w:rFonts w:ascii="Times New Roman" w:eastAsia="Times New Roman" w:hAnsi="Times New Roman"/>
          <w:sz w:val="24"/>
          <w:szCs w:val="24"/>
          <w:lang w:val="en-US" w:eastAsia="de-DE"/>
        </w:rPr>
        <w:t>.</w:t>
      </w:r>
      <w:r w:rsidRPr="000E3BBA">
        <w:rPr>
          <w:rFonts w:ascii="Times New Roman" w:eastAsia="Times New Roman" w:hAnsi="Times New Roman"/>
          <w:sz w:val="24"/>
          <w:szCs w:val="24"/>
          <w:lang w:val="en-US" w:eastAsia="de-DE"/>
        </w:rPr>
        <w:t xml:space="preserve"> </w:t>
      </w:r>
      <w:r w:rsidR="00BF654A">
        <w:rPr>
          <w:rFonts w:ascii="Times New Roman" w:eastAsia="Times New Roman" w:hAnsi="Times New Roman"/>
          <w:sz w:val="24"/>
          <w:szCs w:val="24"/>
          <w:lang w:val="en-US" w:eastAsia="de-DE"/>
        </w:rPr>
        <w:t>B</w:t>
      </w:r>
      <w:r w:rsidRPr="000E3BBA">
        <w:rPr>
          <w:rFonts w:ascii="Times New Roman" w:eastAsia="Times New Roman" w:hAnsi="Times New Roman"/>
          <w:sz w:val="24"/>
          <w:szCs w:val="24"/>
          <w:lang w:val="en-US" w:eastAsia="de-DE"/>
        </w:rPr>
        <w:t xml:space="preserve">ut so far no role in </w:t>
      </w:r>
      <w:r w:rsidR="00BF654A">
        <w:rPr>
          <w:rFonts w:ascii="Times New Roman" w:eastAsia="Times New Roman" w:hAnsi="Times New Roman"/>
          <w:sz w:val="24"/>
          <w:szCs w:val="24"/>
          <w:lang w:val="en-US" w:eastAsia="de-DE"/>
        </w:rPr>
        <w:t xml:space="preserve">leg </w:t>
      </w:r>
      <w:r w:rsidRPr="000E3BBA">
        <w:rPr>
          <w:rFonts w:ascii="Times New Roman" w:eastAsia="Times New Roman" w:hAnsi="Times New Roman"/>
          <w:sz w:val="24"/>
          <w:szCs w:val="24"/>
          <w:lang w:val="en-US" w:eastAsia="de-DE"/>
        </w:rPr>
        <w:t xml:space="preserve">length regulation has been suggested for </w:t>
      </w:r>
      <w:r w:rsidRPr="000E3BBA">
        <w:rPr>
          <w:rFonts w:ascii="Times New Roman" w:eastAsia="Times New Roman" w:hAnsi="Times New Roman"/>
          <w:i/>
          <w:sz w:val="24"/>
          <w:szCs w:val="24"/>
          <w:lang w:val="en-US" w:eastAsia="de-DE"/>
        </w:rPr>
        <w:t>Scr</w:t>
      </w:r>
      <w:r w:rsidRPr="000E3BBA">
        <w:rPr>
          <w:rFonts w:ascii="Times New Roman" w:eastAsia="Times New Roman" w:hAnsi="Times New Roman"/>
          <w:sz w:val="24"/>
          <w:szCs w:val="24"/>
          <w:lang w:val="en-US" w:eastAsia="de-DE"/>
        </w:rPr>
        <w:t>.</w:t>
      </w:r>
      <w:r>
        <w:rPr>
          <w:rFonts w:ascii="Times New Roman" w:eastAsia="Times New Roman" w:hAnsi="Times New Roman"/>
          <w:sz w:val="24"/>
          <w:szCs w:val="24"/>
          <w:lang w:val="en-US" w:eastAsia="de-DE"/>
        </w:rPr>
        <w:t xml:space="preserve"> </w:t>
      </w:r>
      <w:r w:rsidRPr="000E3BBA">
        <w:rPr>
          <w:rFonts w:ascii="Times New Roman" w:hAnsi="Times New Roman"/>
          <w:sz w:val="24"/>
          <w:szCs w:val="24"/>
          <w:lang w:val="en-US"/>
        </w:rPr>
        <w:t xml:space="preserve">The </w:t>
      </w:r>
      <w:proofErr w:type="spellStart"/>
      <w:r w:rsidRPr="000E3BBA">
        <w:rPr>
          <w:rFonts w:ascii="Times New Roman" w:hAnsi="Times New Roman"/>
          <w:i/>
          <w:sz w:val="24"/>
          <w:szCs w:val="24"/>
          <w:lang w:val="en-US"/>
        </w:rPr>
        <w:t>Scr</w:t>
      </w:r>
      <w:proofErr w:type="spellEnd"/>
      <w:r w:rsidRPr="000E3BBA">
        <w:rPr>
          <w:rFonts w:ascii="Times New Roman" w:hAnsi="Times New Roman"/>
          <w:sz w:val="24"/>
          <w:szCs w:val="24"/>
          <w:lang w:val="en-US"/>
        </w:rPr>
        <w:t xml:space="preserve"> gene is a promising starting point for understanding the genetic architecture of FLL variation. However, </w:t>
      </w:r>
      <w:r w:rsidR="005B1DE0" w:rsidRPr="005B1DE0">
        <w:rPr>
          <w:rFonts w:ascii="Times New Roman" w:hAnsi="Times New Roman"/>
          <w:sz w:val="24"/>
          <w:szCs w:val="24"/>
          <w:lang w:val="en-US"/>
        </w:rPr>
        <w:t xml:space="preserve">the </w:t>
      </w:r>
      <w:proofErr w:type="spellStart"/>
      <w:r w:rsidR="005B1DE0" w:rsidRPr="005B1DE0">
        <w:rPr>
          <w:rFonts w:ascii="Times New Roman" w:hAnsi="Times New Roman"/>
          <w:i/>
          <w:sz w:val="24"/>
          <w:szCs w:val="24"/>
          <w:lang w:val="en-US"/>
        </w:rPr>
        <w:t>Scr</w:t>
      </w:r>
      <w:proofErr w:type="spellEnd"/>
      <w:r w:rsidR="005B1DE0" w:rsidRPr="005B1DE0">
        <w:rPr>
          <w:rFonts w:ascii="Times New Roman" w:hAnsi="Times New Roman"/>
          <w:sz w:val="24"/>
          <w:szCs w:val="24"/>
          <w:lang w:val="en-US"/>
        </w:rPr>
        <w:t xml:space="preserve"> outlier was </w:t>
      </w:r>
      <w:r w:rsidR="005B1DE0">
        <w:rPr>
          <w:rFonts w:ascii="Times New Roman" w:hAnsi="Times New Roman"/>
          <w:sz w:val="24"/>
          <w:szCs w:val="24"/>
          <w:lang w:val="en-US"/>
        </w:rPr>
        <w:t xml:space="preserve">only </w:t>
      </w:r>
      <w:r w:rsidR="005B1DE0" w:rsidRPr="005B1DE0">
        <w:rPr>
          <w:rFonts w:ascii="Times New Roman" w:hAnsi="Times New Roman"/>
          <w:sz w:val="24"/>
          <w:szCs w:val="24"/>
          <w:lang w:val="en-US"/>
        </w:rPr>
        <w:t xml:space="preserve">detected in the lower tail of the </w:t>
      </w:r>
      <w:r w:rsidR="005B1DE0" w:rsidRPr="005B1DE0">
        <w:rPr>
          <w:rFonts w:ascii="Times New Roman" w:hAnsi="Times New Roman"/>
          <w:i/>
          <w:sz w:val="24"/>
          <w:szCs w:val="24"/>
          <w:lang w:val="en-US"/>
        </w:rPr>
        <w:t>F</w:t>
      </w:r>
      <w:r w:rsidR="005B1DE0" w:rsidRPr="005B1DE0">
        <w:rPr>
          <w:rFonts w:ascii="Times New Roman" w:hAnsi="Times New Roman"/>
          <w:i/>
          <w:sz w:val="24"/>
          <w:szCs w:val="24"/>
          <w:vertAlign w:val="subscript"/>
          <w:lang w:val="en-US"/>
        </w:rPr>
        <w:t>ST</w:t>
      </w:r>
      <w:r w:rsidR="005B1DE0">
        <w:rPr>
          <w:rFonts w:ascii="Times New Roman" w:hAnsi="Times New Roman"/>
          <w:sz w:val="24"/>
          <w:szCs w:val="24"/>
          <w:lang w:val="en-US"/>
        </w:rPr>
        <w:t xml:space="preserve"> distribution in </w:t>
      </w:r>
      <w:r w:rsidR="005B1DE0" w:rsidRPr="005B1DE0">
        <w:rPr>
          <w:rFonts w:ascii="Times New Roman" w:hAnsi="Times New Roman"/>
          <w:i/>
          <w:sz w:val="24"/>
          <w:szCs w:val="24"/>
          <w:lang w:val="en-US"/>
        </w:rPr>
        <w:t>leg pools</w:t>
      </w:r>
      <w:r w:rsidR="00BF654A">
        <w:rPr>
          <w:rFonts w:ascii="Times New Roman" w:hAnsi="Times New Roman"/>
          <w:sz w:val="24"/>
          <w:szCs w:val="24"/>
          <w:lang w:val="en-US"/>
        </w:rPr>
        <w:t>;</w:t>
      </w:r>
      <w:r w:rsidR="005B1DE0">
        <w:rPr>
          <w:rFonts w:ascii="Times New Roman" w:hAnsi="Times New Roman"/>
          <w:sz w:val="24"/>
          <w:szCs w:val="24"/>
          <w:lang w:val="en-US"/>
        </w:rPr>
        <w:t xml:space="preserve"> we could not confirm it using PCADAPT or </w:t>
      </w:r>
      <w:r w:rsidR="005B1DE0" w:rsidRPr="005B1DE0">
        <w:rPr>
          <w:rFonts w:ascii="Times New Roman" w:hAnsi="Times New Roman"/>
          <w:sz w:val="24"/>
          <w:szCs w:val="24"/>
          <w:lang w:val="en-US"/>
        </w:rPr>
        <w:t xml:space="preserve">the </w:t>
      </w:r>
      <w:r w:rsidR="005B1DE0" w:rsidRPr="005B1DE0">
        <w:rPr>
          <w:rFonts w:ascii="Times New Roman" w:hAnsi="Times New Roman"/>
          <w:i/>
          <w:sz w:val="24"/>
          <w:szCs w:val="24"/>
          <w:lang w:val="en-US"/>
        </w:rPr>
        <w:t>population pool</w:t>
      </w:r>
      <w:r w:rsidR="005B1DE0" w:rsidRPr="005B1DE0">
        <w:rPr>
          <w:rFonts w:ascii="Times New Roman" w:hAnsi="Times New Roman"/>
          <w:sz w:val="24"/>
          <w:szCs w:val="24"/>
          <w:lang w:val="en-US"/>
        </w:rPr>
        <w:t xml:space="preserve"> data. </w:t>
      </w:r>
      <w:r w:rsidR="005B1DE0">
        <w:rPr>
          <w:rFonts w:ascii="Times New Roman" w:hAnsi="Times New Roman"/>
          <w:sz w:val="24"/>
          <w:szCs w:val="24"/>
          <w:lang w:val="en-US"/>
        </w:rPr>
        <w:t>F</w:t>
      </w:r>
      <w:r w:rsidRPr="000E3BBA">
        <w:rPr>
          <w:rFonts w:ascii="Times New Roman" w:hAnsi="Times New Roman"/>
          <w:sz w:val="24"/>
          <w:szCs w:val="24"/>
          <w:lang w:val="en-US"/>
        </w:rPr>
        <w:t xml:space="preserve">uture studies </w:t>
      </w:r>
      <w:proofErr w:type="spellStart"/>
      <w:r w:rsidR="00BF654A">
        <w:rPr>
          <w:rFonts w:ascii="Times New Roman" w:hAnsi="Times New Roman"/>
          <w:sz w:val="24"/>
          <w:szCs w:val="24"/>
          <w:lang w:val="en-US"/>
        </w:rPr>
        <w:t>empolying</w:t>
      </w:r>
      <w:proofErr w:type="spellEnd"/>
      <w:r w:rsidR="00BF654A" w:rsidRPr="000E3BBA">
        <w:rPr>
          <w:rFonts w:ascii="Times New Roman" w:eastAsia="Times New Roman" w:hAnsi="Times New Roman"/>
          <w:bCs/>
          <w:noProof/>
          <w:sz w:val="24"/>
          <w:szCs w:val="24"/>
          <w:lang w:val="en-US" w:eastAsia="de-DE"/>
        </w:rPr>
        <w:t xml:space="preserve"> </w:t>
      </w:r>
      <w:r w:rsidRPr="000E3BBA">
        <w:rPr>
          <w:rFonts w:ascii="Times New Roman" w:eastAsia="Times New Roman" w:hAnsi="Times New Roman"/>
          <w:bCs/>
          <w:noProof/>
          <w:sz w:val="24"/>
          <w:szCs w:val="24"/>
          <w:lang w:val="en-US" w:eastAsia="de-DE"/>
        </w:rPr>
        <w:t xml:space="preserve">individual SNP genotyping of the </w:t>
      </w:r>
      <w:r w:rsidRPr="000E3BBA">
        <w:rPr>
          <w:rFonts w:ascii="Times New Roman" w:eastAsia="Times New Roman" w:hAnsi="Times New Roman"/>
          <w:bCs/>
          <w:i/>
          <w:noProof/>
          <w:sz w:val="24"/>
          <w:szCs w:val="24"/>
          <w:lang w:val="en-US" w:eastAsia="de-DE"/>
        </w:rPr>
        <w:t xml:space="preserve">Scr </w:t>
      </w:r>
      <w:r w:rsidRPr="000E3BBA">
        <w:rPr>
          <w:rFonts w:ascii="Times New Roman" w:eastAsia="Times New Roman" w:hAnsi="Times New Roman"/>
          <w:bCs/>
          <w:noProof/>
          <w:sz w:val="24"/>
          <w:szCs w:val="24"/>
          <w:lang w:val="en-US" w:eastAsia="de-DE"/>
        </w:rPr>
        <w:t xml:space="preserve">locus and functional studies </w:t>
      </w:r>
      <w:r w:rsidR="00BF654A">
        <w:rPr>
          <w:rFonts w:ascii="Times New Roman" w:eastAsia="Times New Roman" w:hAnsi="Times New Roman"/>
          <w:bCs/>
          <w:noProof/>
          <w:sz w:val="24"/>
          <w:szCs w:val="24"/>
          <w:lang w:val="en-US" w:eastAsia="de-DE"/>
        </w:rPr>
        <w:t xml:space="preserve">of bees </w:t>
      </w:r>
      <w:r w:rsidRPr="000E3BBA">
        <w:rPr>
          <w:rFonts w:ascii="Times New Roman" w:eastAsia="Times New Roman" w:hAnsi="Times New Roman"/>
          <w:bCs/>
          <w:noProof/>
          <w:sz w:val="24"/>
          <w:szCs w:val="24"/>
          <w:lang w:val="en-US" w:eastAsia="de-DE"/>
        </w:rPr>
        <w:t xml:space="preserve">in earlier developmental stages </w:t>
      </w:r>
      <w:r w:rsidR="00BF654A">
        <w:rPr>
          <w:rFonts w:ascii="Times New Roman" w:eastAsia="Times New Roman" w:hAnsi="Times New Roman"/>
          <w:bCs/>
          <w:noProof/>
          <w:sz w:val="24"/>
          <w:szCs w:val="24"/>
          <w:lang w:val="en-US" w:eastAsia="de-DE"/>
        </w:rPr>
        <w:t xml:space="preserve">(e.g. pupal stages) </w:t>
      </w:r>
      <w:r w:rsidRPr="000E3BBA">
        <w:rPr>
          <w:rFonts w:ascii="Times New Roman" w:eastAsia="Times New Roman" w:hAnsi="Times New Roman"/>
          <w:bCs/>
          <w:noProof/>
          <w:sz w:val="24"/>
          <w:szCs w:val="24"/>
          <w:lang w:val="en-US" w:eastAsia="de-DE"/>
        </w:rPr>
        <w:t>would be required to support</w:t>
      </w:r>
      <w:r w:rsidR="005B1DE0">
        <w:rPr>
          <w:rFonts w:ascii="Times New Roman" w:eastAsia="Times New Roman" w:hAnsi="Times New Roman"/>
          <w:bCs/>
          <w:noProof/>
          <w:sz w:val="24"/>
          <w:szCs w:val="24"/>
          <w:lang w:val="en-US" w:eastAsia="de-DE"/>
        </w:rPr>
        <w:t xml:space="preserve"> the</w:t>
      </w:r>
      <w:r w:rsidRPr="000E3BBA">
        <w:rPr>
          <w:rFonts w:ascii="Times New Roman" w:eastAsia="Times New Roman" w:hAnsi="Times New Roman"/>
          <w:bCs/>
          <w:noProof/>
          <w:sz w:val="24"/>
          <w:szCs w:val="24"/>
          <w:lang w:val="en-US" w:eastAsia="de-DE"/>
        </w:rPr>
        <w:t xml:space="preserve"> role </w:t>
      </w:r>
      <w:r w:rsidR="005B1DE0" w:rsidRPr="000E3BBA">
        <w:rPr>
          <w:rFonts w:ascii="Times New Roman" w:eastAsia="Times New Roman" w:hAnsi="Times New Roman"/>
          <w:bCs/>
          <w:noProof/>
          <w:sz w:val="24"/>
          <w:szCs w:val="24"/>
          <w:lang w:val="en-US" w:eastAsia="de-DE"/>
        </w:rPr>
        <w:t xml:space="preserve">of the </w:t>
      </w:r>
      <w:r w:rsidR="005B1DE0" w:rsidRPr="000E3BBA">
        <w:rPr>
          <w:rFonts w:ascii="Times New Roman" w:eastAsia="Times New Roman" w:hAnsi="Times New Roman"/>
          <w:bCs/>
          <w:i/>
          <w:noProof/>
          <w:sz w:val="24"/>
          <w:szCs w:val="24"/>
          <w:lang w:val="en-US" w:eastAsia="de-DE"/>
        </w:rPr>
        <w:t xml:space="preserve">Scr </w:t>
      </w:r>
      <w:r w:rsidR="005B1DE0" w:rsidRPr="000E3BBA">
        <w:rPr>
          <w:rFonts w:ascii="Times New Roman" w:eastAsia="Times New Roman" w:hAnsi="Times New Roman"/>
          <w:bCs/>
          <w:noProof/>
          <w:sz w:val="24"/>
          <w:szCs w:val="24"/>
          <w:lang w:val="en-US" w:eastAsia="de-DE"/>
        </w:rPr>
        <w:t xml:space="preserve">locus </w:t>
      </w:r>
      <w:r w:rsidRPr="000E3BBA">
        <w:rPr>
          <w:rFonts w:ascii="Times New Roman" w:eastAsia="Times New Roman" w:hAnsi="Times New Roman"/>
          <w:bCs/>
          <w:noProof/>
          <w:sz w:val="24"/>
          <w:szCs w:val="24"/>
          <w:lang w:val="en-US" w:eastAsia="de-DE"/>
        </w:rPr>
        <w:t xml:space="preserve">in FLL regulation. Moreover, </w:t>
      </w:r>
      <w:r>
        <w:rPr>
          <w:rFonts w:ascii="Times New Roman" w:eastAsia="Times New Roman" w:hAnsi="Times New Roman"/>
          <w:bCs/>
          <w:noProof/>
          <w:sz w:val="24"/>
          <w:szCs w:val="24"/>
          <w:lang w:val="en-US" w:eastAsia="de-DE"/>
        </w:rPr>
        <w:t>a</w:t>
      </w:r>
      <w:r w:rsidRPr="000E3BBA">
        <w:rPr>
          <w:rFonts w:ascii="Times New Roman" w:eastAsia="Times New Roman" w:hAnsi="Times New Roman"/>
          <w:bCs/>
          <w:noProof/>
          <w:sz w:val="24"/>
          <w:szCs w:val="24"/>
          <w:lang w:val="en-US" w:eastAsia="de-DE"/>
        </w:rPr>
        <w:t>s</w:t>
      </w:r>
      <w:r w:rsidRPr="000E3BBA">
        <w:rPr>
          <w:rFonts w:ascii="Times New Roman" w:hAnsi="Times New Roman"/>
          <w:sz w:val="24"/>
          <w:szCs w:val="24"/>
          <w:lang w:val="en-US"/>
        </w:rPr>
        <w:t xml:space="preserve"> our pooled RAD-</w:t>
      </w:r>
      <w:proofErr w:type="spellStart"/>
      <w:r w:rsidRPr="000E3BBA">
        <w:rPr>
          <w:rFonts w:ascii="Times New Roman" w:hAnsi="Times New Roman"/>
          <w:sz w:val="24"/>
          <w:szCs w:val="24"/>
          <w:lang w:val="en-US"/>
        </w:rPr>
        <w:t>seq</w:t>
      </w:r>
      <w:proofErr w:type="spellEnd"/>
      <w:r w:rsidRPr="000E3BBA">
        <w:rPr>
          <w:rFonts w:ascii="Times New Roman" w:hAnsi="Times New Roman"/>
          <w:sz w:val="24"/>
          <w:szCs w:val="24"/>
          <w:lang w:val="en-US"/>
        </w:rPr>
        <w:t xml:space="preserve"> design sampled only a small proportion of the </w:t>
      </w:r>
      <w:r w:rsidRPr="000E3BBA">
        <w:rPr>
          <w:rFonts w:ascii="Times New Roman" w:hAnsi="Times New Roman"/>
          <w:i/>
          <w:sz w:val="24"/>
          <w:szCs w:val="24"/>
          <w:lang w:val="en-US"/>
        </w:rPr>
        <w:t>R. longimanus</w:t>
      </w:r>
      <w:r w:rsidRPr="000E3BBA">
        <w:rPr>
          <w:rFonts w:ascii="Times New Roman" w:hAnsi="Times New Roman"/>
          <w:sz w:val="24"/>
          <w:szCs w:val="24"/>
          <w:lang w:val="en-US"/>
        </w:rPr>
        <w:t xml:space="preserve"> genome, our approach might have missed other important regulators of FLL variation, which can only be tackled with whole genome sequencing. </w:t>
      </w:r>
    </w:p>
    <w:p w14:paraId="376C3344" w14:textId="77777777" w:rsidR="00DB78DA" w:rsidRDefault="00DB78DA" w:rsidP="00DB78DA">
      <w:pPr>
        <w:spacing w:after="0" w:line="480" w:lineRule="auto"/>
        <w:jc w:val="both"/>
        <w:rPr>
          <w:rFonts w:ascii="Times New Roman" w:hAnsi="Times New Roman"/>
          <w:sz w:val="24"/>
          <w:szCs w:val="24"/>
          <w:lang w:val="en-US"/>
        </w:rPr>
      </w:pPr>
    </w:p>
    <w:p w14:paraId="4CF78A46" w14:textId="77777777" w:rsidR="005B1DE0" w:rsidRDefault="005B1DE0" w:rsidP="00DB78DA">
      <w:pPr>
        <w:spacing w:after="0" w:line="480" w:lineRule="auto"/>
        <w:jc w:val="both"/>
        <w:rPr>
          <w:rFonts w:ascii="Times New Roman" w:hAnsi="Times New Roman"/>
          <w:sz w:val="24"/>
          <w:szCs w:val="24"/>
          <w:lang w:val="en-US"/>
        </w:rPr>
      </w:pPr>
    </w:p>
    <w:p w14:paraId="4F807FB6" w14:textId="77777777" w:rsidR="005B1DE0" w:rsidRDefault="005B1DE0" w:rsidP="00DB78DA">
      <w:pPr>
        <w:spacing w:after="0" w:line="480" w:lineRule="auto"/>
        <w:jc w:val="both"/>
        <w:rPr>
          <w:rFonts w:ascii="Times New Roman" w:hAnsi="Times New Roman"/>
          <w:sz w:val="24"/>
          <w:szCs w:val="24"/>
          <w:lang w:val="en-US"/>
        </w:rPr>
      </w:pPr>
    </w:p>
    <w:p w14:paraId="0FB0529F" w14:textId="77777777" w:rsidR="005B1DE0" w:rsidRPr="000E3BBA" w:rsidRDefault="005B1DE0" w:rsidP="00DB78DA">
      <w:pPr>
        <w:spacing w:after="0" w:line="480" w:lineRule="auto"/>
        <w:jc w:val="both"/>
        <w:rPr>
          <w:rFonts w:ascii="Times New Roman" w:hAnsi="Times New Roman"/>
          <w:sz w:val="24"/>
          <w:szCs w:val="24"/>
          <w:lang w:val="en-US"/>
        </w:rPr>
      </w:pPr>
    </w:p>
    <w:p w14:paraId="7A5E47A5" w14:textId="77777777" w:rsidR="00DB78DA" w:rsidRPr="00DB78DA" w:rsidRDefault="00DB78DA" w:rsidP="00DB78DA">
      <w:pPr>
        <w:spacing w:after="0" w:line="240" w:lineRule="auto"/>
        <w:jc w:val="both"/>
        <w:rPr>
          <w:rFonts w:ascii="Times New Roman" w:hAnsi="Times New Roman"/>
          <w:sz w:val="24"/>
          <w:szCs w:val="24"/>
          <w:lang w:val="en-US"/>
        </w:rPr>
      </w:pPr>
      <w:r w:rsidRPr="00DB78DA">
        <w:rPr>
          <w:rFonts w:ascii="Times New Roman" w:hAnsi="Times New Roman"/>
          <w:b/>
          <w:sz w:val="24"/>
          <w:szCs w:val="24"/>
          <w:lang w:val="en-US"/>
        </w:rPr>
        <w:lastRenderedPageBreak/>
        <w:t xml:space="preserve">Table </w:t>
      </w:r>
      <w:r>
        <w:rPr>
          <w:rFonts w:ascii="Times New Roman" w:hAnsi="Times New Roman"/>
          <w:b/>
          <w:sz w:val="24"/>
          <w:szCs w:val="24"/>
          <w:lang w:val="en-US"/>
        </w:rPr>
        <w:t>1</w:t>
      </w:r>
      <w:r w:rsidRPr="00DB78DA">
        <w:rPr>
          <w:rFonts w:ascii="Times New Roman" w:hAnsi="Times New Roman"/>
          <w:b/>
          <w:sz w:val="24"/>
          <w:szCs w:val="24"/>
          <w:lang w:val="en-US"/>
        </w:rPr>
        <w:t>.</w:t>
      </w:r>
      <w:r w:rsidRPr="00DB78DA">
        <w:rPr>
          <w:rFonts w:ascii="Times New Roman" w:hAnsi="Times New Roman"/>
          <w:sz w:val="24"/>
          <w:szCs w:val="24"/>
          <w:lang w:val="en-US"/>
        </w:rPr>
        <w:t xml:space="preserve"> Number of outliers identified in PCADAPAT or the tails of the </w:t>
      </w:r>
      <w:r w:rsidRPr="00DB78DA">
        <w:rPr>
          <w:rFonts w:ascii="Times New Roman" w:hAnsi="Times New Roman"/>
          <w:i/>
          <w:sz w:val="24"/>
          <w:szCs w:val="24"/>
          <w:lang w:val="en-US"/>
        </w:rPr>
        <w:t>F</w:t>
      </w:r>
      <w:r w:rsidRPr="00DB78DA">
        <w:rPr>
          <w:rFonts w:ascii="Times New Roman" w:hAnsi="Times New Roman"/>
          <w:sz w:val="24"/>
          <w:szCs w:val="24"/>
          <w:vertAlign w:val="subscript"/>
          <w:lang w:val="en-US"/>
        </w:rPr>
        <w:t>ST</w:t>
      </w:r>
      <w:r w:rsidRPr="00DB78DA">
        <w:rPr>
          <w:rFonts w:ascii="Times New Roman" w:hAnsi="Times New Roman"/>
          <w:sz w:val="24"/>
          <w:szCs w:val="24"/>
          <w:lang w:val="en-US"/>
        </w:rPr>
        <w:t xml:space="preserve"> distribution in the </w:t>
      </w:r>
      <w:r w:rsidRPr="00DB78DA">
        <w:rPr>
          <w:rFonts w:ascii="Times New Roman" w:hAnsi="Times New Roman"/>
          <w:i/>
          <w:sz w:val="24"/>
          <w:szCs w:val="24"/>
          <w:lang w:val="en-US"/>
        </w:rPr>
        <w:t>population</w:t>
      </w:r>
      <w:r w:rsidRPr="00DB78DA">
        <w:rPr>
          <w:rFonts w:ascii="Times New Roman" w:hAnsi="Times New Roman"/>
          <w:sz w:val="24"/>
          <w:szCs w:val="24"/>
          <w:lang w:val="en-US"/>
        </w:rPr>
        <w:t xml:space="preserve"> and </w:t>
      </w:r>
      <w:r w:rsidRPr="00DB78DA">
        <w:rPr>
          <w:rFonts w:ascii="Times New Roman" w:hAnsi="Times New Roman"/>
          <w:i/>
          <w:sz w:val="24"/>
          <w:szCs w:val="24"/>
          <w:lang w:val="en-US"/>
        </w:rPr>
        <w:t>leg pool</w:t>
      </w:r>
      <w:r w:rsidRPr="00DB78DA">
        <w:rPr>
          <w:rFonts w:ascii="Times New Roman" w:hAnsi="Times New Roman"/>
          <w:sz w:val="24"/>
          <w:szCs w:val="24"/>
          <w:lang w:val="en-US"/>
        </w:rPr>
        <w:t xml:space="preserve"> dataset that yielded a BLAST hit. Note that we identified 1,133 outliers overall with 14 shared between approaches or datasets, i.e. 1,119 unique outliers overall.</w:t>
      </w:r>
    </w:p>
    <w:tbl>
      <w:tblPr>
        <w:tblW w:w="9112" w:type="dxa"/>
        <w:tblInd w:w="55" w:type="dxa"/>
        <w:tblCellMar>
          <w:left w:w="70" w:type="dxa"/>
          <w:right w:w="70" w:type="dxa"/>
        </w:tblCellMar>
        <w:tblLook w:val="04A0" w:firstRow="1" w:lastRow="0" w:firstColumn="1" w:lastColumn="0" w:noHBand="0" w:noVBand="1"/>
      </w:tblPr>
      <w:tblGrid>
        <w:gridCol w:w="1302"/>
        <w:gridCol w:w="1996"/>
        <w:gridCol w:w="1497"/>
        <w:gridCol w:w="2777"/>
        <w:gridCol w:w="1540"/>
      </w:tblGrid>
      <w:tr w:rsidR="00DB78DA" w:rsidRPr="00D43D0D" w14:paraId="149D222C" w14:textId="77777777" w:rsidTr="00DB78DA">
        <w:trPr>
          <w:trHeight w:val="320"/>
        </w:trPr>
        <w:tc>
          <w:tcPr>
            <w:tcW w:w="1302" w:type="dxa"/>
            <w:tcBorders>
              <w:top w:val="single" w:sz="4" w:space="0" w:color="auto"/>
              <w:left w:val="nil"/>
              <w:bottom w:val="nil"/>
              <w:right w:val="nil"/>
            </w:tcBorders>
            <w:shd w:val="clear" w:color="auto" w:fill="auto"/>
            <w:noWrap/>
            <w:vAlign w:val="center"/>
            <w:hideMark/>
          </w:tcPr>
          <w:p w14:paraId="0DEF7364" w14:textId="77777777" w:rsidR="00DB78DA" w:rsidRPr="00D43D0D" w:rsidRDefault="00DB78DA" w:rsidP="00CB48E1">
            <w:pPr>
              <w:spacing w:after="0" w:line="240" w:lineRule="auto"/>
              <w:jc w:val="center"/>
              <w:rPr>
                <w:rFonts w:ascii="Times New Roman" w:eastAsia="Times New Roman" w:hAnsi="Times New Roman" w:cs="Times New Roman"/>
                <w:b/>
                <w:bCs/>
                <w:color w:val="000000"/>
                <w:sz w:val="20"/>
                <w:szCs w:val="20"/>
                <w:lang w:eastAsia="de-DE"/>
              </w:rPr>
            </w:pPr>
            <w:r w:rsidRPr="00D43D0D">
              <w:rPr>
                <w:rFonts w:ascii="Times New Roman" w:eastAsia="Times New Roman" w:hAnsi="Times New Roman" w:cs="Times New Roman"/>
                <w:b/>
                <w:bCs/>
                <w:color w:val="000000"/>
                <w:sz w:val="20"/>
                <w:szCs w:val="20"/>
                <w:lang w:eastAsia="de-DE"/>
              </w:rPr>
              <w:t>Method</w:t>
            </w:r>
          </w:p>
        </w:tc>
        <w:tc>
          <w:tcPr>
            <w:tcW w:w="1996" w:type="dxa"/>
            <w:tcBorders>
              <w:top w:val="single" w:sz="4" w:space="0" w:color="auto"/>
              <w:left w:val="nil"/>
              <w:bottom w:val="nil"/>
              <w:right w:val="nil"/>
            </w:tcBorders>
            <w:shd w:val="clear" w:color="auto" w:fill="auto"/>
            <w:noWrap/>
            <w:vAlign w:val="center"/>
            <w:hideMark/>
          </w:tcPr>
          <w:p w14:paraId="362A6CEA" w14:textId="77777777" w:rsidR="00DB78DA" w:rsidRPr="00D43D0D" w:rsidRDefault="00DB78DA" w:rsidP="00CB48E1">
            <w:pPr>
              <w:spacing w:after="0" w:line="240" w:lineRule="auto"/>
              <w:jc w:val="center"/>
              <w:rPr>
                <w:rFonts w:ascii="Times New Roman" w:eastAsia="Times New Roman" w:hAnsi="Times New Roman" w:cs="Times New Roman"/>
                <w:b/>
                <w:bCs/>
                <w:color w:val="000000"/>
                <w:sz w:val="20"/>
                <w:szCs w:val="20"/>
                <w:lang w:eastAsia="de-DE"/>
              </w:rPr>
            </w:pPr>
            <w:r w:rsidRPr="00D43D0D">
              <w:rPr>
                <w:rFonts w:ascii="Times New Roman" w:eastAsia="Times New Roman" w:hAnsi="Times New Roman" w:cs="Times New Roman"/>
                <w:b/>
                <w:bCs/>
                <w:color w:val="000000"/>
                <w:sz w:val="20"/>
                <w:szCs w:val="20"/>
                <w:lang w:eastAsia="de-DE"/>
              </w:rPr>
              <w:t>Dataset</w:t>
            </w:r>
          </w:p>
        </w:tc>
        <w:tc>
          <w:tcPr>
            <w:tcW w:w="1497" w:type="dxa"/>
            <w:tcBorders>
              <w:top w:val="single" w:sz="4" w:space="0" w:color="auto"/>
              <w:left w:val="nil"/>
              <w:bottom w:val="nil"/>
              <w:right w:val="nil"/>
            </w:tcBorders>
            <w:shd w:val="clear" w:color="auto" w:fill="auto"/>
            <w:noWrap/>
            <w:vAlign w:val="center"/>
            <w:hideMark/>
          </w:tcPr>
          <w:p w14:paraId="14A11F95" w14:textId="77777777" w:rsidR="00DB78DA" w:rsidRPr="00D43D0D" w:rsidRDefault="00DB78DA" w:rsidP="00CB48E1">
            <w:pPr>
              <w:spacing w:after="0" w:line="240" w:lineRule="auto"/>
              <w:jc w:val="center"/>
              <w:rPr>
                <w:rFonts w:ascii="Times New Roman" w:eastAsia="Times New Roman" w:hAnsi="Times New Roman" w:cs="Times New Roman"/>
                <w:b/>
                <w:bCs/>
                <w:color w:val="000000"/>
                <w:sz w:val="20"/>
                <w:szCs w:val="20"/>
                <w:lang w:eastAsia="de-DE"/>
              </w:rPr>
            </w:pPr>
            <w:r w:rsidRPr="00CB48E1">
              <w:rPr>
                <w:rFonts w:ascii="Times New Roman" w:eastAsia="Times New Roman" w:hAnsi="Times New Roman" w:cs="Times New Roman"/>
                <w:b/>
                <w:bCs/>
                <w:i/>
                <w:color w:val="000000"/>
                <w:sz w:val="20"/>
                <w:szCs w:val="20"/>
                <w:lang w:eastAsia="de-DE"/>
              </w:rPr>
              <w:t>F</w:t>
            </w:r>
            <w:r w:rsidRPr="00D43D0D">
              <w:rPr>
                <w:rFonts w:ascii="Times New Roman" w:eastAsia="Times New Roman" w:hAnsi="Times New Roman" w:cs="Times New Roman"/>
                <w:b/>
                <w:bCs/>
                <w:color w:val="000000"/>
                <w:sz w:val="20"/>
                <w:szCs w:val="20"/>
                <w:vertAlign w:val="subscript"/>
                <w:lang w:eastAsia="de-DE"/>
              </w:rPr>
              <w:t>ST</w:t>
            </w:r>
          </w:p>
        </w:tc>
        <w:tc>
          <w:tcPr>
            <w:tcW w:w="2777" w:type="dxa"/>
            <w:tcBorders>
              <w:top w:val="single" w:sz="4" w:space="0" w:color="auto"/>
              <w:left w:val="nil"/>
              <w:bottom w:val="nil"/>
              <w:right w:val="nil"/>
            </w:tcBorders>
            <w:shd w:val="clear" w:color="auto" w:fill="auto"/>
            <w:noWrap/>
            <w:vAlign w:val="center"/>
            <w:hideMark/>
          </w:tcPr>
          <w:p w14:paraId="0445510D" w14:textId="77777777" w:rsidR="00DB78DA" w:rsidRPr="00D43D0D" w:rsidRDefault="00DB78DA" w:rsidP="00CB48E1">
            <w:pPr>
              <w:spacing w:after="0" w:line="240" w:lineRule="auto"/>
              <w:jc w:val="center"/>
              <w:rPr>
                <w:rFonts w:ascii="Times New Roman" w:eastAsia="Times New Roman" w:hAnsi="Times New Roman" w:cs="Times New Roman"/>
                <w:b/>
                <w:bCs/>
                <w:color w:val="000000"/>
                <w:sz w:val="20"/>
                <w:szCs w:val="20"/>
                <w:lang w:eastAsia="de-DE"/>
              </w:rPr>
            </w:pPr>
            <w:r w:rsidRPr="00D43D0D">
              <w:rPr>
                <w:rFonts w:ascii="Times New Roman" w:eastAsia="Times New Roman" w:hAnsi="Times New Roman" w:cs="Times New Roman"/>
                <w:b/>
                <w:bCs/>
                <w:color w:val="000000"/>
                <w:sz w:val="20"/>
                <w:szCs w:val="20"/>
                <w:lang w:eastAsia="de-DE"/>
              </w:rPr>
              <w:t>Outlier RAD-tags identified</w:t>
            </w:r>
          </w:p>
        </w:tc>
        <w:tc>
          <w:tcPr>
            <w:tcW w:w="1540" w:type="dxa"/>
            <w:tcBorders>
              <w:top w:val="single" w:sz="4" w:space="0" w:color="auto"/>
              <w:left w:val="nil"/>
              <w:bottom w:val="nil"/>
              <w:right w:val="nil"/>
            </w:tcBorders>
            <w:shd w:val="clear" w:color="auto" w:fill="auto"/>
            <w:noWrap/>
            <w:vAlign w:val="center"/>
            <w:hideMark/>
          </w:tcPr>
          <w:p w14:paraId="724322DB" w14:textId="77777777" w:rsidR="00DB78DA" w:rsidRPr="00D43D0D" w:rsidRDefault="00DB78DA" w:rsidP="00CB48E1">
            <w:pPr>
              <w:spacing w:after="0" w:line="240" w:lineRule="auto"/>
              <w:jc w:val="center"/>
              <w:rPr>
                <w:rFonts w:ascii="Times New Roman" w:eastAsia="Times New Roman" w:hAnsi="Times New Roman" w:cs="Times New Roman"/>
                <w:b/>
                <w:bCs/>
                <w:color w:val="000000"/>
                <w:sz w:val="20"/>
                <w:szCs w:val="20"/>
                <w:lang w:eastAsia="de-DE"/>
              </w:rPr>
            </w:pPr>
            <w:r w:rsidRPr="00D43D0D">
              <w:rPr>
                <w:rFonts w:ascii="Times New Roman" w:eastAsia="Times New Roman" w:hAnsi="Times New Roman" w:cs="Times New Roman"/>
                <w:b/>
                <w:bCs/>
                <w:color w:val="000000"/>
                <w:sz w:val="20"/>
                <w:szCs w:val="20"/>
                <w:lang w:eastAsia="de-DE"/>
              </w:rPr>
              <w:t>Outliers blasted</w:t>
            </w:r>
          </w:p>
        </w:tc>
      </w:tr>
      <w:tr w:rsidR="00DB78DA" w:rsidRPr="00D43D0D" w14:paraId="47A88DD4" w14:textId="77777777" w:rsidTr="00DB78DA">
        <w:trPr>
          <w:trHeight w:val="320"/>
        </w:trPr>
        <w:tc>
          <w:tcPr>
            <w:tcW w:w="1302" w:type="dxa"/>
            <w:tcBorders>
              <w:top w:val="single" w:sz="4" w:space="0" w:color="auto"/>
              <w:left w:val="nil"/>
              <w:bottom w:val="nil"/>
              <w:right w:val="nil"/>
            </w:tcBorders>
            <w:shd w:val="clear" w:color="auto" w:fill="auto"/>
            <w:noWrap/>
            <w:vAlign w:val="center"/>
            <w:hideMark/>
          </w:tcPr>
          <w:p w14:paraId="6B34BA23"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PCADAPT</w:t>
            </w:r>
          </w:p>
        </w:tc>
        <w:tc>
          <w:tcPr>
            <w:tcW w:w="1996" w:type="dxa"/>
            <w:tcBorders>
              <w:top w:val="single" w:sz="4" w:space="0" w:color="auto"/>
              <w:left w:val="nil"/>
              <w:bottom w:val="nil"/>
              <w:right w:val="nil"/>
            </w:tcBorders>
            <w:shd w:val="clear" w:color="auto" w:fill="auto"/>
            <w:noWrap/>
            <w:vAlign w:val="center"/>
            <w:hideMark/>
          </w:tcPr>
          <w:p w14:paraId="60D5CDD8" w14:textId="77777777" w:rsidR="00DB78DA" w:rsidRPr="00D43D0D" w:rsidRDefault="00DB78DA" w:rsidP="00CB48E1">
            <w:pPr>
              <w:spacing w:after="0" w:line="240" w:lineRule="auto"/>
              <w:jc w:val="center"/>
              <w:rPr>
                <w:rFonts w:ascii="Times New Roman" w:eastAsia="Times New Roman" w:hAnsi="Times New Roman" w:cs="Times New Roman"/>
                <w:i/>
                <w:iCs/>
                <w:color w:val="000000"/>
                <w:sz w:val="20"/>
                <w:szCs w:val="20"/>
                <w:lang w:eastAsia="de-DE"/>
              </w:rPr>
            </w:pPr>
            <w:r w:rsidRPr="00D43D0D">
              <w:rPr>
                <w:rFonts w:ascii="Times New Roman" w:eastAsia="Times New Roman" w:hAnsi="Times New Roman" w:cs="Times New Roman"/>
                <w:i/>
                <w:iCs/>
                <w:color w:val="000000"/>
                <w:sz w:val="20"/>
                <w:szCs w:val="20"/>
                <w:lang w:eastAsia="de-DE"/>
              </w:rPr>
              <w:t>population pools</w:t>
            </w:r>
          </w:p>
        </w:tc>
        <w:tc>
          <w:tcPr>
            <w:tcW w:w="1497" w:type="dxa"/>
            <w:tcBorders>
              <w:top w:val="single" w:sz="4" w:space="0" w:color="auto"/>
              <w:left w:val="nil"/>
              <w:bottom w:val="nil"/>
              <w:right w:val="nil"/>
            </w:tcBorders>
            <w:shd w:val="clear" w:color="auto" w:fill="auto"/>
            <w:noWrap/>
            <w:vAlign w:val="center"/>
            <w:hideMark/>
          </w:tcPr>
          <w:p w14:paraId="0546BE80"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w:t>
            </w:r>
          </w:p>
        </w:tc>
        <w:tc>
          <w:tcPr>
            <w:tcW w:w="2777" w:type="dxa"/>
            <w:tcBorders>
              <w:top w:val="single" w:sz="4" w:space="0" w:color="auto"/>
              <w:left w:val="nil"/>
              <w:bottom w:val="nil"/>
              <w:right w:val="nil"/>
            </w:tcBorders>
            <w:shd w:val="clear" w:color="auto" w:fill="auto"/>
            <w:noWrap/>
            <w:vAlign w:val="center"/>
            <w:hideMark/>
          </w:tcPr>
          <w:p w14:paraId="0606DE9D"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309</w:t>
            </w:r>
          </w:p>
        </w:tc>
        <w:tc>
          <w:tcPr>
            <w:tcW w:w="1540" w:type="dxa"/>
            <w:tcBorders>
              <w:top w:val="single" w:sz="4" w:space="0" w:color="auto"/>
              <w:left w:val="nil"/>
              <w:bottom w:val="nil"/>
              <w:right w:val="nil"/>
            </w:tcBorders>
            <w:shd w:val="clear" w:color="auto" w:fill="auto"/>
            <w:noWrap/>
            <w:vAlign w:val="center"/>
            <w:hideMark/>
          </w:tcPr>
          <w:p w14:paraId="5096E3A8"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Pr>
                <w:rFonts w:ascii="Times New Roman" w:eastAsia="Times New Roman" w:hAnsi="Times New Roman" w:cs="Times New Roman"/>
                <w:color w:val="000000"/>
                <w:sz w:val="20"/>
                <w:szCs w:val="20"/>
                <w:lang w:eastAsia="de-DE"/>
              </w:rPr>
              <w:t>34</w:t>
            </w:r>
          </w:p>
        </w:tc>
      </w:tr>
      <w:tr w:rsidR="00DB78DA" w:rsidRPr="00D43D0D" w14:paraId="161DDC39" w14:textId="77777777" w:rsidTr="00DB78DA">
        <w:trPr>
          <w:trHeight w:val="320"/>
        </w:trPr>
        <w:tc>
          <w:tcPr>
            <w:tcW w:w="1302" w:type="dxa"/>
            <w:tcBorders>
              <w:top w:val="nil"/>
              <w:left w:val="nil"/>
              <w:bottom w:val="nil"/>
              <w:right w:val="nil"/>
            </w:tcBorders>
            <w:shd w:val="clear" w:color="auto" w:fill="auto"/>
            <w:noWrap/>
            <w:vAlign w:val="center"/>
            <w:hideMark/>
          </w:tcPr>
          <w:p w14:paraId="2855EA24"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i/>
                <w:iCs/>
                <w:color w:val="000000"/>
                <w:sz w:val="20"/>
                <w:szCs w:val="20"/>
                <w:lang w:eastAsia="de-DE"/>
              </w:rPr>
              <w:t>F</w:t>
            </w:r>
            <w:r w:rsidRPr="00D43D0D">
              <w:rPr>
                <w:rFonts w:ascii="Times New Roman" w:eastAsia="Times New Roman" w:hAnsi="Times New Roman" w:cs="Times New Roman"/>
                <w:color w:val="000000"/>
                <w:sz w:val="20"/>
                <w:szCs w:val="20"/>
                <w:vertAlign w:val="subscript"/>
                <w:lang w:eastAsia="de-DE"/>
              </w:rPr>
              <w:t xml:space="preserve">ST </w:t>
            </w:r>
            <w:r w:rsidRPr="00D43D0D">
              <w:rPr>
                <w:rFonts w:ascii="Times New Roman" w:eastAsia="Times New Roman" w:hAnsi="Times New Roman" w:cs="Times New Roman"/>
                <w:color w:val="000000"/>
                <w:sz w:val="20"/>
                <w:szCs w:val="20"/>
                <w:lang w:eastAsia="de-DE"/>
              </w:rPr>
              <w:t>(upper)</w:t>
            </w:r>
          </w:p>
        </w:tc>
        <w:tc>
          <w:tcPr>
            <w:tcW w:w="1996" w:type="dxa"/>
            <w:tcBorders>
              <w:top w:val="nil"/>
              <w:left w:val="nil"/>
              <w:bottom w:val="nil"/>
              <w:right w:val="nil"/>
            </w:tcBorders>
            <w:shd w:val="clear" w:color="auto" w:fill="auto"/>
            <w:noWrap/>
            <w:vAlign w:val="center"/>
            <w:hideMark/>
          </w:tcPr>
          <w:p w14:paraId="03041EAE" w14:textId="77777777" w:rsidR="00DB78DA" w:rsidRPr="00D43D0D" w:rsidRDefault="00DB78DA" w:rsidP="00CB48E1">
            <w:pPr>
              <w:spacing w:after="0" w:line="240" w:lineRule="auto"/>
              <w:jc w:val="center"/>
              <w:rPr>
                <w:rFonts w:ascii="Times New Roman" w:eastAsia="Times New Roman" w:hAnsi="Times New Roman" w:cs="Times New Roman"/>
                <w:i/>
                <w:iCs/>
                <w:color w:val="000000"/>
                <w:sz w:val="20"/>
                <w:szCs w:val="20"/>
                <w:lang w:eastAsia="de-DE"/>
              </w:rPr>
            </w:pPr>
            <w:r w:rsidRPr="00D43D0D">
              <w:rPr>
                <w:rFonts w:ascii="Times New Roman" w:eastAsia="Times New Roman" w:hAnsi="Times New Roman" w:cs="Times New Roman"/>
                <w:i/>
                <w:iCs/>
                <w:color w:val="000000"/>
                <w:sz w:val="20"/>
                <w:szCs w:val="20"/>
                <w:lang w:eastAsia="de-DE"/>
              </w:rPr>
              <w:t>population pools</w:t>
            </w:r>
          </w:p>
        </w:tc>
        <w:tc>
          <w:tcPr>
            <w:tcW w:w="1497" w:type="dxa"/>
            <w:tcBorders>
              <w:top w:val="nil"/>
              <w:left w:val="nil"/>
              <w:bottom w:val="nil"/>
              <w:right w:val="nil"/>
            </w:tcBorders>
            <w:shd w:val="clear" w:color="auto" w:fill="auto"/>
            <w:noWrap/>
            <w:vAlign w:val="bottom"/>
            <w:hideMark/>
          </w:tcPr>
          <w:p w14:paraId="5019A425"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0.547 - 0.833</w:t>
            </w:r>
          </w:p>
        </w:tc>
        <w:tc>
          <w:tcPr>
            <w:tcW w:w="2777" w:type="dxa"/>
            <w:tcBorders>
              <w:top w:val="nil"/>
              <w:left w:val="nil"/>
              <w:bottom w:val="nil"/>
              <w:right w:val="nil"/>
            </w:tcBorders>
            <w:shd w:val="clear" w:color="auto" w:fill="auto"/>
            <w:noWrap/>
            <w:vAlign w:val="center"/>
            <w:hideMark/>
          </w:tcPr>
          <w:p w14:paraId="02BAFC5C"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86</w:t>
            </w:r>
          </w:p>
        </w:tc>
        <w:tc>
          <w:tcPr>
            <w:tcW w:w="1540" w:type="dxa"/>
            <w:tcBorders>
              <w:top w:val="nil"/>
              <w:left w:val="nil"/>
              <w:bottom w:val="nil"/>
              <w:right w:val="nil"/>
            </w:tcBorders>
            <w:shd w:val="clear" w:color="auto" w:fill="auto"/>
            <w:noWrap/>
            <w:vAlign w:val="center"/>
            <w:hideMark/>
          </w:tcPr>
          <w:p w14:paraId="5A700287"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7</w:t>
            </w:r>
          </w:p>
        </w:tc>
      </w:tr>
      <w:tr w:rsidR="00DB78DA" w:rsidRPr="00D43D0D" w14:paraId="074DB417" w14:textId="77777777" w:rsidTr="00DB78DA">
        <w:trPr>
          <w:trHeight w:val="320"/>
        </w:trPr>
        <w:tc>
          <w:tcPr>
            <w:tcW w:w="1302" w:type="dxa"/>
            <w:tcBorders>
              <w:top w:val="nil"/>
              <w:left w:val="nil"/>
              <w:bottom w:val="nil"/>
              <w:right w:val="nil"/>
            </w:tcBorders>
            <w:shd w:val="clear" w:color="auto" w:fill="auto"/>
            <w:noWrap/>
            <w:vAlign w:val="center"/>
            <w:hideMark/>
          </w:tcPr>
          <w:p w14:paraId="129645C2"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i/>
                <w:iCs/>
                <w:color w:val="000000"/>
                <w:sz w:val="20"/>
                <w:szCs w:val="20"/>
                <w:lang w:eastAsia="de-DE"/>
              </w:rPr>
              <w:t>F</w:t>
            </w:r>
            <w:r w:rsidRPr="00D43D0D">
              <w:rPr>
                <w:rFonts w:ascii="Times New Roman" w:eastAsia="Times New Roman" w:hAnsi="Times New Roman" w:cs="Times New Roman"/>
                <w:color w:val="000000"/>
                <w:sz w:val="20"/>
                <w:szCs w:val="20"/>
                <w:vertAlign w:val="subscript"/>
                <w:lang w:eastAsia="de-DE"/>
              </w:rPr>
              <w:t>ST</w:t>
            </w:r>
            <w:r w:rsidRPr="00D43D0D">
              <w:rPr>
                <w:rFonts w:ascii="Times New Roman" w:eastAsia="Times New Roman" w:hAnsi="Times New Roman" w:cs="Times New Roman"/>
                <w:color w:val="000000"/>
                <w:sz w:val="20"/>
                <w:szCs w:val="20"/>
                <w:lang w:eastAsia="de-DE"/>
              </w:rPr>
              <w:t xml:space="preserve"> (lower)</w:t>
            </w:r>
          </w:p>
        </w:tc>
        <w:tc>
          <w:tcPr>
            <w:tcW w:w="1996" w:type="dxa"/>
            <w:tcBorders>
              <w:top w:val="nil"/>
              <w:left w:val="nil"/>
              <w:bottom w:val="nil"/>
              <w:right w:val="nil"/>
            </w:tcBorders>
            <w:shd w:val="clear" w:color="auto" w:fill="auto"/>
            <w:noWrap/>
            <w:vAlign w:val="center"/>
            <w:hideMark/>
          </w:tcPr>
          <w:p w14:paraId="29FEEF28" w14:textId="77777777" w:rsidR="00DB78DA" w:rsidRPr="00D43D0D" w:rsidRDefault="00DB78DA" w:rsidP="00CB48E1">
            <w:pPr>
              <w:spacing w:after="0" w:line="240" w:lineRule="auto"/>
              <w:jc w:val="center"/>
              <w:rPr>
                <w:rFonts w:ascii="Times New Roman" w:eastAsia="Times New Roman" w:hAnsi="Times New Roman" w:cs="Times New Roman"/>
                <w:i/>
                <w:iCs/>
                <w:color w:val="000000"/>
                <w:sz w:val="20"/>
                <w:szCs w:val="20"/>
                <w:lang w:eastAsia="de-DE"/>
              </w:rPr>
            </w:pPr>
            <w:r w:rsidRPr="00D43D0D">
              <w:rPr>
                <w:rFonts w:ascii="Times New Roman" w:eastAsia="Times New Roman" w:hAnsi="Times New Roman" w:cs="Times New Roman"/>
                <w:i/>
                <w:iCs/>
                <w:color w:val="000000"/>
                <w:sz w:val="20"/>
                <w:szCs w:val="20"/>
                <w:lang w:eastAsia="de-DE"/>
              </w:rPr>
              <w:t>population pools</w:t>
            </w:r>
          </w:p>
        </w:tc>
        <w:tc>
          <w:tcPr>
            <w:tcW w:w="1497" w:type="dxa"/>
            <w:tcBorders>
              <w:top w:val="nil"/>
              <w:left w:val="nil"/>
              <w:bottom w:val="nil"/>
              <w:right w:val="nil"/>
            </w:tcBorders>
            <w:shd w:val="clear" w:color="auto" w:fill="auto"/>
            <w:noWrap/>
            <w:vAlign w:val="bottom"/>
            <w:hideMark/>
          </w:tcPr>
          <w:p w14:paraId="3429968B"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0.001 - 0.014</w:t>
            </w:r>
          </w:p>
        </w:tc>
        <w:tc>
          <w:tcPr>
            <w:tcW w:w="2777" w:type="dxa"/>
            <w:tcBorders>
              <w:top w:val="nil"/>
              <w:left w:val="nil"/>
              <w:bottom w:val="nil"/>
              <w:right w:val="nil"/>
            </w:tcBorders>
            <w:shd w:val="clear" w:color="auto" w:fill="auto"/>
            <w:noWrap/>
            <w:vAlign w:val="center"/>
            <w:hideMark/>
          </w:tcPr>
          <w:p w14:paraId="3A811123"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86</w:t>
            </w:r>
          </w:p>
        </w:tc>
        <w:tc>
          <w:tcPr>
            <w:tcW w:w="1540" w:type="dxa"/>
            <w:tcBorders>
              <w:top w:val="nil"/>
              <w:left w:val="nil"/>
              <w:bottom w:val="nil"/>
              <w:right w:val="nil"/>
            </w:tcBorders>
            <w:shd w:val="clear" w:color="auto" w:fill="auto"/>
            <w:noWrap/>
            <w:vAlign w:val="center"/>
            <w:hideMark/>
          </w:tcPr>
          <w:p w14:paraId="047B3FDD"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Pr>
                <w:rFonts w:ascii="Times New Roman" w:eastAsia="Times New Roman" w:hAnsi="Times New Roman" w:cs="Times New Roman"/>
                <w:color w:val="000000"/>
                <w:sz w:val="20"/>
                <w:szCs w:val="20"/>
                <w:lang w:eastAsia="de-DE"/>
              </w:rPr>
              <w:t>24</w:t>
            </w:r>
          </w:p>
        </w:tc>
      </w:tr>
      <w:tr w:rsidR="00DB78DA" w:rsidRPr="00D43D0D" w14:paraId="7EDC5DE5" w14:textId="77777777" w:rsidTr="00DB78DA">
        <w:trPr>
          <w:trHeight w:val="320"/>
        </w:trPr>
        <w:tc>
          <w:tcPr>
            <w:tcW w:w="1302" w:type="dxa"/>
            <w:tcBorders>
              <w:top w:val="nil"/>
              <w:left w:val="nil"/>
              <w:bottom w:val="nil"/>
              <w:right w:val="nil"/>
            </w:tcBorders>
            <w:shd w:val="clear" w:color="auto" w:fill="auto"/>
            <w:noWrap/>
            <w:vAlign w:val="center"/>
            <w:hideMark/>
          </w:tcPr>
          <w:p w14:paraId="4B028FAD"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PCADAPT</w:t>
            </w:r>
          </w:p>
        </w:tc>
        <w:tc>
          <w:tcPr>
            <w:tcW w:w="1996" w:type="dxa"/>
            <w:tcBorders>
              <w:top w:val="nil"/>
              <w:left w:val="nil"/>
              <w:bottom w:val="nil"/>
              <w:right w:val="nil"/>
            </w:tcBorders>
            <w:shd w:val="clear" w:color="auto" w:fill="auto"/>
            <w:noWrap/>
            <w:vAlign w:val="center"/>
            <w:hideMark/>
          </w:tcPr>
          <w:p w14:paraId="3C4EB7F7" w14:textId="77777777" w:rsidR="00DB78DA" w:rsidRPr="00D43D0D" w:rsidRDefault="00DB78DA" w:rsidP="00CB48E1">
            <w:pPr>
              <w:spacing w:after="0" w:line="240" w:lineRule="auto"/>
              <w:jc w:val="center"/>
              <w:rPr>
                <w:rFonts w:ascii="Times New Roman" w:eastAsia="Times New Roman" w:hAnsi="Times New Roman" w:cs="Times New Roman"/>
                <w:i/>
                <w:iCs/>
                <w:color w:val="000000"/>
                <w:sz w:val="20"/>
                <w:szCs w:val="20"/>
                <w:lang w:eastAsia="de-DE"/>
              </w:rPr>
            </w:pPr>
            <w:r w:rsidRPr="00D43D0D">
              <w:rPr>
                <w:rFonts w:ascii="Times New Roman" w:eastAsia="Times New Roman" w:hAnsi="Times New Roman" w:cs="Times New Roman"/>
                <w:i/>
                <w:iCs/>
                <w:color w:val="000000"/>
                <w:sz w:val="20"/>
                <w:szCs w:val="20"/>
                <w:lang w:eastAsia="de-DE"/>
              </w:rPr>
              <w:t>leg pools</w:t>
            </w:r>
          </w:p>
        </w:tc>
        <w:tc>
          <w:tcPr>
            <w:tcW w:w="1497" w:type="dxa"/>
            <w:tcBorders>
              <w:top w:val="nil"/>
              <w:left w:val="nil"/>
              <w:bottom w:val="nil"/>
              <w:right w:val="nil"/>
            </w:tcBorders>
            <w:shd w:val="clear" w:color="auto" w:fill="auto"/>
            <w:noWrap/>
            <w:vAlign w:val="center"/>
            <w:hideMark/>
          </w:tcPr>
          <w:p w14:paraId="32F44996"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w:t>
            </w:r>
          </w:p>
        </w:tc>
        <w:tc>
          <w:tcPr>
            <w:tcW w:w="2777" w:type="dxa"/>
            <w:tcBorders>
              <w:top w:val="nil"/>
              <w:left w:val="nil"/>
              <w:bottom w:val="nil"/>
              <w:right w:val="nil"/>
            </w:tcBorders>
            <w:shd w:val="clear" w:color="auto" w:fill="auto"/>
            <w:noWrap/>
            <w:vAlign w:val="center"/>
            <w:hideMark/>
          </w:tcPr>
          <w:p w14:paraId="60B7C493"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w:t>
            </w:r>
          </w:p>
        </w:tc>
        <w:tc>
          <w:tcPr>
            <w:tcW w:w="1540" w:type="dxa"/>
            <w:tcBorders>
              <w:top w:val="nil"/>
              <w:left w:val="nil"/>
              <w:bottom w:val="nil"/>
              <w:right w:val="nil"/>
            </w:tcBorders>
            <w:shd w:val="clear" w:color="auto" w:fill="auto"/>
            <w:noWrap/>
            <w:vAlign w:val="center"/>
            <w:hideMark/>
          </w:tcPr>
          <w:p w14:paraId="04FD2761"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w:t>
            </w:r>
          </w:p>
        </w:tc>
      </w:tr>
      <w:tr w:rsidR="00DB78DA" w:rsidRPr="00D43D0D" w14:paraId="64B35C40" w14:textId="77777777" w:rsidTr="00DB78DA">
        <w:trPr>
          <w:trHeight w:val="320"/>
        </w:trPr>
        <w:tc>
          <w:tcPr>
            <w:tcW w:w="1302" w:type="dxa"/>
            <w:tcBorders>
              <w:top w:val="nil"/>
              <w:left w:val="nil"/>
              <w:bottom w:val="nil"/>
              <w:right w:val="nil"/>
            </w:tcBorders>
            <w:shd w:val="clear" w:color="auto" w:fill="auto"/>
            <w:noWrap/>
            <w:vAlign w:val="center"/>
            <w:hideMark/>
          </w:tcPr>
          <w:p w14:paraId="670B1A18"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i/>
                <w:iCs/>
                <w:color w:val="000000"/>
                <w:sz w:val="20"/>
                <w:szCs w:val="20"/>
                <w:lang w:eastAsia="de-DE"/>
              </w:rPr>
              <w:t>F</w:t>
            </w:r>
            <w:r w:rsidRPr="00D43D0D">
              <w:rPr>
                <w:rFonts w:ascii="Times New Roman" w:eastAsia="Times New Roman" w:hAnsi="Times New Roman" w:cs="Times New Roman"/>
                <w:color w:val="000000"/>
                <w:sz w:val="20"/>
                <w:szCs w:val="20"/>
                <w:vertAlign w:val="subscript"/>
                <w:lang w:eastAsia="de-DE"/>
              </w:rPr>
              <w:t xml:space="preserve">ST </w:t>
            </w:r>
            <w:r w:rsidRPr="00D43D0D">
              <w:rPr>
                <w:rFonts w:ascii="Times New Roman" w:eastAsia="Times New Roman" w:hAnsi="Times New Roman" w:cs="Times New Roman"/>
                <w:color w:val="000000"/>
                <w:sz w:val="20"/>
                <w:szCs w:val="20"/>
                <w:lang w:eastAsia="de-DE"/>
              </w:rPr>
              <w:t>(upper)</w:t>
            </w:r>
          </w:p>
        </w:tc>
        <w:tc>
          <w:tcPr>
            <w:tcW w:w="1996" w:type="dxa"/>
            <w:tcBorders>
              <w:top w:val="nil"/>
              <w:left w:val="nil"/>
              <w:bottom w:val="nil"/>
              <w:right w:val="nil"/>
            </w:tcBorders>
            <w:shd w:val="clear" w:color="auto" w:fill="auto"/>
            <w:noWrap/>
            <w:vAlign w:val="center"/>
            <w:hideMark/>
          </w:tcPr>
          <w:p w14:paraId="2FF4E6F5" w14:textId="77777777" w:rsidR="00DB78DA" w:rsidRPr="00D43D0D" w:rsidRDefault="00DB78DA" w:rsidP="00CB48E1">
            <w:pPr>
              <w:spacing w:after="0" w:line="240" w:lineRule="auto"/>
              <w:jc w:val="center"/>
              <w:rPr>
                <w:rFonts w:ascii="Times New Roman" w:eastAsia="Times New Roman" w:hAnsi="Times New Roman" w:cs="Times New Roman"/>
                <w:i/>
                <w:iCs/>
                <w:color w:val="000000"/>
                <w:sz w:val="20"/>
                <w:szCs w:val="20"/>
                <w:lang w:eastAsia="de-DE"/>
              </w:rPr>
            </w:pPr>
            <w:r w:rsidRPr="00D43D0D">
              <w:rPr>
                <w:rFonts w:ascii="Times New Roman" w:eastAsia="Times New Roman" w:hAnsi="Times New Roman" w:cs="Times New Roman"/>
                <w:i/>
                <w:iCs/>
                <w:color w:val="000000"/>
                <w:sz w:val="20"/>
                <w:szCs w:val="20"/>
                <w:lang w:eastAsia="de-DE"/>
              </w:rPr>
              <w:t>leg pools</w:t>
            </w:r>
          </w:p>
        </w:tc>
        <w:tc>
          <w:tcPr>
            <w:tcW w:w="1497" w:type="dxa"/>
            <w:tcBorders>
              <w:top w:val="nil"/>
              <w:left w:val="nil"/>
              <w:bottom w:val="nil"/>
              <w:right w:val="nil"/>
            </w:tcBorders>
            <w:shd w:val="clear" w:color="auto" w:fill="auto"/>
            <w:noWrap/>
            <w:vAlign w:val="center"/>
            <w:hideMark/>
          </w:tcPr>
          <w:p w14:paraId="614D0F7B"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1</w:t>
            </w:r>
          </w:p>
        </w:tc>
        <w:tc>
          <w:tcPr>
            <w:tcW w:w="2777" w:type="dxa"/>
            <w:tcBorders>
              <w:top w:val="nil"/>
              <w:left w:val="nil"/>
              <w:bottom w:val="nil"/>
              <w:right w:val="nil"/>
            </w:tcBorders>
            <w:shd w:val="clear" w:color="auto" w:fill="auto"/>
            <w:noWrap/>
            <w:vAlign w:val="center"/>
            <w:hideMark/>
          </w:tcPr>
          <w:p w14:paraId="6457D0A7"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592</w:t>
            </w:r>
          </w:p>
        </w:tc>
        <w:tc>
          <w:tcPr>
            <w:tcW w:w="1540" w:type="dxa"/>
            <w:tcBorders>
              <w:top w:val="nil"/>
              <w:left w:val="nil"/>
              <w:bottom w:val="nil"/>
              <w:right w:val="nil"/>
            </w:tcBorders>
            <w:shd w:val="clear" w:color="auto" w:fill="auto"/>
            <w:noWrap/>
            <w:vAlign w:val="center"/>
            <w:hideMark/>
          </w:tcPr>
          <w:p w14:paraId="17EC70E2"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5</w:t>
            </w:r>
            <w:r>
              <w:rPr>
                <w:rFonts w:ascii="Times New Roman" w:eastAsia="Times New Roman" w:hAnsi="Times New Roman" w:cs="Times New Roman"/>
                <w:color w:val="000000"/>
                <w:sz w:val="20"/>
                <w:szCs w:val="20"/>
                <w:lang w:eastAsia="de-DE"/>
              </w:rPr>
              <w:t>3</w:t>
            </w:r>
          </w:p>
        </w:tc>
      </w:tr>
      <w:tr w:rsidR="00DB78DA" w:rsidRPr="00D43D0D" w14:paraId="515EC68E" w14:textId="77777777" w:rsidTr="00DB78DA">
        <w:trPr>
          <w:trHeight w:val="320"/>
        </w:trPr>
        <w:tc>
          <w:tcPr>
            <w:tcW w:w="1302" w:type="dxa"/>
            <w:tcBorders>
              <w:top w:val="nil"/>
              <w:left w:val="nil"/>
              <w:bottom w:val="nil"/>
              <w:right w:val="nil"/>
            </w:tcBorders>
            <w:shd w:val="clear" w:color="auto" w:fill="auto"/>
            <w:noWrap/>
            <w:vAlign w:val="center"/>
            <w:hideMark/>
          </w:tcPr>
          <w:p w14:paraId="4FE6EE66"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i/>
                <w:iCs/>
                <w:color w:val="000000"/>
                <w:sz w:val="20"/>
                <w:szCs w:val="20"/>
                <w:lang w:eastAsia="de-DE"/>
              </w:rPr>
              <w:t>F</w:t>
            </w:r>
            <w:r w:rsidRPr="00D43D0D">
              <w:rPr>
                <w:rFonts w:ascii="Times New Roman" w:eastAsia="Times New Roman" w:hAnsi="Times New Roman" w:cs="Times New Roman"/>
                <w:color w:val="000000"/>
                <w:sz w:val="20"/>
                <w:szCs w:val="20"/>
                <w:vertAlign w:val="subscript"/>
                <w:lang w:eastAsia="de-DE"/>
              </w:rPr>
              <w:t>ST</w:t>
            </w:r>
            <w:r w:rsidRPr="00D43D0D">
              <w:rPr>
                <w:rFonts w:ascii="Times New Roman" w:eastAsia="Times New Roman" w:hAnsi="Times New Roman" w:cs="Times New Roman"/>
                <w:color w:val="000000"/>
                <w:sz w:val="20"/>
                <w:szCs w:val="20"/>
                <w:lang w:eastAsia="de-DE"/>
              </w:rPr>
              <w:t xml:space="preserve"> (lower)</w:t>
            </w:r>
          </w:p>
        </w:tc>
        <w:tc>
          <w:tcPr>
            <w:tcW w:w="1996" w:type="dxa"/>
            <w:tcBorders>
              <w:top w:val="nil"/>
              <w:left w:val="nil"/>
              <w:bottom w:val="nil"/>
              <w:right w:val="nil"/>
            </w:tcBorders>
            <w:shd w:val="clear" w:color="auto" w:fill="auto"/>
            <w:noWrap/>
            <w:vAlign w:val="center"/>
            <w:hideMark/>
          </w:tcPr>
          <w:p w14:paraId="69548F27" w14:textId="77777777" w:rsidR="00DB78DA" w:rsidRPr="00D43D0D" w:rsidRDefault="00DB78DA" w:rsidP="00CB48E1">
            <w:pPr>
              <w:spacing w:after="0" w:line="240" w:lineRule="auto"/>
              <w:jc w:val="center"/>
              <w:rPr>
                <w:rFonts w:ascii="Times New Roman" w:eastAsia="Times New Roman" w:hAnsi="Times New Roman" w:cs="Times New Roman"/>
                <w:i/>
                <w:iCs/>
                <w:color w:val="000000"/>
                <w:sz w:val="20"/>
                <w:szCs w:val="20"/>
                <w:lang w:eastAsia="de-DE"/>
              </w:rPr>
            </w:pPr>
            <w:r w:rsidRPr="00D43D0D">
              <w:rPr>
                <w:rFonts w:ascii="Times New Roman" w:eastAsia="Times New Roman" w:hAnsi="Times New Roman" w:cs="Times New Roman"/>
                <w:i/>
                <w:iCs/>
                <w:color w:val="000000"/>
                <w:sz w:val="20"/>
                <w:szCs w:val="20"/>
                <w:lang w:eastAsia="de-DE"/>
              </w:rPr>
              <w:t>leg pools</w:t>
            </w:r>
          </w:p>
        </w:tc>
        <w:tc>
          <w:tcPr>
            <w:tcW w:w="1497" w:type="dxa"/>
            <w:tcBorders>
              <w:top w:val="nil"/>
              <w:left w:val="nil"/>
              <w:bottom w:val="nil"/>
              <w:right w:val="nil"/>
            </w:tcBorders>
            <w:shd w:val="clear" w:color="auto" w:fill="auto"/>
            <w:noWrap/>
            <w:vAlign w:val="center"/>
            <w:hideMark/>
          </w:tcPr>
          <w:p w14:paraId="6C04ABAC"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0 - 0.002</w:t>
            </w:r>
          </w:p>
        </w:tc>
        <w:tc>
          <w:tcPr>
            <w:tcW w:w="2777" w:type="dxa"/>
            <w:tcBorders>
              <w:top w:val="nil"/>
              <w:left w:val="nil"/>
              <w:bottom w:val="single" w:sz="4" w:space="0" w:color="auto"/>
              <w:right w:val="nil"/>
            </w:tcBorders>
            <w:shd w:val="clear" w:color="auto" w:fill="auto"/>
            <w:noWrap/>
            <w:vAlign w:val="center"/>
            <w:hideMark/>
          </w:tcPr>
          <w:p w14:paraId="0A3AE3E4"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60</w:t>
            </w:r>
          </w:p>
        </w:tc>
        <w:tc>
          <w:tcPr>
            <w:tcW w:w="1540" w:type="dxa"/>
            <w:tcBorders>
              <w:top w:val="nil"/>
              <w:left w:val="nil"/>
              <w:bottom w:val="single" w:sz="4" w:space="0" w:color="auto"/>
              <w:right w:val="nil"/>
            </w:tcBorders>
            <w:shd w:val="clear" w:color="auto" w:fill="auto"/>
            <w:noWrap/>
            <w:vAlign w:val="center"/>
            <w:hideMark/>
          </w:tcPr>
          <w:p w14:paraId="104565CB"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Pr>
                <w:rFonts w:ascii="Times New Roman" w:eastAsia="Times New Roman" w:hAnsi="Times New Roman" w:cs="Times New Roman"/>
                <w:color w:val="000000"/>
                <w:sz w:val="20"/>
                <w:szCs w:val="20"/>
                <w:lang w:eastAsia="de-DE"/>
              </w:rPr>
              <w:t>7</w:t>
            </w:r>
          </w:p>
        </w:tc>
      </w:tr>
      <w:tr w:rsidR="00DB78DA" w:rsidRPr="00D43D0D" w14:paraId="3B6BD9E3" w14:textId="77777777" w:rsidTr="00DB78DA">
        <w:trPr>
          <w:trHeight w:val="320"/>
        </w:trPr>
        <w:tc>
          <w:tcPr>
            <w:tcW w:w="1302" w:type="dxa"/>
            <w:tcBorders>
              <w:top w:val="single" w:sz="4" w:space="0" w:color="auto"/>
              <w:left w:val="nil"/>
              <w:bottom w:val="single" w:sz="4" w:space="0" w:color="auto"/>
              <w:right w:val="nil"/>
            </w:tcBorders>
            <w:shd w:val="clear" w:color="auto" w:fill="auto"/>
            <w:noWrap/>
            <w:vAlign w:val="center"/>
            <w:hideMark/>
          </w:tcPr>
          <w:p w14:paraId="3BF41D10" w14:textId="77777777" w:rsidR="00DB78DA" w:rsidRPr="00D43D0D" w:rsidRDefault="00DB78DA" w:rsidP="00CB48E1">
            <w:pPr>
              <w:spacing w:after="0" w:line="240" w:lineRule="auto"/>
              <w:jc w:val="center"/>
              <w:rPr>
                <w:rFonts w:ascii="Times New Roman" w:eastAsia="Times New Roman" w:hAnsi="Times New Roman" w:cs="Times New Roman"/>
                <w:b/>
                <w:bCs/>
                <w:color w:val="000000"/>
                <w:sz w:val="20"/>
                <w:szCs w:val="20"/>
                <w:lang w:eastAsia="de-DE"/>
              </w:rPr>
            </w:pPr>
            <w:r w:rsidRPr="00D43D0D">
              <w:rPr>
                <w:rFonts w:ascii="Times New Roman" w:eastAsia="Times New Roman" w:hAnsi="Times New Roman" w:cs="Times New Roman"/>
                <w:b/>
                <w:bCs/>
                <w:color w:val="000000"/>
                <w:sz w:val="20"/>
                <w:szCs w:val="20"/>
                <w:lang w:eastAsia="de-DE"/>
              </w:rPr>
              <w:t>Total</w:t>
            </w:r>
          </w:p>
        </w:tc>
        <w:tc>
          <w:tcPr>
            <w:tcW w:w="1996" w:type="dxa"/>
            <w:tcBorders>
              <w:top w:val="single" w:sz="4" w:space="0" w:color="auto"/>
              <w:left w:val="nil"/>
              <w:bottom w:val="single" w:sz="4" w:space="0" w:color="auto"/>
              <w:right w:val="nil"/>
            </w:tcBorders>
            <w:shd w:val="clear" w:color="auto" w:fill="auto"/>
            <w:noWrap/>
            <w:vAlign w:val="center"/>
            <w:hideMark/>
          </w:tcPr>
          <w:p w14:paraId="1F0BC2BC"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 </w:t>
            </w:r>
          </w:p>
        </w:tc>
        <w:tc>
          <w:tcPr>
            <w:tcW w:w="1497" w:type="dxa"/>
            <w:tcBorders>
              <w:top w:val="single" w:sz="4" w:space="0" w:color="auto"/>
              <w:left w:val="nil"/>
              <w:bottom w:val="single" w:sz="4" w:space="0" w:color="auto"/>
              <w:right w:val="nil"/>
            </w:tcBorders>
            <w:shd w:val="clear" w:color="auto" w:fill="auto"/>
            <w:noWrap/>
            <w:vAlign w:val="center"/>
            <w:hideMark/>
          </w:tcPr>
          <w:p w14:paraId="213A6A8F"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 </w:t>
            </w:r>
          </w:p>
        </w:tc>
        <w:tc>
          <w:tcPr>
            <w:tcW w:w="2777" w:type="dxa"/>
            <w:tcBorders>
              <w:top w:val="single" w:sz="4" w:space="0" w:color="auto"/>
              <w:left w:val="nil"/>
              <w:bottom w:val="single" w:sz="4" w:space="0" w:color="auto"/>
              <w:right w:val="nil"/>
            </w:tcBorders>
            <w:shd w:val="clear" w:color="auto" w:fill="auto"/>
            <w:noWrap/>
            <w:vAlign w:val="center"/>
            <w:hideMark/>
          </w:tcPr>
          <w:p w14:paraId="5916B5A2"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sidRPr="00D43D0D">
              <w:rPr>
                <w:rFonts w:ascii="Times New Roman" w:eastAsia="Times New Roman" w:hAnsi="Times New Roman" w:cs="Times New Roman"/>
                <w:color w:val="000000"/>
                <w:sz w:val="20"/>
                <w:szCs w:val="20"/>
                <w:lang w:eastAsia="de-DE"/>
              </w:rPr>
              <w:t>1,133 (14 shared)</w:t>
            </w:r>
          </w:p>
        </w:tc>
        <w:tc>
          <w:tcPr>
            <w:tcW w:w="1540" w:type="dxa"/>
            <w:tcBorders>
              <w:top w:val="single" w:sz="4" w:space="0" w:color="auto"/>
              <w:left w:val="nil"/>
              <w:bottom w:val="single" w:sz="4" w:space="0" w:color="auto"/>
              <w:right w:val="nil"/>
            </w:tcBorders>
            <w:shd w:val="clear" w:color="auto" w:fill="auto"/>
            <w:noWrap/>
            <w:vAlign w:val="center"/>
            <w:hideMark/>
          </w:tcPr>
          <w:p w14:paraId="5742DED8" w14:textId="77777777" w:rsidR="00DB78DA" w:rsidRPr="00D43D0D" w:rsidRDefault="00DB78DA" w:rsidP="00CB48E1">
            <w:pPr>
              <w:spacing w:after="0" w:line="240" w:lineRule="auto"/>
              <w:jc w:val="center"/>
              <w:rPr>
                <w:rFonts w:ascii="Times New Roman" w:eastAsia="Times New Roman" w:hAnsi="Times New Roman" w:cs="Times New Roman"/>
                <w:color w:val="000000"/>
                <w:sz w:val="20"/>
                <w:szCs w:val="20"/>
                <w:lang w:eastAsia="de-DE"/>
              </w:rPr>
            </w:pPr>
            <w:r>
              <w:rPr>
                <w:rFonts w:ascii="Times New Roman" w:eastAsia="Times New Roman" w:hAnsi="Times New Roman" w:cs="Times New Roman"/>
                <w:color w:val="000000"/>
                <w:sz w:val="20"/>
                <w:szCs w:val="20"/>
                <w:lang w:eastAsia="de-DE"/>
              </w:rPr>
              <w:t>12</w:t>
            </w:r>
            <w:r w:rsidRPr="00D43D0D">
              <w:rPr>
                <w:rFonts w:ascii="Times New Roman" w:eastAsia="Times New Roman" w:hAnsi="Times New Roman" w:cs="Times New Roman"/>
                <w:color w:val="000000"/>
                <w:sz w:val="20"/>
                <w:szCs w:val="20"/>
                <w:lang w:eastAsia="de-DE"/>
              </w:rPr>
              <w:t>6</w:t>
            </w:r>
          </w:p>
        </w:tc>
      </w:tr>
    </w:tbl>
    <w:p w14:paraId="3392B601" w14:textId="77777777" w:rsidR="00DB78DA" w:rsidRDefault="00DB78DA" w:rsidP="00484067">
      <w:pPr>
        <w:spacing w:line="480" w:lineRule="auto"/>
        <w:jc w:val="both"/>
        <w:rPr>
          <w:rFonts w:ascii="Times New Roman" w:hAnsi="Times New Roman"/>
          <w:b/>
          <w:sz w:val="24"/>
          <w:szCs w:val="24"/>
          <w:lang w:val="en-US"/>
        </w:rPr>
      </w:pPr>
    </w:p>
    <w:p w14:paraId="1E5D045B" w14:textId="6CE2A1DA" w:rsidR="00DB78DA" w:rsidRDefault="00DB78DA" w:rsidP="00DB78DA">
      <w:pPr>
        <w:spacing w:after="0" w:line="480" w:lineRule="auto"/>
        <w:jc w:val="both"/>
        <w:rPr>
          <w:rFonts w:ascii="Times New Roman" w:hAnsi="Times New Roman"/>
          <w:sz w:val="24"/>
          <w:szCs w:val="24"/>
          <w:lang w:val="en-US"/>
        </w:rPr>
      </w:pPr>
      <w:r w:rsidRPr="00DB78DA">
        <w:rPr>
          <w:rFonts w:ascii="Times New Roman" w:hAnsi="Times New Roman"/>
          <w:sz w:val="24"/>
          <w:szCs w:val="24"/>
          <w:lang w:val="en-US"/>
        </w:rPr>
        <w:t>From all the outliers identified that we were able to annotate (126 overall), 62 could be associated with GO terms</w:t>
      </w:r>
      <w:r w:rsidR="00BF654A">
        <w:rPr>
          <w:rFonts w:ascii="Times New Roman" w:hAnsi="Times New Roman"/>
          <w:sz w:val="24"/>
          <w:szCs w:val="24"/>
          <w:lang w:val="en-US"/>
        </w:rPr>
        <w:t>, which</w:t>
      </w:r>
      <w:r w:rsidRPr="00DB78DA">
        <w:rPr>
          <w:rFonts w:ascii="Times New Roman" w:hAnsi="Times New Roman"/>
          <w:sz w:val="24"/>
          <w:szCs w:val="24"/>
          <w:lang w:val="en-US"/>
        </w:rPr>
        <w:t xml:space="preserve"> </w:t>
      </w:r>
      <w:r w:rsidR="00BF654A">
        <w:rPr>
          <w:rFonts w:ascii="Times New Roman" w:hAnsi="Times New Roman"/>
          <w:sz w:val="24"/>
          <w:szCs w:val="24"/>
          <w:lang w:val="en-US"/>
        </w:rPr>
        <w:t>tested for</w:t>
      </w:r>
      <w:r w:rsidRPr="00DB78DA">
        <w:rPr>
          <w:rFonts w:ascii="Times New Roman" w:hAnsi="Times New Roman"/>
          <w:sz w:val="24"/>
          <w:szCs w:val="24"/>
          <w:lang w:val="en-US"/>
        </w:rPr>
        <w:t xml:space="preserve"> GO term enrichment. GO annotation revealed several loci that might be promising candidates for controlling processes such as limb growth.</w:t>
      </w:r>
      <w:r w:rsidRPr="00DB78DA" w:rsidDel="002A4DDE">
        <w:rPr>
          <w:rFonts w:ascii="Times New Roman" w:hAnsi="Times New Roman"/>
          <w:sz w:val="24"/>
          <w:szCs w:val="24"/>
          <w:lang w:val="en-US"/>
        </w:rPr>
        <w:t xml:space="preserve"> </w:t>
      </w:r>
      <w:r w:rsidRPr="00DB78DA">
        <w:rPr>
          <w:rFonts w:ascii="Times New Roman" w:hAnsi="Times New Roman"/>
          <w:sz w:val="24"/>
          <w:szCs w:val="24"/>
          <w:lang w:val="en-US"/>
        </w:rPr>
        <w:t xml:space="preserve">For example, the “molecular function” of many outliers related to either catalytic activity (31.3 %) or binding processes (43.8%), in particular to nucleic acids or nucleotides (Fig. </w:t>
      </w:r>
      <w:r>
        <w:rPr>
          <w:rFonts w:ascii="Times New Roman" w:hAnsi="Times New Roman"/>
          <w:sz w:val="24"/>
          <w:szCs w:val="24"/>
          <w:lang w:val="en-US"/>
        </w:rPr>
        <w:t>1</w:t>
      </w:r>
      <w:r w:rsidRPr="00DB78DA">
        <w:rPr>
          <w:rFonts w:ascii="Times New Roman" w:hAnsi="Times New Roman"/>
          <w:sz w:val="24"/>
          <w:szCs w:val="24"/>
          <w:lang w:val="en-US"/>
        </w:rPr>
        <w:t>). The GO ‘ion binding’</w:t>
      </w:r>
      <w:bookmarkStart w:id="0" w:name="_GoBack"/>
      <w:bookmarkEnd w:id="0"/>
      <w:r w:rsidRPr="00DB78DA">
        <w:rPr>
          <w:rFonts w:ascii="Times New Roman" w:hAnsi="Times New Roman"/>
          <w:sz w:val="24"/>
          <w:szCs w:val="24"/>
          <w:lang w:val="en-US"/>
        </w:rPr>
        <w:t xml:space="preserve"> was also found to be significantly overrepresented in GO enrichment analyses (</w:t>
      </w:r>
      <w:r>
        <w:rPr>
          <w:rFonts w:ascii="Times New Roman" w:hAnsi="Times New Roman"/>
          <w:sz w:val="24"/>
          <w:szCs w:val="24"/>
          <w:lang w:val="en-US"/>
        </w:rPr>
        <w:t>Fig. 2</w:t>
      </w:r>
      <w:r w:rsidRPr="00DB78DA">
        <w:rPr>
          <w:rFonts w:ascii="Times New Roman" w:hAnsi="Times New Roman"/>
          <w:sz w:val="24"/>
          <w:szCs w:val="24"/>
          <w:lang w:val="en-US"/>
        </w:rPr>
        <w:t xml:space="preserve">). Some outliers also have regulatory activity and control protein translation (2.1%) or act as molecular transducer (4.2%, Fig. </w:t>
      </w:r>
      <w:r>
        <w:rPr>
          <w:rFonts w:ascii="Times New Roman" w:hAnsi="Times New Roman"/>
          <w:sz w:val="24"/>
          <w:szCs w:val="24"/>
          <w:lang w:val="en-US"/>
        </w:rPr>
        <w:t>1</w:t>
      </w:r>
      <w:r w:rsidRPr="00DB78DA">
        <w:rPr>
          <w:rFonts w:ascii="Times New Roman" w:hAnsi="Times New Roman"/>
          <w:sz w:val="24"/>
          <w:szCs w:val="24"/>
          <w:lang w:val="en-US"/>
        </w:rPr>
        <w:t xml:space="preserve">). </w:t>
      </w:r>
    </w:p>
    <w:p w14:paraId="717CCF2D" w14:textId="77777777" w:rsidR="000408AC" w:rsidRDefault="000408AC" w:rsidP="00DB78DA">
      <w:pPr>
        <w:spacing w:after="0" w:line="480" w:lineRule="auto"/>
        <w:jc w:val="both"/>
        <w:rPr>
          <w:rFonts w:ascii="Times New Roman" w:hAnsi="Times New Roman"/>
          <w:sz w:val="24"/>
          <w:szCs w:val="24"/>
          <w:lang w:val="en-US"/>
        </w:rPr>
      </w:pPr>
      <w:r>
        <w:rPr>
          <w:rFonts w:ascii="Times New Roman" w:hAnsi="Times New Roman"/>
          <w:noProof/>
          <w:sz w:val="24"/>
          <w:szCs w:val="24"/>
          <w:lang w:eastAsia="de-DE"/>
        </w:rPr>
        <w:lastRenderedPageBreak/>
        <w:drawing>
          <wp:inline distT="0" distB="0" distL="0" distR="0" wp14:anchorId="0D82460A" wp14:editId="59C5A933">
            <wp:extent cx="4864540" cy="36457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5.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87992" cy="3663300"/>
                    </a:xfrm>
                    <a:prstGeom prst="rect">
                      <a:avLst/>
                    </a:prstGeom>
                  </pic:spPr>
                </pic:pic>
              </a:graphicData>
            </a:graphic>
          </wp:inline>
        </w:drawing>
      </w:r>
    </w:p>
    <w:p w14:paraId="5C24F36C" w14:textId="77777777" w:rsidR="008557E2" w:rsidRDefault="00DB78DA" w:rsidP="008557E2">
      <w:pPr>
        <w:spacing w:line="240" w:lineRule="auto"/>
        <w:jc w:val="both"/>
        <w:rPr>
          <w:rFonts w:ascii="Times New Roman" w:hAnsi="Times New Roman"/>
          <w:sz w:val="24"/>
          <w:szCs w:val="24"/>
          <w:lang w:val="en-US"/>
        </w:rPr>
      </w:pPr>
      <w:r w:rsidRPr="00DB78DA">
        <w:rPr>
          <w:rFonts w:ascii="Times New Roman" w:hAnsi="Times New Roman"/>
          <w:b/>
          <w:sz w:val="24"/>
          <w:szCs w:val="24"/>
          <w:lang w:val="en-US"/>
        </w:rPr>
        <w:t>F</w:t>
      </w:r>
      <w:r>
        <w:rPr>
          <w:rFonts w:ascii="Times New Roman" w:hAnsi="Times New Roman"/>
          <w:b/>
          <w:sz w:val="24"/>
          <w:szCs w:val="24"/>
          <w:lang w:val="en-US"/>
        </w:rPr>
        <w:t>ig. 1</w:t>
      </w:r>
      <w:r w:rsidRPr="00DB78DA">
        <w:rPr>
          <w:rFonts w:ascii="Times New Roman" w:hAnsi="Times New Roman"/>
          <w:b/>
          <w:sz w:val="24"/>
          <w:szCs w:val="24"/>
          <w:lang w:val="en-US"/>
        </w:rPr>
        <w:t xml:space="preserve"> </w:t>
      </w:r>
      <w:r w:rsidRPr="00DB78DA">
        <w:rPr>
          <w:rFonts w:ascii="Times New Roman" w:hAnsi="Times New Roman"/>
          <w:sz w:val="24"/>
          <w:szCs w:val="24"/>
          <w:lang w:val="en-US"/>
        </w:rPr>
        <w:t xml:space="preserve">Gene ontology (GO) classification </w:t>
      </w:r>
      <w:r w:rsidRPr="00066AC6">
        <w:rPr>
          <w:rFonts w:ascii="Times New Roman" w:hAnsi="Times New Roman"/>
          <w:sz w:val="24"/>
          <w:szCs w:val="24"/>
          <w:lang w:val="en-US"/>
        </w:rPr>
        <w:t xml:space="preserve">of </w:t>
      </w:r>
      <w:r w:rsidRPr="0066236E">
        <w:rPr>
          <w:rFonts w:ascii="Times New Roman" w:hAnsi="Times New Roman"/>
          <w:sz w:val="24"/>
          <w:szCs w:val="24"/>
          <w:lang w:val="en-US"/>
        </w:rPr>
        <w:t xml:space="preserve">the </w:t>
      </w:r>
      <w:r w:rsidRPr="0080284F">
        <w:rPr>
          <w:rFonts w:ascii="Times New Roman" w:hAnsi="Times New Roman"/>
          <w:sz w:val="24"/>
          <w:szCs w:val="24"/>
          <w:lang w:val="en-US"/>
        </w:rPr>
        <w:t>62 outlier loc</w:t>
      </w:r>
      <w:r w:rsidRPr="00066AC6">
        <w:rPr>
          <w:rFonts w:ascii="Times New Roman" w:hAnsi="Times New Roman"/>
          <w:sz w:val="24"/>
          <w:szCs w:val="24"/>
          <w:lang w:val="en-US"/>
        </w:rPr>
        <w:t xml:space="preserve">i </w:t>
      </w:r>
      <w:r w:rsidRPr="0066236E">
        <w:rPr>
          <w:rFonts w:ascii="Times New Roman" w:hAnsi="Times New Roman"/>
          <w:sz w:val="24"/>
          <w:szCs w:val="24"/>
          <w:lang w:val="en-US"/>
        </w:rPr>
        <w:t>we successfully blasted</w:t>
      </w:r>
      <w:r w:rsidRPr="0080284F">
        <w:rPr>
          <w:rFonts w:ascii="Times New Roman" w:hAnsi="Times New Roman"/>
          <w:sz w:val="24"/>
          <w:szCs w:val="24"/>
          <w:lang w:val="en-US"/>
        </w:rPr>
        <w:t xml:space="preserve"> and annotate</w:t>
      </w:r>
      <w:r w:rsidRPr="0066236E">
        <w:rPr>
          <w:rFonts w:ascii="Times New Roman" w:hAnsi="Times New Roman"/>
          <w:sz w:val="24"/>
          <w:szCs w:val="24"/>
          <w:lang w:val="en-US"/>
        </w:rPr>
        <w:t>d</w:t>
      </w:r>
      <w:r w:rsidRPr="0080284F">
        <w:rPr>
          <w:rFonts w:ascii="Times New Roman" w:hAnsi="Times New Roman"/>
          <w:sz w:val="24"/>
          <w:szCs w:val="24"/>
          <w:lang w:val="en-US"/>
        </w:rPr>
        <w:t xml:space="preserve"> with BLAST2GO</w:t>
      </w:r>
      <w:r w:rsidRPr="0080284F">
        <w:rPr>
          <w:rFonts w:ascii="Times New Roman" w:hAnsi="Times New Roman"/>
          <w:i/>
          <w:iCs/>
          <w:sz w:val="24"/>
          <w:szCs w:val="24"/>
          <w:lang w:val="en-US"/>
        </w:rPr>
        <w:t>.</w:t>
      </w:r>
      <w:r w:rsidRPr="00DB78DA">
        <w:rPr>
          <w:rFonts w:ascii="Times New Roman" w:hAnsi="Times New Roman"/>
          <w:sz w:val="24"/>
          <w:szCs w:val="24"/>
          <w:lang w:val="en-US"/>
        </w:rPr>
        <w:t xml:space="preserve"> Plotted are the number and percentage of outliers falling into the three main ontologies (cellular component, molecular function and biological process)</w:t>
      </w:r>
    </w:p>
    <w:p w14:paraId="109B5CAA" w14:textId="77777777" w:rsidR="008557E2" w:rsidRDefault="008557E2" w:rsidP="008557E2">
      <w:pPr>
        <w:spacing w:line="240" w:lineRule="auto"/>
        <w:jc w:val="both"/>
        <w:rPr>
          <w:rFonts w:ascii="Times New Roman" w:hAnsi="Times New Roman"/>
          <w:sz w:val="24"/>
          <w:szCs w:val="24"/>
          <w:lang w:val="en-US"/>
        </w:rPr>
      </w:pPr>
    </w:p>
    <w:p w14:paraId="333EA4D9" w14:textId="77777777" w:rsidR="008557E2" w:rsidRPr="00DB78DA" w:rsidRDefault="008557E2" w:rsidP="008557E2">
      <w:pPr>
        <w:spacing w:line="240" w:lineRule="auto"/>
        <w:jc w:val="both"/>
        <w:rPr>
          <w:rFonts w:ascii="Times New Roman" w:hAnsi="Times New Roman"/>
          <w:sz w:val="24"/>
          <w:szCs w:val="24"/>
          <w:lang w:val="en-US"/>
        </w:rPr>
      </w:pPr>
      <w:r>
        <w:rPr>
          <w:rFonts w:ascii="Times New Roman" w:hAnsi="Times New Roman"/>
          <w:noProof/>
          <w:sz w:val="24"/>
          <w:szCs w:val="24"/>
          <w:lang w:eastAsia="de-DE"/>
        </w:rPr>
        <w:drawing>
          <wp:inline distT="0" distB="0" distL="0" distR="0" wp14:anchorId="0EF8F2E1" wp14:editId="7F8A640C">
            <wp:extent cx="5395923" cy="38001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6 -go enrichm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5923" cy="3800104"/>
                    </a:xfrm>
                    <a:prstGeom prst="rect">
                      <a:avLst/>
                    </a:prstGeom>
                  </pic:spPr>
                </pic:pic>
              </a:graphicData>
            </a:graphic>
          </wp:inline>
        </w:drawing>
      </w:r>
    </w:p>
    <w:p w14:paraId="0546F06D" w14:textId="77777777" w:rsidR="00DB78DA" w:rsidRPr="008557E2" w:rsidRDefault="00DB78DA" w:rsidP="008557E2">
      <w:pPr>
        <w:spacing w:line="240" w:lineRule="auto"/>
        <w:jc w:val="both"/>
        <w:rPr>
          <w:rFonts w:ascii="Times New Roman" w:hAnsi="Times New Roman"/>
          <w:sz w:val="24"/>
          <w:szCs w:val="24"/>
          <w:lang w:val="en-US"/>
        </w:rPr>
      </w:pPr>
      <w:r w:rsidRPr="00DB78DA">
        <w:rPr>
          <w:rFonts w:ascii="Times New Roman" w:hAnsi="Times New Roman"/>
          <w:b/>
          <w:sz w:val="24"/>
          <w:szCs w:val="24"/>
          <w:lang w:val="en-US"/>
        </w:rPr>
        <w:t>F</w:t>
      </w:r>
      <w:r>
        <w:rPr>
          <w:rFonts w:ascii="Times New Roman" w:hAnsi="Times New Roman"/>
          <w:b/>
          <w:sz w:val="24"/>
          <w:szCs w:val="24"/>
          <w:lang w:val="en-US"/>
        </w:rPr>
        <w:t>ig. 2</w:t>
      </w:r>
      <w:r w:rsidRPr="00DB78DA">
        <w:rPr>
          <w:rFonts w:ascii="Times New Roman" w:hAnsi="Times New Roman"/>
          <w:b/>
          <w:sz w:val="24"/>
          <w:szCs w:val="24"/>
          <w:lang w:val="en-US"/>
        </w:rPr>
        <w:t xml:space="preserve"> </w:t>
      </w:r>
      <w:r w:rsidRPr="00F44B03">
        <w:rPr>
          <w:rFonts w:ascii="Times New Roman" w:hAnsi="Times New Roman"/>
          <w:sz w:val="24"/>
          <w:szCs w:val="24"/>
          <w:lang w:val="en-US"/>
        </w:rPr>
        <w:t xml:space="preserve">GO categories that were found to be significantly overrepresented in our outlier </w:t>
      </w:r>
      <w:r w:rsidR="008557E2">
        <w:rPr>
          <w:rFonts w:ascii="Times New Roman" w:hAnsi="Times New Roman"/>
          <w:sz w:val="24"/>
          <w:szCs w:val="24"/>
          <w:lang w:val="en-US"/>
        </w:rPr>
        <w:t xml:space="preserve">(test) </w:t>
      </w:r>
      <w:r w:rsidRPr="00F44B03">
        <w:rPr>
          <w:rFonts w:ascii="Times New Roman" w:hAnsi="Times New Roman"/>
          <w:sz w:val="24"/>
          <w:szCs w:val="24"/>
          <w:lang w:val="en-US"/>
        </w:rPr>
        <w:t>set compared to the reference dur</w:t>
      </w:r>
      <w:r w:rsidR="008557E2">
        <w:rPr>
          <w:rFonts w:ascii="Times New Roman" w:hAnsi="Times New Roman"/>
          <w:sz w:val="24"/>
          <w:szCs w:val="24"/>
          <w:lang w:val="en-US"/>
        </w:rPr>
        <w:t>ing GO term enrichment analyses</w:t>
      </w:r>
    </w:p>
    <w:sectPr w:rsidR="00DB78DA" w:rsidRPr="008557E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B0A0F"/>
    <w:multiLevelType w:val="hybridMultilevel"/>
    <w:tmpl w:val="553E82BA"/>
    <w:lvl w:ilvl="0" w:tplc="BF1654A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bert Paxton">
    <w15:presenceInfo w15:providerId="None" w15:userId="Robert Pax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03B"/>
    <w:rsid w:val="000076C8"/>
    <w:rsid w:val="00017C6C"/>
    <w:rsid w:val="000408AC"/>
    <w:rsid w:val="000E3BBA"/>
    <w:rsid w:val="001B3F8B"/>
    <w:rsid w:val="001F3904"/>
    <w:rsid w:val="002C703B"/>
    <w:rsid w:val="0037796A"/>
    <w:rsid w:val="00484067"/>
    <w:rsid w:val="00490522"/>
    <w:rsid w:val="004D49CD"/>
    <w:rsid w:val="005278A1"/>
    <w:rsid w:val="005B1DE0"/>
    <w:rsid w:val="00657A78"/>
    <w:rsid w:val="006F4934"/>
    <w:rsid w:val="007710F4"/>
    <w:rsid w:val="00852DAC"/>
    <w:rsid w:val="008557E2"/>
    <w:rsid w:val="00933B1C"/>
    <w:rsid w:val="009D6313"/>
    <w:rsid w:val="00A32EC4"/>
    <w:rsid w:val="00A33A12"/>
    <w:rsid w:val="00A468E6"/>
    <w:rsid w:val="00B20B25"/>
    <w:rsid w:val="00BF654A"/>
    <w:rsid w:val="00C6150B"/>
    <w:rsid w:val="00D22A12"/>
    <w:rsid w:val="00DB78DA"/>
    <w:rsid w:val="00DE202B"/>
    <w:rsid w:val="00E0344E"/>
    <w:rsid w:val="00EB0E28"/>
    <w:rsid w:val="00F828D8"/>
    <w:rsid w:val="00FA10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E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84067"/>
    <w:pPr>
      <w:ind w:left="720"/>
      <w:contextualSpacing/>
    </w:pPr>
  </w:style>
  <w:style w:type="paragraph" w:styleId="Sprechblasentext">
    <w:name w:val="Balloon Text"/>
    <w:basedOn w:val="Standard"/>
    <w:link w:val="SprechblasentextZchn"/>
    <w:uiPriority w:val="99"/>
    <w:semiHidden/>
    <w:unhideWhenUsed/>
    <w:rsid w:val="00FA10F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A10FE"/>
    <w:rPr>
      <w:rFonts w:ascii="Tahoma" w:hAnsi="Tahoma" w:cs="Tahoma"/>
      <w:sz w:val="16"/>
      <w:szCs w:val="16"/>
    </w:rPr>
  </w:style>
  <w:style w:type="character" w:styleId="Kommentarzeichen">
    <w:name w:val="annotation reference"/>
    <w:basedOn w:val="Absatz-Standardschriftart"/>
    <w:uiPriority w:val="99"/>
    <w:semiHidden/>
    <w:unhideWhenUsed/>
    <w:rsid w:val="00A33A12"/>
    <w:rPr>
      <w:sz w:val="16"/>
      <w:szCs w:val="16"/>
    </w:rPr>
  </w:style>
  <w:style w:type="paragraph" w:styleId="Kommentartext">
    <w:name w:val="annotation text"/>
    <w:basedOn w:val="Standard"/>
    <w:link w:val="KommentartextZchn"/>
    <w:uiPriority w:val="99"/>
    <w:unhideWhenUsed/>
    <w:rsid w:val="00A33A12"/>
    <w:pPr>
      <w:spacing w:after="160" w:line="240" w:lineRule="auto"/>
    </w:pPr>
    <w:rPr>
      <w:sz w:val="20"/>
      <w:szCs w:val="20"/>
      <w:lang w:val="en-GB"/>
    </w:rPr>
  </w:style>
  <w:style w:type="character" w:customStyle="1" w:styleId="KommentartextZchn">
    <w:name w:val="Kommentartext Zchn"/>
    <w:basedOn w:val="Absatz-Standardschriftart"/>
    <w:link w:val="Kommentartext"/>
    <w:uiPriority w:val="99"/>
    <w:rsid w:val="00A33A12"/>
    <w:rPr>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84067"/>
    <w:pPr>
      <w:ind w:left="720"/>
      <w:contextualSpacing/>
    </w:pPr>
  </w:style>
  <w:style w:type="paragraph" w:styleId="Sprechblasentext">
    <w:name w:val="Balloon Text"/>
    <w:basedOn w:val="Standard"/>
    <w:link w:val="SprechblasentextZchn"/>
    <w:uiPriority w:val="99"/>
    <w:semiHidden/>
    <w:unhideWhenUsed/>
    <w:rsid w:val="00FA10F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A10FE"/>
    <w:rPr>
      <w:rFonts w:ascii="Tahoma" w:hAnsi="Tahoma" w:cs="Tahoma"/>
      <w:sz w:val="16"/>
      <w:szCs w:val="16"/>
    </w:rPr>
  </w:style>
  <w:style w:type="character" w:styleId="Kommentarzeichen">
    <w:name w:val="annotation reference"/>
    <w:basedOn w:val="Absatz-Standardschriftart"/>
    <w:uiPriority w:val="99"/>
    <w:semiHidden/>
    <w:unhideWhenUsed/>
    <w:rsid w:val="00A33A12"/>
    <w:rPr>
      <w:sz w:val="16"/>
      <w:szCs w:val="16"/>
    </w:rPr>
  </w:style>
  <w:style w:type="paragraph" w:styleId="Kommentartext">
    <w:name w:val="annotation text"/>
    <w:basedOn w:val="Standard"/>
    <w:link w:val="KommentartextZchn"/>
    <w:uiPriority w:val="99"/>
    <w:unhideWhenUsed/>
    <w:rsid w:val="00A33A12"/>
    <w:pPr>
      <w:spacing w:after="160" w:line="240" w:lineRule="auto"/>
    </w:pPr>
    <w:rPr>
      <w:sz w:val="20"/>
      <w:szCs w:val="20"/>
      <w:lang w:val="en-GB"/>
    </w:rPr>
  </w:style>
  <w:style w:type="character" w:customStyle="1" w:styleId="KommentartextZchn">
    <w:name w:val="Kommentartext Zchn"/>
    <w:basedOn w:val="Absatz-Standardschriftart"/>
    <w:link w:val="Kommentartext"/>
    <w:uiPriority w:val="99"/>
    <w:rsid w:val="00A33A12"/>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39D4E-3718-4BFA-97E0-E2A034C33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1417</Words>
  <Characters>8932</Characters>
  <Application>Microsoft Office Word</Application>
  <DocSecurity>0</DocSecurity>
  <Lines>74</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10329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Belinda</dc:creator>
  <cp:lastModifiedBy>Belinda</cp:lastModifiedBy>
  <cp:revision>2</cp:revision>
  <dcterms:created xsi:type="dcterms:W3CDTF">2018-10-24T07:29:00Z</dcterms:created>
  <dcterms:modified xsi:type="dcterms:W3CDTF">2018-10-24T07:29:00Z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http://www.zotero.org/styles/bmc-evolutionary-biology</vt:lpwstr>
  </property>
  <property fmtid="{D5CDD505-2E9C-101B-9397-08002B2CF9AE}" pid="11" name="Mendeley Recent Style Name 4_1">
    <vt:lpwstr>BMC Evolutionary Biology</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16th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http://www.zotero.org/styles/new-phytologist</vt:lpwstr>
  </property>
  <property fmtid="{D5CDD505-2E9C-101B-9397-08002B2CF9AE}" pid="21" name="Mendeley Recent Style Name 9_1">
    <vt:lpwstr>New Phytologist</vt:lpwstr>
  </property>
  <property fmtid="{D5CDD505-2E9C-101B-9397-08002B2CF9AE}" pid="22" name="Mendeley Document_1">
    <vt:lpwstr>True</vt:lpwstr>
  </property>
  <property fmtid="{D5CDD505-2E9C-101B-9397-08002B2CF9AE}" pid="23" name="Mendeley Unique User Id_1">
    <vt:lpwstr>0e488df4-bd32-3ffd-8c8e-ca2bb2f32704</vt:lpwstr>
  </property>
  <property fmtid="{D5CDD505-2E9C-101B-9397-08002B2CF9AE}" pid="24" name="Mendeley Citation Style_1">
    <vt:lpwstr>http://www.zotero.org/styles/bmc-evolutionary-biology</vt:lpwstr>
  </property>
</Properties>
</file>