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EBA7" w14:textId="0CAD7D5A" w:rsidR="00517DCB" w:rsidRDefault="00517DCB" w:rsidP="00507E03">
      <w:pPr>
        <w:widowControl w:val="0"/>
        <w:spacing w:after="0" w:line="240" w:lineRule="auto"/>
        <w:jc w:val="both"/>
        <w:rPr>
          <w:rFonts w:ascii="Arial" w:hAnsi="Arial" w:cs="Arial"/>
          <w:b/>
          <w:sz w:val="24"/>
          <w:szCs w:val="24"/>
        </w:rPr>
      </w:pPr>
      <w:r>
        <w:rPr>
          <w:rFonts w:ascii="Arial" w:hAnsi="Arial" w:cs="Arial"/>
          <w:b/>
          <w:sz w:val="24"/>
          <w:szCs w:val="24"/>
        </w:rPr>
        <w:t xml:space="preserve">Additional file </w:t>
      </w:r>
      <w:r w:rsidR="00315408">
        <w:rPr>
          <w:rFonts w:ascii="Arial" w:hAnsi="Arial" w:cs="Arial"/>
          <w:b/>
          <w:sz w:val="24"/>
          <w:szCs w:val="24"/>
        </w:rPr>
        <w:t>7</w:t>
      </w:r>
      <w:bookmarkStart w:id="0" w:name="_GoBack"/>
      <w:bookmarkEnd w:id="0"/>
    </w:p>
    <w:p w14:paraId="3A6CBBCD" w14:textId="66D2A115" w:rsidR="00A461BF" w:rsidRPr="00A461BF" w:rsidRDefault="00A461BF" w:rsidP="00507E03">
      <w:pPr>
        <w:widowControl w:val="0"/>
        <w:spacing w:after="0" w:line="240" w:lineRule="auto"/>
        <w:jc w:val="both"/>
        <w:rPr>
          <w:rFonts w:ascii="Arial" w:hAnsi="Arial" w:cs="Arial"/>
          <w:b/>
          <w:sz w:val="24"/>
          <w:szCs w:val="24"/>
        </w:rPr>
      </w:pPr>
      <w:r w:rsidRPr="00A461BF">
        <w:rPr>
          <w:rFonts w:ascii="Arial" w:hAnsi="Arial" w:cs="Arial"/>
          <w:b/>
          <w:sz w:val="24"/>
          <w:szCs w:val="24"/>
        </w:rPr>
        <w:t xml:space="preserve">Alternative </w:t>
      </w:r>
      <w:r w:rsidR="00E4332B">
        <w:rPr>
          <w:rFonts w:ascii="Arial" w:hAnsi="Arial" w:cs="Arial"/>
          <w:b/>
          <w:sz w:val="24"/>
          <w:szCs w:val="24"/>
        </w:rPr>
        <w:t xml:space="preserve">differential expression </w:t>
      </w:r>
      <w:r w:rsidRPr="00A461BF">
        <w:rPr>
          <w:rFonts w:ascii="Arial" w:hAnsi="Arial" w:cs="Arial"/>
          <w:b/>
          <w:sz w:val="24"/>
          <w:szCs w:val="24"/>
        </w:rPr>
        <w:t>analysis</w:t>
      </w:r>
      <w:r w:rsidR="00033AAE">
        <w:rPr>
          <w:rFonts w:ascii="Arial" w:hAnsi="Arial" w:cs="Arial"/>
          <w:b/>
          <w:sz w:val="24"/>
          <w:szCs w:val="24"/>
        </w:rPr>
        <w:t xml:space="preserve"> separated by sex</w:t>
      </w:r>
    </w:p>
    <w:p w14:paraId="397A951F" w14:textId="77777777" w:rsidR="00517DCB" w:rsidRDefault="00517DCB" w:rsidP="00E4332B">
      <w:pPr>
        <w:widowControl w:val="0"/>
        <w:spacing w:after="0" w:line="240" w:lineRule="auto"/>
        <w:jc w:val="both"/>
        <w:rPr>
          <w:rFonts w:ascii="Arial" w:hAnsi="Arial" w:cs="Arial"/>
          <w:sz w:val="24"/>
          <w:szCs w:val="24"/>
        </w:rPr>
      </w:pPr>
    </w:p>
    <w:p w14:paraId="357BA996" w14:textId="71E90412" w:rsidR="00E4332B" w:rsidRPr="00E4332B" w:rsidRDefault="00A461BF" w:rsidP="00E4332B">
      <w:pPr>
        <w:widowControl w:val="0"/>
        <w:spacing w:after="0" w:line="240" w:lineRule="auto"/>
        <w:jc w:val="both"/>
        <w:rPr>
          <w:rFonts w:ascii="Arial" w:eastAsiaTheme="minorEastAsia" w:hAnsi="Arial" w:cs="Arial"/>
          <w:sz w:val="24"/>
          <w:szCs w:val="24"/>
        </w:rPr>
      </w:pPr>
      <w:r>
        <w:rPr>
          <w:rFonts w:ascii="Arial" w:hAnsi="Arial" w:cs="Arial"/>
          <w:sz w:val="24"/>
          <w:szCs w:val="24"/>
        </w:rPr>
        <w:t xml:space="preserve">A joint analysis of all samples in one model has the </w:t>
      </w:r>
      <w:r w:rsidR="001A2766">
        <w:rPr>
          <w:rFonts w:ascii="Arial" w:hAnsi="Arial" w:cs="Arial"/>
          <w:sz w:val="24"/>
          <w:szCs w:val="24"/>
        </w:rPr>
        <w:t xml:space="preserve">potential </w:t>
      </w:r>
      <w:r>
        <w:rPr>
          <w:rFonts w:ascii="Arial" w:hAnsi="Arial" w:cs="Arial"/>
          <w:sz w:val="24"/>
          <w:szCs w:val="24"/>
        </w:rPr>
        <w:t xml:space="preserve">weakness that an assumption that </w:t>
      </w:r>
      <w:proofErr w:type="spellStart"/>
      <w:r>
        <w:rPr>
          <w:rFonts w:ascii="Arial" w:hAnsi="Arial" w:cs="Arial"/>
          <w:sz w:val="24"/>
          <w:szCs w:val="24"/>
        </w:rPr>
        <w:t>edgeR</w:t>
      </w:r>
      <w:proofErr w:type="spellEnd"/>
      <w:r>
        <w:rPr>
          <w:rFonts w:ascii="Arial" w:hAnsi="Arial" w:cs="Arial"/>
          <w:sz w:val="24"/>
          <w:szCs w:val="24"/>
        </w:rPr>
        <w:t xml:space="preserve"> makes may be violated. </w:t>
      </w:r>
      <w:r w:rsidR="00E4332B">
        <w:rPr>
          <w:rFonts w:ascii="Arial" w:hAnsi="Arial" w:cs="Arial"/>
          <w:sz w:val="24"/>
          <w:szCs w:val="24"/>
        </w:rPr>
        <w:t xml:space="preserve">It assumes a </w:t>
      </w:r>
      <w:r>
        <w:rPr>
          <w:rFonts w:ascii="Arial" w:hAnsi="Arial" w:cs="Arial"/>
          <w:sz w:val="24"/>
          <w:szCs w:val="24"/>
        </w:rPr>
        <w:t xml:space="preserve">negative binomial distribution </w:t>
      </w:r>
      <w:r w:rsidR="00E4332B">
        <w:rPr>
          <w:rFonts w:ascii="Arial" w:hAnsi="Arial" w:cs="Arial"/>
          <w:sz w:val="24"/>
          <w:szCs w:val="24"/>
        </w:rPr>
        <w:t xml:space="preserve">with one dispersion parameter </w:t>
      </w:r>
      <w:r>
        <w:rPr>
          <w:rFonts w:ascii="Arial" w:hAnsi="Arial" w:cs="Arial"/>
          <w:sz w:val="24"/>
          <w:szCs w:val="24"/>
        </w:rPr>
        <w:t xml:space="preserve">(that determines the variance given the mean) </w:t>
      </w:r>
      <w:r w:rsidR="00E4332B">
        <w:rPr>
          <w:rFonts w:ascii="Arial" w:hAnsi="Arial" w:cs="Arial"/>
          <w:sz w:val="24"/>
          <w:szCs w:val="24"/>
        </w:rPr>
        <w:t>for each transcript (</w:t>
      </w:r>
      <w:r w:rsidR="009870E7">
        <w:rPr>
          <w:rFonts w:ascii="Arial" w:hAnsi="Arial" w:cs="Arial"/>
          <w:sz w:val="24"/>
          <w:szCs w:val="24"/>
        </w:rPr>
        <w:t>‘</w:t>
      </w:r>
      <w:r w:rsidR="00E4332B">
        <w:rPr>
          <w:rFonts w:ascii="Arial" w:hAnsi="Arial" w:cs="Arial"/>
          <w:sz w:val="24"/>
          <w:szCs w:val="24"/>
        </w:rPr>
        <w:t>tag</w:t>
      </w:r>
      <w:r w:rsidR="009870E7">
        <w:rPr>
          <w:rFonts w:ascii="Arial" w:hAnsi="Arial" w:cs="Arial"/>
          <w:sz w:val="24"/>
          <w:szCs w:val="24"/>
        </w:rPr>
        <w:t>’</w:t>
      </w:r>
      <w:r w:rsidR="00E4332B">
        <w:rPr>
          <w:rFonts w:ascii="Arial" w:hAnsi="Arial" w:cs="Arial"/>
          <w:sz w:val="24"/>
          <w:szCs w:val="24"/>
        </w:rPr>
        <w:t xml:space="preserve">) and does not account for the case that different dispersion parameters may be appropriate for subsets of the samples (specifically females </w:t>
      </w:r>
      <w:r w:rsidR="00E4332B" w:rsidRPr="009870E7">
        <w:rPr>
          <w:rFonts w:ascii="Arial" w:hAnsi="Arial" w:cs="Arial"/>
          <w:i/>
          <w:sz w:val="24"/>
          <w:szCs w:val="24"/>
        </w:rPr>
        <w:t>versus</w:t>
      </w:r>
      <w:r w:rsidR="00E4332B">
        <w:rPr>
          <w:rFonts w:ascii="Arial" w:hAnsi="Arial" w:cs="Arial"/>
          <w:sz w:val="24"/>
          <w:szCs w:val="24"/>
        </w:rPr>
        <w:t xml:space="preserve"> males). We therefore also performed </w:t>
      </w:r>
      <w:r w:rsidR="00333B11">
        <w:rPr>
          <w:rFonts w:ascii="Arial" w:hAnsi="Arial" w:cs="Arial"/>
          <w:sz w:val="24"/>
          <w:szCs w:val="24"/>
        </w:rPr>
        <w:t>the</w:t>
      </w:r>
      <w:r w:rsidR="00E4332B">
        <w:rPr>
          <w:rFonts w:ascii="Arial" w:hAnsi="Arial" w:cs="Arial"/>
          <w:sz w:val="24"/>
          <w:szCs w:val="24"/>
        </w:rPr>
        <w:t xml:space="preserve"> analyses for </w:t>
      </w:r>
      <w:r w:rsidR="00333B11">
        <w:rPr>
          <w:rFonts w:ascii="Arial" w:hAnsi="Arial" w:cs="Arial"/>
          <w:sz w:val="24"/>
          <w:szCs w:val="24"/>
        </w:rPr>
        <w:t xml:space="preserve">36 </w:t>
      </w:r>
      <w:r w:rsidR="00E4332B">
        <w:rPr>
          <w:rFonts w:ascii="Arial" w:hAnsi="Arial" w:cs="Arial"/>
          <w:sz w:val="24"/>
          <w:szCs w:val="24"/>
        </w:rPr>
        <w:t>male</w:t>
      </w:r>
      <w:r w:rsidR="00333B11">
        <w:rPr>
          <w:rFonts w:ascii="Arial" w:hAnsi="Arial" w:cs="Arial"/>
          <w:sz w:val="24"/>
          <w:szCs w:val="24"/>
        </w:rPr>
        <w:t>s</w:t>
      </w:r>
      <w:r w:rsidR="00E4332B">
        <w:rPr>
          <w:rFonts w:ascii="Arial" w:hAnsi="Arial" w:cs="Arial"/>
          <w:sz w:val="24"/>
          <w:szCs w:val="24"/>
        </w:rPr>
        <w:t xml:space="preserve"> and </w:t>
      </w:r>
      <w:r w:rsidR="00333B11">
        <w:rPr>
          <w:rFonts w:ascii="Arial" w:hAnsi="Arial" w:cs="Arial"/>
          <w:sz w:val="24"/>
          <w:szCs w:val="24"/>
        </w:rPr>
        <w:t xml:space="preserve">39 </w:t>
      </w:r>
      <w:r w:rsidR="00E4332B">
        <w:rPr>
          <w:rFonts w:ascii="Arial" w:hAnsi="Arial" w:cs="Arial"/>
          <w:sz w:val="24"/>
          <w:szCs w:val="24"/>
        </w:rPr>
        <w:t>females separately. For both subsets we used a GLM of the form</w:t>
      </w:r>
    </w:p>
    <w:p w14:paraId="662923B9" w14:textId="6425B043" w:rsidR="00E4332B" w:rsidRDefault="00E4332B" w:rsidP="00E4332B">
      <w:pPr>
        <w:widowControl w:val="0"/>
        <w:spacing w:after="0" w:line="240" w:lineRule="auto"/>
        <w:jc w:val="both"/>
        <w:rPr>
          <w:rFonts w:ascii="Arial" w:hAnsi="Arial" w:cs="Arial"/>
          <w:sz w:val="24"/>
          <w:szCs w:val="24"/>
        </w:rPr>
      </w:pPr>
      <m:oMathPara>
        <m:oMath>
          <m:r>
            <m:rPr>
              <m:sty m:val="p"/>
            </m:rPr>
            <w:rPr>
              <w:rFonts w:ascii="Cambria Math" w:eastAsia="Times New Roman" w:hAnsi="Cambria Math"/>
              <w:color w:val="000000"/>
              <w:sz w:val="24"/>
              <w:szCs w:val="24"/>
              <w:lang w:val="en-GB" w:eastAsia="de-DE"/>
            </w:rPr>
            <w:br/>
          </m:r>
        </m:oMath>
        <m:oMath>
          <m:func>
            <m:funcPr>
              <m:ctrlPr>
                <w:rPr>
                  <w:rFonts w:ascii="Cambria Math" w:eastAsia="Times New Roman" w:hAnsi="Cambria Math"/>
                  <w:i/>
                  <w:color w:val="000000"/>
                  <w:sz w:val="24"/>
                  <w:szCs w:val="24"/>
                  <w:lang w:val="en-GB" w:eastAsia="de-DE"/>
                </w:rPr>
              </m:ctrlPr>
            </m:funcPr>
            <m:fName>
              <m:r>
                <m:rPr>
                  <m:sty m:val="p"/>
                </m:rPr>
                <w:rPr>
                  <w:rFonts w:ascii="Cambria Math" w:eastAsia="Times New Roman" w:hAnsi="Cambria Math"/>
                  <w:color w:val="000000"/>
                  <w:sz w:val="24"/>
                  <w:szCs w:val="24"/>
                  <w:lang w:val="en-GB" w:eastAsia="de-DE"/>
                </w:rPr>
                <m:t>ln</m:t>
              </m:r>
            </m:fName>
            <m:e>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μ</m:t>
                  </m:r>
                </m:e>
                <m:sub>
                  <m:r>
                    <w:rPr>
                      <w:rFonts w:ascii="Cambria Math" w:eastAsia="Times New Roman" w:hAnsi="Cambria Math"/>
                      <w:color w:val="000000"/>
                      <w:sz w:val="24"/>
                      <w:szCs w:val="24"/>
                      <w:lang w:val="en-GB" w:eastAsia="de-DE"/>
                    </w:rPr>
                    <m:t>g,j</m:t>
                  </m:r>
                </m:sub>
              </m:sSub>
              <m:r>
                <w:rPr>
                  <w:rFonts w:ascii="Cambria Math" w:eastAsia="Times New Roman" w:hAnsi="Cambria Math"/>
                  <w:color w:val="000000"/>
                  <w:sz w:val="24"/>
                  <w:szCs w:val="24"/>
                  <w:lang w:val="en-GB" w:eastAsia="de-DE"/>
                </w:rPr>
                <m:t xml:space="preserve">= </m:t>
              </m:r>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β</m:t>
                  </m:r>
                </m:e>
                <m:sub>
                  <m:r>
                    <w:rPr>
                      <w:rFonts w:ascii="Cambria Math" w:eastAsia="Times New Roman" w:hAnsi="Cambria Math"/>
                      <w:color w:val="000000"/>
                      <w:sz w:val="24"/>
                      <w:szCs w:val="24"/>
                      <w:lang w:val="en-GB" w:eastAsia="de-DE"/>
                    </w:rPr>
                    <m:t>1</m:t>
                  </m:r>
                </m:sub>
              </m:sSub>
              <m:r>
                <w:rPr>
                  <w:rFonts w:ascii="Cambria Math" w:eastAsia="Times New Roman" w:hAnsi="Cambria Math"/>
                  <w:color w:val="000000"/>
                  <w:sz w:val="24"/>
                  <w:szCs w:val="24"/>
                  <w:lang w:val="en-GB" w:eastAsia="de-DE"/>
                </w:rPr>
                <m:t xml:space="preserve">+ </m:t>
              </m:r>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β</m:t>
                  </m:r>
                </m:e>
                <m:sub>
                  <m:r>
                    <w:rPr>
                      <w:rFonts w:ascii="Cambria Math" w:eastAsia="Times New Roman" w:hAnsi="Cambria Math"/>
                      <w:color w:val="000000"/>
                      <w:sz w:val="24"/>
                      <w:szCs w:val="24"/>
                      <w:lang w:val="en-GB" w:eastAsia="de-DE"/>
                    </w:rPr>
                    <m:t>2</m:t>
                  </m:r>
                </m:sub>
              </m:sSub>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t</m:t>
                  </m:r>
                </m:e>
                <m:sub>
                  <m:r>
                    <w:rPr>
                      <w:rFonts w:ascii="Cambria Math" w:eastAsia="Times New Roman" w:hAnsi="Cambria Math"/>
                      <w:color w:val="000000"/>
                      <w:sz w:val="24"/>
                      <w:szCs w:val="24"/>
                      <w:lang w:val="en-GB" w:eastAsia="de-DE"/>
                    </w:rPr>
                    <m:t>j</m:t>
                  </m:r>
                </m:sub>
              </m:sSub>
              <m:r>
                <w:rPr>
                  <w:rFonts w:ascii="Cambria Math" w:eastAsia="Times New Roman" w:hAnsi="Cambria Math"/>
                  <w:color w:val="000000"/>
                  <w:sz w:val="24"/>
                  <w:szCs w:val="24"/>
                  <w:lang w:val="en-GB" w:eastAsia="de-DE"/>
                </w:rPr>
                <m:t xml:space="preserve">+ </m:t>
              </m:r>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β</m:t>
                  </m:r>
                </m:e>
                <m:sub>
                  <m:r>
                    <w:rPr>
                      <w:rFonts w:ascii="Cambria Math" w:eastAsia="Times New Roman" w:hAnsi="Cambria Math"/>
                      <w:color w:val="000000"/>
                      <w:sz w:val="24"/>
                      <w:szCs w:val="24"/>
                      <w:lang w:val="en-GB" w:eastAsia="de-DE"/>
                    </w:rPr>
                    <m:t>3</m:t>
                  </m:r>
                </m:sub>
              </m:sSub>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f</m:t>
                  </m:r>
                </m:e>
                <m:sub>
                  <m:r>
                    <w:rPr>
                      <w:rFonts w:ascii="Cambria Math" w:eastAsia="Times New Roman" w:hAnsi="Cambria Math"/>
                      <w:color w:val="000000"/>
                      <w:sz w:val="24"/>
                      <w:szCs w:val="24"/>
                      <w:lang w:val="en-GB" w:eastAsia="de-DE"/>
                    </w:rPr>
                    <m:t>j</m:t>
                  </m:r>
                </m:sub>
              </m:sSub>
              <m:r>
                <w:rPr>
                  <w:rFonts w:ascii="Cambria Math" w:eastAsia="Times New Roman" w:hAnsi="Cambria Math"/>
                  <w:color w:val="000000"/>
                  <w:sz w:val="24"/>
                  <w:szCs w:val="24"/>
                  <w:lang w:val="en-GB" w:eastAsia="de-DE"/>
                </w:rPr>
                <m:t>+</m:t>
              </m:r>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β</m:t>
                  </m:r>
                </m:e>
                <m:sub>
                  <m:r>
                    <w:rPr>
                      <w:rFonts w:ascii="Cambria Math" w:eastAsia="Times New Roman" w:hAnsi="Cambria Math"/>
                      <w:color w:val="000000"/>
                      <w:sz w:val="24"/>
                      <w:szCs w:val="24"/>
                      <w:lang w:val="en-GB" w:eastAsia="de-DE"/>
                    </w:rPr>
                    <m:t>4</m:t>
                  </m:r>
                </m:sub>
              </m:sSub>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f</m:t>
                  </m:r>
                </m:e>
                <m:sub>
                  <m:r>
                    <w:rPr>
                      <w:rFonts w:ascii="Cambria Math" w:eastAsia="Times New Roman" w:hAnsi="Cambria Math"/>
                      <w:color w:val="000000"/>
                      <w:sz w:val="24"/>
                      <w:szCs w:val="24"/>
                      <w:lang w:val="en-GB" w:eastAsia="de-DE"/>
                    </w:rPr>
                    <m:t>j</m:t>
                  </m:r>
                </m:sub>
              </m:sSub>
              <m:sSub>
                <m:sSubPr>
                  <m:ctrlPr>
                    <w:rPr>
                      <w:rFonts w:ascii="Cambria Math" w:eastAsia="Times New Roman" w:hAnsi="Cambria Math"/>
                      <w:i/>
                      <w:color w:val="000000"/>
                      <w:sz w:val="24"/>
                      <w:szCs w:val="24"/>
                      <w:lang w:val="en-GB" w:eastAsia="de-DE"/>
                    </w:rPr>
                  </m:ctrlPr>
                </m:sSubPr>
                <m:e>
                  <m:r>
                    <w:rPr>
                      <w:rFonts w:ascii="Cambria Math" w:eastAsia="Times New Roman" w:hAnsi="Cambria Math"/>
                      <w:color w:val="000000"/>
                      <w:sz w:val="24"/>
                      <w:szCs w:val="24"/>
                      <w:lang w:val="en-GB" w:eastAsia="de-DE"/>
                    </w:rPr>
                    <m:t>t</m:t>
                  </m:r>
                </m:e>
                <m:sub>
                  <m:r>
                    <w:rPr>
                      <w:rFonts w:ascii="Cambria Math" w:eastAsia="Times New Roman" w:hAnsi="Cambria Math"/>
                      <w:color w:val="000000"/>
                      <w:sz w:val="24"/>
                      <w:szCs w:val="24"/>
                      <w:lang w:val="en-GB" w:eastAsia="de-DE"/>
                    </w:rPr>
                    <m:t>j</m:t>
                  </m:r>
                </m:sub>
              </m:sSub>
            </m:e>
          </m:func>
        </m:oMath>
      </m:oMathPara>
    </w:p>
    <w:p w14:paraId="1227B9D5" w14:textId="2F38C30A" w:rsidR="00A461BF" w:rsidRDefault="00A461BF" w:rsidP="00507E03">
      <w:pPr>
        <w:widowControl w:val="0"/>
        <w:spacing w:after="0" w:line="240" w:lineRule="auto"/>
        <w:jc w:val="both"/>
        <w:rPr>
          <w:rFonts w:ascii="Arial" w:hAnsi="Arial" w:cs="Arial"/>
          <w:sz w:val="24"/>
          <w:szCs w:val="24"/>
        </w:rPr>
      </w:pPr>
    </w:p>
    <w:p w14:paraId="2E5E7D68" w14:textId="53EDFD54" w:rsidR="00B20BDF" w:rsidRDefault="00B20BDF" w:rsidP="00507E03">
      <w:pPr>
        <w:widowControl w:val="0"/>
        <w:spacing w:after="0" w:line="240" w:lineRule="auto"/>
        <w:jc w:val="both"/>
        <w:rPr>
          <w:rFonts w:ascii="Arial" w:hAnsi="Arial" w:cs="Arial"/>
          <w:sz w:val="24"/>
          <w:szCs w:val="24"/>
        </w:rPr>
      </w:pPr>
      <w:proofErr w:type="gramStart"/>
      <w:r>
        <w:rPr>
          <w:rFonts w:ascii="Arial" w:hAnsi="Arial" w:cs="Arial"/>
          <w:sz w:val="24"/>
          <w:szCs w:val="24"/>
        </w:rPr>
        <w:t>and</w:t>
      </w:r>
      <w:proofErr w:type="gramEnd"/>
      <w:r>
        <w:rPr>
          <w:rFonts w:ascii="Arial" w:hAnsi="Arial" w:cs="Arial"/>
          <w:sz w:val="24"/>
          <w:szCs w:val="24"/>
        </w:rPr>
        <w:t xml:space="preserve"> tested against the null hypothesis that there is no effect of temperature (</w:t>
      </w:r>
      <m:oMath>
        <m:sSub>
          <m:sSubPr>
            <m:ctrlPr>
              <w:rPr>
                <w:rFonts w:ascii="Cambria Math" w:hAnsi="Cambria Math" w:cs="Arial"/>
                <w:i/>
                <w:sz w:val="24"/>
                <w:szCs w:val="24"/>
              </w:rPr>
            </m:ctrlPr>
          </m:sSubPr>
          <m:e>
            <m:r>
              <w:rPr>
                <w:rFonts w:ascii="Cambria Math" w:hAnsi="Cambria Math" w:cs="Arial"/>
                <w:sz w:val="24"/>
                <w:szCs w:val="24"/>
              </w:rPr>
              <m:t>β</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β</m:t>
            </m:r>
          </m:e>
          <m:sub>
            <m:r>
              <w:rPr>
                <w:rFonts w:ascii="Cambria Math" w:hAnsi="Cambria Math" w:cs="Arial"/>
                <w:sz w:val="24"/>
                <w:szCs w:val="24"/>
              </w:rPr>
              <m:t>4</m:t>
            </m:r>
          </m:sub>
        </m:sSub>
        <m:r>
          <w:rPr>
            <w:rFonts w:ascii="Cambria Math" w:hAnsi="Cambria Math" w:cs="Arial"/>
            <w:sz w:val="24"/>
            <w:szCs w:val="24"/>
          </w:rPr>
          <m:t>=0)</m:t>
        </m:r>
      </m:oMath>
      <w:r>
        <w:rPr>
          <w:rFonts w:ascii="Arial" w:eastAsiaTheme="minorEastAsia" w:hAnsi="Arial" w:cs="Arial"/>
          <w:sz w:val="24"/>
          <w:szCs w:val="24"/>
        </w:rPr>
        <w:t>. In males and females</w:t>
      </w:r>
      <w:r w:rsidR="00535A51">
        <w:rPr>
          <w:rFonts w:ascii="Arial" w:eastAsiaTheme="minorEastAsia" w:hAnsi="Arial" w:cs="Arial"/>
          <w:sz w:val="24"/>
          <w:szCs w:val="24"/>
        </w:rPr>
        <w:t>,</w:t>
      </w:r>
      <w:r>
        <w:rPr>
          <w:rFonts w:ascii="Arial" w:eastAsiaTheme="minorEastAsia" w:hAnsi="Arial" w:cs="Arial"/>
          <w:sz w:val="24"/>
          <w:szCs w:val="24"/>
        </w:rPr>
        <w:t xml:space="preserve"> 752 and 2227 transcripts were significant, respectively. 2</w:t>
      </w:r>
      <w:r w:rsidR="00333B11">
        <w:rPr>
          <w:rFonts w:ascii="Arial" w:eastAsiaTheme="minorEastAsia" w:hAnsi="Arial" w:cs="Arial"/>
          <w:sz w:val="24"/>
          <w:szCs w:val="24"/>
        </w:rPr>
        <w:t xml:space="preserve">00 transcripts were in the intersecting set, i.e. </w:t>
      </w:r>
      <w:r>
        <w:rPr>
          <w:rFonts w:ascii="Arial" w:eastAsiaTheme="minorEastAsia" w:hAnsi="Arial" w:cs="Arial"/>
          <w:sz w:val="24"/>
          <w:szCs w:val="24"/>
        </w:rPr>
        <w:t xml:space="preserve">significantly differently expressed with regard to temperature in both males and females. </w:t>
      </w:r>
      <w:r w:rsidR="00333B11">
        <w:rPr>
          <w:rFonts w:ascii="Arial" w:eastAsiaTheme="minorEastAsia" w:hAnsi="Arial" w:cs="Arial"/>
          <w:sz w:val="24"/>
          <w:szCs w:val="24"/>
        </w:rPr>
        <w:t>Notably, the set of significantly differentially expressed transcripts in females is much larger than in males. This could be a result of the fact that in females the</w:t>
      </w:r>
      <w:r w:rsidR="001A2766">
        <w:rPr>
          <w:rFonts w:ascii="Arial" w:eastAsiaTheme="minorEastAsia" w:hAnsi="Arial" w:cs="Arial"/>
          <w:sz w:val="24"/>
          <w:szCs w:val="24"/>
        </w:rPr>
        <w:t xml:space="preserve"> absolute read counts per transcript are </w:t>
      </w:r>
      <w:r w:rsidR="000D10D6">
        <w:rPr>
          <w:rFonts w:ascii="Arial" w:eastAsiaTheme="minorEastAsia" w:hAnsi="Arial" w:cs="Arial"/>
          <w:sz w:val="24"/>
          <w:szCs w:val="24"/>
        </w:rPr>
        <w:t>substantially larger</w:t>
      </w:r>
      <w:r w:rsidR="001A2766">
        <w:rPr>
          <w:rFonts w:ascii="Arial" w:eastAsiaTheme="minorEastAsia" w:hAnsi="Arial" w:cs="Arial"/>
          <w:sz w:val="24"/>
          <w:szCs w:val="24"/>
        </w:rPr>
        <w:t xml:space="preserve"> (on average 426.5 in females </w:t>
      </w:r>
      <w:r w:rsidR="001A2766" w:rsidRPr="009870E7">
        <w:rPr>
          <w:rFonts w:ascii="Arial" w:eastAsiaTheme="minorEastAsia" w:hAnsi="Arial" w:cs="Arial"/>
          <w:i/>
          <w:sz w:val="24"/>
          <w:szCs w:val="24"/>
        </w:rPr>
        <w:t>versus</w:t>
      </w:r>
      <w:r w:rsidR="001A2766">
        <w:rPr>
          <w:rFonts w:ascii="Arial" w:eastAsiaTheme="minorEastAsia" w:hAnsi="Arial" w:cs="Arial"/>
          <w:sz w:val="24"/>
          <w:szCs w:val="24"/>
        </w:rPr>
        <w:t xml:space="preserve"> 345.1 in males). In addition to the somewhat larger sample size of females, this could explain a higher statistical power for female samples. </w:t>
      </w:r>
      <w:r w:rsidR="000D10D6">
        <w:rPr>
          <w:rFonts w:ascii="Arial" w:eastAsiaTheme="minorEastAsia" w:hAnsi="Arial" w:cs="Arial"/>
          <w:sz w:val="24"/>
          <w:szCs w:val="24"/>
        </w:rPr>
        <w:t>Because</w:t>
      </w:r>
      <w:r w:rsidR="001A2766">
        <w:rPr>
          <w:rFonts w:ascii="Arial" w:eastAsiaTheme="minorEastAsia" w:hAnsi="Arial" w:cs="Arial"/>
          <w:sz w:val="24"/>
          <w:szCs w:val="24"/>
        </w:rPr>
        <w:t xml:space="preserve"> a larger set of </w:t>
      </w:r>
      <w:r w:rsidR="001A2766" w:rsidRPr="000D10D6">
        <w:rPr>
          <w:rFonts w:ascii="Arial" w:eastAsiaTheme="minorEastAsia" w:hAnsi="Arial" w:cs="Arial"/>
          <w:i/>
          <w:sz w:val="24"/>
          <w:szCs w:val="24"/>
        </w:rPr>
        <w:t>significant</w:t>
      </w:r>
      <w:r w:rsidR="000D10D6" w:rsidRPr="000D10D6">
        <w:rPr>
          <w:rFonts w:ascii="Arial" w:eastAsiaTheme="minorEastAsia" w:hAnsi="Arial" w:cs="Arial"/>
          <w:i/>
          <w:sz w:val="24"/>
          <w:szCs w:val="24"/>
        </w:rPr>
        <w:t>ly</w:t>
      </w:r>
      <w:r w:rsidR="000D10D6">
        <w:rPr>
          <w:rFonts w:ascii="Arial" w:eastAsiaTheme="minorEastAsia" w:hAnsi="Arial" w:cs="Arial"/>
          <w:sz w:val="24"/>
          <w:szCs w:val="24"/>
        </w:rPr>
        <w:t xml:space="preserve"> differentially expressed</w:t>
      </w:r>
      <w:r w:rsidR="001A2766">
        <w:rPr>
          <w:rFonts w:ascii="Arial" w:eastAsiaTheme="minorEastAsia" w:hAnsi="Arial" w:cs="Arial"/>
          <w:sz w:val="24"/>
          <w:szCs w:val="24"/>
        </w:rPr>
        <w:t xml:space="preserve"> transcripts does not imply that also a larger set of transcripts </w:t>
      </w:r>
      <w:r w:rsidR="001A2766" w:rsidRPr="000D10D6">
        <w:rPr>
          <w:rFonts w:ascii="Arial" w:eastAsiaTheme="minorEastAsia" w:hAnsi="Arial" w:cs="Arial"/>
          <w:i/>
          <w:sz w:val="24"/>
          <w:szCs w:val="24"/>
        </w:rPr>
        <w:t>is</w:t>
      </w:r>
      <w:r w:rsidR="001A2766">
        <w:rPr>
          <w:rFonts w:ascii="Arial" w:eastAsiaTheme="minorEastAsia" w:hAnsi="Arial" w:cs="Arial"/>
          <w:sz w:val="24"/>
          <w:szCs w:val="24"/>
        </w:rPr>
        <w:t xml:space="preserve"> differentially expressed</w:t>
      </w:r>
      <w:r w:rsidR="00535A51">
        <w:rPr>
          <w:rFonts w:ascii="Arial" w:eastAsiaTheme="minorEastAsia" w:hAnsi="Arial" w:cs="Arial"/>
          <w:sz w:val="24"/>
          <w:szCs w:val="24"/>
        </w:rPr>
        <w:t>,</w:t>
      </w:r>
      <w:r w:rsidR="001A2766">
        <w:rPr>
          <w:rFonts w:ascii="Arial" w:eastAsiaTheme="minorEastAsia" w:hAnsi="Arial" w:cs="Arial"/>
          <w:sz w:val="24"/>
          <w:szCs w:val="24"/>
        </w:rPr>
        <w:t xml:space="preserve"> this comparison is inconclusive. </w:t>
      </w:r>
      <w:r w:rsidR="009870E7">
        <w:rPr>
          <w:rFonts w:ascii="Arial" w:eastAsiaTheme="minorEastAsia" w:hAnsi="Arial" w:cs="Arial"/>
          <w:sz w:val="24"/>
          <w:szCs w:val="24"/>
        </w:rPr>
        <w:t>Moreover, t</w:t>
      </w:r>
      <w:r w:rsidR="001A2766">
        <w:rPr>
          <w:rFonts w:ascii="Arial" w:eastAsiaTheme="minorEastAsia" w:hAnsi="Arial" w:cs="Arial"/>
          <w:sz w:val="24"/>
          <w:szCs w:val="24"/>
        </w:rPr>
        <w:t xml:space="preserve">he estimates of the dispersion parameter </w:t>
      </w:r>
      <w:r w:rsidR="000D10D6">
        <w:rPr>
          <w:rFonts w:ascii="Arial" w:eastAsiaTheme="minorEastAsia" w:hAnsi="Arial" w:cs="Arial"/>
          <w:sz w:val="24"/>
          <w:szCs w:val="24"/>
        </w:rPr>
        <w:t>are</w:t>
      </w:r>
      <w:r w:rsidR="001A2766">
        <w:rPr>
          <w:rFonts w:ascii="Arial" w:eastAsiaTheme="minorEastAsia" w:hAnsi="Arial" w:cs="Arial"/>
          <w:sz w:val="24"/>
          <w:szCs w:val="24"/>
        </w:rPr>
        <w:t xml:space="preserve"> very similar in males and females (1.101 versus 1.103). We therefore chose to analyze all samples together and to benefit from the increase in power that is to be expected from this larger, pooled sample of individuals.</w:t>
      </w:r>
      <w:r w:rsidR="00535A51">
        <w:rPr>
          <w:rFonts w:ascii="Arial" w:eastAsiaTheme="minorEastAsia" w:hAnsi="Arial" w:cs="Arial"/>
          <w:sz w:val="24"/>
          <w:szCs w:val="24"/>
        </w:rPr>
        <w:t xml:space="preserve"> </w:t>
      </w:r>
    </w:p>
    <w:sectPr w:rsidR="00B20BD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A159B3" w16cid:durableId="1D42B29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E03"/>
    <w:rsid w:val="00007DB3"/>
    <w:rsid w:val="00033AAE"/>
    <w:rsid w:val="000C0EA4"/>
    <w:rsid w:val="000D10D6"/>
    <w:rsid w:val="0016278A"/>
    <w:rsid w:val="001A2766"/>
    <w:rsid w:val="00315408"/>
    <w:rsid w:val="00333B11"/>
    <w:rsid w:val="003A4311"/>
    <w:rsid w:val="00410760"/>
    <w:rsid w:val="00440BC6"/>
    <w:rsid w:val="00507E03"/>
    <w:rsid w:val="00517DCB"/>
    <w:rsid w:val="00535A51"/>
    <w:rsid w:val="00692E0A"/>
    <w:rsid w:val="00811397"/>
    <w:rsid w:val="008B32CE"/>
    <w:rsid w:val="008D197C"/>
    <w:rsid w:val="0091566A"/>
    <w:rsid w:val="009461A8"/>
    <w:rsid w:val="00981947"/>
    <w:rsid w:val="00984A3B"/>
    <w:rsid w:val="009870E7"/>
    <w:rsid w:val="009C5B16"/>
    <w:rsid w:val="00A461BF"/>
    <w:rsid w:val="00A72C6B"/>
    <w:rsid w:val="00AA2E40"/>
    <w:rsid w:val="00B20BDF"/>
    <w:rsid w:val="00B632A6"/>
    <w:rsid w:val="00C61E92"/>
    <w:rsid w:val="00D32BB0"/>
    <w:rsid w:val="00D653F2"/>
    <w:rsid w:val="00E43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51AD"/>
  <w15:docId w15:val="{4F77D00F-4D15-49F7-B6EB-7F26AEFC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07E03"/>
    <w:rPr>
      <w:color w:val="000080"/>
      <w:u w:val="single"/>
    </w:rPr>
  </w:style>
  <w:style w:type="paragraph" w:styleId="Sprechblasentext">
    <w:name w:val="Balloon Text"/>
    <w:basedOn w:val="Standard"/>
    <w:link w:val="SprechblasentextZchn"/>
    <w:uiPriority w:val="99"/>
    <w:semiHidden/>
    <w:unhideWhenUsed/>
    <w:rsid w:val="009819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81947"/>
    <w:rPr>
      <w:rFonts w:ascii="Tahoma" w:hAnsi="Tahoma" w:cs="Tahoma"/>
      <w:sz w:val="16"/>
      <w:szCs w:val="16"/>
    </w:rPr>
  </w:style>
  <w:style w:type="character" w:styleId="Kommentarzeichen">
    <w:name w:val="annotation reference"/>
    <w:basedOn w:val="Absatz-Standardschriftart"/>
    <w:uiPriority w:val="99"/>
    <w:semiHidden/>
    <w:unhideWhenUsed/>
    <w:rsid w:val="00007DB3"/>
    <w:rPr>
      <w:sz w:val="16"/>
      <w:szCs w:val="16"/>
    </w:rPr>
  </w:style>
  <w:style w:type="paragraph" w:styleId="Kommentartext">
    <w:name w:val="annotation text"/>
    <w:basedOn w:val="Standard"/>
    <w:link w:val="KommentartextZchn"/>
    <w:uiPriority w:val="99"/>
    <w:semiHidden/>
    <w:unhideWhenUsed/>
    <w:rsid w:val="00007D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07DB3"/>
    <w:rPr>
      <w:sz w:val="20"/>
      <w:szCs w:val="20"/>
    </w:rPr>
  </w:style>
  <w:style w:type="paragraph" w:styleId="Kommentarthema">
    <w:name w:val="annotation subject"/>
    <w:basedOn w:val="Kommentartext"/>
    <w:next w:val="Kommentartext"/>
    <w:link w:val="KommentarthemaZchn"/>
    <w:uiPriority w:val="99"/>
    <w:semiHidden/>
    <w:unhideWhenUsed/>
    <w:rsid w:val="00007DB3"/>
    <w:rPr>
      <w:b/>
      <w:bCs/>
    </w:rPr>
  </w:style>
  <w:style w:type="character" w:customStyle="1" w:styleId="KommentarthemaZchn">
    <w:name w:val="Kommentarthema Zchn"/>
    <w:basedOn w:val="KommentartextZchn"/>
    <w:link w:val="Kommentarthema"/>
    <w:uiPriority w:val="99"/>
    <w:semiHidden/>
    <w:rsid w:val="00007DB3"/>
    <w:rPr>
      <w:b/>
      <w:bCs/>
      <w:sz w:val="20"/>
      <w:szCs w:val="20"/>
    </w:rPr>
  </w:style>
  <w:style w:type="character" w:styleId="Platzhaltertext">
    <w:name w:val="Placeholder Text"/>
    <w:basedOn w:val="Absatz-Standardschriftart"/>
    <w:uiPriority w:val="99"/>
    <w:semiHidden/>
    <w:rsid w:val="00B20B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11"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1639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Klaus Fischer</cp:lastModifiedBy>
  <cp:revision>6</cp:revision>
  <dcterms:created xsi:type="dcterms:W3CDTF">2018-02-01T08:28:00Z</dcterms:created>
  <dcterms:modified xsi:type="dcterms:W3CDTF">2018-10-26T14:56:00Z</dcterms:modified>
</cp:coreProperties>
</file>