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56F06" w14:textId="281801D9" w:rsidR="00C7397C" w:rsidRPr="00214B75" w:rsidRDefault="00872592" w:rsidP="0091532D">
      <w:pPr>
        <w:pStyle w:val="SMHeading"/>
        <w:spacing w:line="360" w:lineRule="auto"/>
        <w:rPr>
          <w:sz w:val="28"/>
          <w:szCs w:val="28"/>
        </w:rPr>
      </w:pPr>
      <w:r w:rsidRPr="00872592">
        <w:rPr>
          <w:sz w:val="28"/>
          <w:szCs w:val="28"/>
        </w:rPr>
        <w:t>Supporting</w:t>
      </w:r>
      <w:r w:rsidR="002E4B8D" w:rsidRPr="00214B75">
        <w:rPr>
          <w:sz w:val="28"/>
          <w:szCs w:val="28"/>
        </w:rPr>
        <w:t xml:space="preserve"> </w:t>
      </w:r>
      <w:r w:rsidR="00A75BD9">
        <w:rPr>
          <w:sz w:val="28"/>
          <w:szCs w:val="28"/>
        </w:rPr>
        <w:t>Text</w:t>
      </w:r>
    </w:p>
    <w:p w14:paraId="6DB5ED8D" w14:textId="77777777" w:rsidR="009F61F3" w:rsidRPr="00214B75" w:rsidRDefault="009F61F3" w:rsidP="0091532D">
      <w:pPr>
        <w:pStyle w:val="SMText"/>
        <w:spacing w:line="360" w:lineRule="auto"/>
        <w:ind w:firstLine="0"/>
        <w:rPr>
          <w:lang w:eastAsia="ja-JP"/>
        </w:rPr>
      </w:pPr>
    </w:p>
    <w:p w14:paraId="7767218C" w14:textId="2CAEA5C5" w:rsidR="009F61F3" w:rsidRPr="00214B75" w:rsidRDefault="009F61F3" w:rsidP="0091532D">
      <w:pPr>
        <w:pStyle w:val="SMText"/>
        <w:spacing w:line="360" w:lineRule="auto"/>
        <w:ind w:firstLine="0"/>
        <w:rPr>
          <w:b/>
        </w:rPr>
      </w:pPr>
      <w:r w:rsidRPr="00214B75">
        <w:rPr>
          <w:b/>
        </w:rPr>
        <w:t xml:space="preserve">Estimation of the </w:t>
      </w:r>
      <w:r w:rsidR="00EE50CC" w:rsidRPr="00214B75">
        <w:rPr>
          <w:b/>
        </w:rPr>
        <w:t>R</w:t>
      </w:r>
      <w:r w:rsidRPr="00214B75">
        <w:rPr>
          <w:b/>
        </w:rPr>
        <w:t xml:space="preserve">ate of </w:t>
      </w:r>
      <w:r w:rsidR="00EE50CC" w:rsidRPr="00214B75">
        <w:rPr>
          <w:b/>
        </w:rPr>
        <w:t>S</w:t>
      </w:r>
      <w:r w:rsidRPr="00214B75">
        <w:rPr>
          <w:b/>
        </w:rPr>
        <w:t xml:space="preserve">equence </w:t>
      </w:r>
      <w:r w:rsidR="00EE50CC" w:rsidRPr="00214B75">
        <w:rPr>
          <w:b/>
        </w:rPr>
        <w:t>E</w:t>
      </w:r>
      <w:r w:rsidRPr="00214B75">
        <w:rPr>
          <w:b/>
        </w:rPr>
        <w:t>rrors</w:t>
      </w:r>
    </w:p>
    <w:p w14:paraId="4A7EE448" w14:textId="4CFC84AB" w:rsidR="009F61F3" w:rsidRPr="00214B75" w:rsidRDefault="009F61F3" w:rsidP="0091532D">
      <w:pPr>
        <w:pStyle w:val="SMText"/>
        <w:spacing w:line="360" w:lineRule="auto"/>
      </w:pPr>
      <w:r w:rsidRPr="00214B75">
        <w:tab/>
      </w:r>
      <w:r w:rsidR="002431F9" w:rsidRPr="00214B75">
        <w:t>T</w:t>
      </w:r>
      <w:r w:rsidRPr="00214B75">
        <w:t xml:space="preserve">he rate of sequence errors </w:t>
      </w:r>
      <w:r w:rsidR="002431F9" w:rsidRPr="00214B75">
        <w:t xml:space="preserve">was estimated </w:t>
      </w:r>
      <w:r w:rsidRPr="00214B75">
        <w:t xml:space="preserve">based on an idea </w:t>
      </w:r>
      <w:r w:rsidR="002431F9" w:rsidRPr="00214B75">
        <w:t xml:space="preserve">proposed by </w:t>
      </w:r>
      <w:r w:rsidRPr="00214B75">
        <w:t xml:space="preserve">Kofler et al. </w:t>
      </w:r>
      <w:r w:rsidRPr="00214B75">
        <w:fldChar w:fldCharType="begin"/>
      </w:r>
      <w:r w:rsidR="00BD2855">
        <w:instrText xml:space="preserve"> ADDIN EN.CITE &lt;EndNote&gt;&lt;Cite&gt;&lt;Author&gt;Kofler&lt;/Author&gt;&lt;Year&gt;2011&lt;/Year&gt;&lt;RecNum&gt;203&lt;/RecNum&gt;&lt;DisplayText&gt;[1]&lt;/DisplayText&gt;&lt;record&gt;&lt;rec-number&gt;203&lt;/rec-number&gt;&lt;foreign-keys&gt;&lt;key app="EN" db-id="spf5fp9f80rs5derr24vzxxcx0dt25rp9sfr" timestamp="1456809246"&gt;203&lt;/key&gt;&lt;key app="ENWeb" db-id=""&gt;0&lt;/key&gt;&lt;/foreign-keys&gt;&lt;ref-type name="Journal Article"&gt;17&lt;/ref-type&gt;&lt;contributors&gt;&lt;authors&gt;&lt;author&gt;Kofler, R.&lt;/author&gt;&lt;author&gt;Orozco-terWengel, P.&lt;/author&gt;&lt;author&gt;De Maio, N.&lt;/author&gt;&lt;author&gt;Pandey, R. V.&lt;/author&gt;&lt;author&gt;Nolte, V.&lt;/author&gt;&lt;author&gt;Futschik, A.&lt;/author&gt;&lt;author&gt;Kosiol, C.&lt;/author&gt;&lt;author&gt;Schlotterer, C.&lt;/author&gt;&lt;/authors&gt;&lt;/contributors&gt;&lt;auth-address&gt;Institute of Population Genetics, Vetmeduni Vienna, Vienna, Austria.&lt;/auth-address&gt;&lt;titles&gt;&lt;title&gt;PoPoolation: a toolbox for population genetic analysis of next generation sequencing data from pooled individuals&lt;/title&gt;&lt;secondary-title&gt;PLoS One&lt;/secondary-title&gt;&lt;/titles&gt;&lt;periodical&gt;&lt;full-title&gt;PLoS One&lt;/full-title&gt;&lt;/periodical&gt;&lt;pages&gt;e15925&lt;/pages&gt;&lt;volume&gt;6&lt;/volume&gt;&lt;number&gt;1&lt;/number&gt;&lt;keywords&gt;&lt;keyword&gt;*Algorithms&lt;/keyword&gt;&lt;keyword&gt;Base Sequence&lt;/keyword&gt;&lt;keyword&gt;Data Interpretation, Statistical&lt;/keyword&gt;&lt;keyword&gt;Genetics, Population&lt;/keyword&gt;&lt;keyword&gt;Humans&lt;/keyword&gt;&lt;keyword&gt;Internet&lt;/keyword&gt;&lt;keyword&gt;Models, Genetic&lt;/keyword&gt;&lt;keyword&gt;Sequence Analysis, DNA/*methods/*statistics &amp;amp; numerical data&lt;/keyword&gt;&lt;/keywords&gt;&lt;dates&gt;&lt;year&gt;2011&lt;/year&gt;&lt;/dates&gt;&lt;isbn&gt;1932-6203 (Electronic)&amp;#xD;1932-6203 (Linking)&lt;/isbn&gt;&lt;accession-num&gt;21253599&lt;/accession-num&gt;&lt;urls&gt;&lt;related-urls&gt;&lt;url&gt;http://www.ncbi.nlm.nih.gov/pubmed/21253599&lt;/url&gt;&lt;/related-urls&gt;&lt;/urls&gt;&lt;custom2&gt;PMC3017084&lt;/custom2&gt;&lt;electronic-resource-num&gt;10.1371/journal.pone.0015925&lt;/electronic-resource-num&gt;&lt;/record&gt;&lt;/Cite&gt;&lt;/EndNote&gt;</w:instrText>
      </w:r>
      <w:r w:rsidRPr="00214B75">
        <w:fldChar w:fldCharType="separate"/>
      </w:r>
      <w:r w:rsidR="00BD2855">
        <w:rPr>
          <w:noProof/>
        </w:rPr>
        <w:t>[1]</w:t>
      </w:r>
      <w:r w:rsidRPr="00214B75">
        <w:fldChar w:fldCharType="end"/>
      </w:r>
      <w:r w:rsidRPr="00214B75">
        <w:t xml:space="preserve">.  The idea is that a very small </w:t>
      </w:r>
      <w:r w:rsidR="002431F9" w:rsidRPr="00214B75">
        <w:t xml:space="preserve">read </w:t>
      </w:r>
      <w:r w:rsidRPr="00214B75">
        <w:t xml:space="preserve">count </w:t>
      </w:r>
      <w:r w:rsidR="002431F9" w:rsidRPr="00214B75">
        <w:t xml:space="preserve">for </w:t>
      </w:r>
      <w:r w:rsidRPr="00214B75">
        <w:t xml:space="preserve">a minor allele is likely to be a sequence error when coverage is </w:t>
      </w:r>
      <w:r w:rsidR="002431F9" w:rsidRPr="00214B75">
        <w:t xml:space="preserve">sufficiently </w:t>
      </w:r>
      <w:r w:rsidRPr="00214B75">
        <w:t xml:space="preserve">high.  Let </w:t>
      </w:r>
      <w:r w:rsidRPr="00214B75">
        <w:rPr>
          <w:i/>
        </w:rPr>
        <w:t>r</w:t>
      </w:r>
      <w:r w:rsidRPr="00214B75">
        <w:rPr>
          <w:vertAlign w:val="subscript"/>
        </w:rPr>
        <w:t>minor</w:t>
      </w:r>
      <w:r w:rsidRPr="00214B75">
        <w:t xml:space="preserve"> and </w:t>
      </w:r>
      <w:r w:rsidRPr="00214B75">
        <w:rPr>
          <w:i/>
        </w:rPr>
        <w:t>r</w:t>
      </w:r>
      <w:r w:rsidRPr="00214B75">
        <w:rPr>
          <w:vertAlign w:val="subscript"/>
        </w:rPr>
        <w:t>major</w:t>
      </w:r>
      <w:r w:rsidRPr="00214B75">
        <w:t xml:space="preserve"> be the numbers of minor and major allele reads</w:t>
      </w:r>
      <w:r w:rsidR="00C06356" w:rsidRPr="00214B75">
        <w:t>,</w:t>
      </w:r>
      <w:r w:rsidRPr="00214B75">
        <w:t xml:space="preserve"> </w:t>
      </w:r>
      <w:r w:rsidR="00866F4E" w:rsidRPr="00214B75">
        <w:t xml:space="preserve">such that </w:t>
      </w:r>
      <w:r w:rsidRPr="00214B75">
        <w:rPr>
          <w:i/>
        </w:rPr>
        <w:t>r</w:t>
      </w:r>
      <w:r w:rsidRPr="00214B75">
        <w:t xml:space="preserve"> = </w:t>
      </w:r>
      <w:r w:rsidRPr="00214B75">
        <w:rPr>
          <w:i/>
        </w:rPr>
        <w:t>r</w:t>
      </w:r>
      <w:r w:rsidRPr="00214B75">
        <w:rPr>
          <w:vertAlign w:val="subscript"/>
        </w:rPr>
        <w:t>minor</w:t>
      </w:r>
      <w:r w:rsidRPr="00214B75">
        <w:t xml:space="preserve"> + </w:t>
      </w:r>
      <w:r w:rsidRPr="00214B75">
        <w:rPr>
          <w:i/>
        </w:rPr>
        <w:t>r</w:t>
      </w:r>
      <w:r w:rsidRPr="00214B75">
        <w:rPr>
          <w:vertAlign w:val="subscript"/>
        </w:rPr>
        <w:t>major</w:t>
      </w:r>
      <w:r w:rsidRPr="00214B75">
        <w:t xml:space="preserve"> reads at a site.  Consider the situation </w:t>
      </w:r>
      <w:r w:rsidR="000477E4" w:rsidRPr="00214B75">
        <w:t xml:space="preserve">in which </w:t>
      </w:r>
      <w:r w:rsidRPr="00214B75">
        <w:rPr>
          <w:i/>
        </w:rPr>
        <w:t>r</w:t>
      </w:r>
      <w:r w:rsidRPr="00214B75">
        <w:t xml:space="preserve"> = 200, </w:t>
      </w:r>
      <w:r w:rsidRPr="00214B75">
        <w:rPr>
          <w:i/>
        </w:rPr>
        <w:t>r</w:t>
      </w:r>
      <w:r w:rsidRPr="00214B75">
        <w:rPr>
          <w:vertAlign w:val="subscript"/>
        </w:rPr>
        <w:t>minor</w:t>
      </w:r>
      <w:r w:rsidRPr="00214B75">
        <w:t xml:space="preserve"> = 1</w:t>
      </w:r>
      <w:r w:rsidR="000477E4" w:rsidRPr="00214B75">
        <w:t>,</w:t>
      </w:r>
      <w:r w:rsidRPr="00214B75">
        <w:t xml:space="preserve"> and </w:t>
      </w:r>
      <w:r w:rsidRPr="00214B75">
        <w:rPr>
          <w:i/>
        </w:rPr>
        <w:t>r</w:t>
      </w:r>
      <w:r w:rsidRPr="00214B75">
        <w:rPr>
          <w:vertAlign w:val="subscript"/>
        </w:rPr>
        <w:t>major</w:t>
      </w:r>
      <w:r w:rsidRPr="00214B75">
        <w:t xml:space="preserve"> = 199, and the number of sampled chromosomes, </w:t>
      </w:r>
      <w:r w:rsidRPr="00214B75">
        <w:rPr>
          <w:i/>
        </w:rPr>
        <w:t>n</w:t>
      </w:r>
      <w:r w:rsidRPr="00214B75">
        <w:t xml:space="preserve">, is 40.  When the true allele frequency at a site is 1/40 </w:t>
      </w:r>
      <w:r w:rsidR="000477E4" w:rsidRPr="00214B75">
        <w:t xml:space="preserve">or </w:t>
      </w:r>
      <w:r w:rsidRPr="00214B75">
        <w:t xml:space="preserve">2/40, the probability of </w:t>
      </w:r>
      <w:r w:rsidRPr="00214B75">
        <w:rPr>
          <w:i/>
        </w:rPr>
        <w:t>r</w:t>
      </w:r>
      <w:r w:rsidRPr="00214B75">
        <w:rPr>
          <w:vertAlign w:val="subscript"/>
        </w:rPr>
        <w:t>minor</w:t>
      </w:r>
      <w:r w:rsidRPr="00214B75">
        <w:t xml:space="preserve"> = 1, </w:t>
      </w:r>
      <w:r w:rsidRPr="00214B75">
        <w:rPr>
          <w:i/>
        </w:rPr>
        <w:t>P</w:t>
      </w:r>
      <w:r w:rsidRPr="00214B75">
        <w:t>(</w:t>
      </w:r>
      <w:r w:rsidRPr="00214B75">
        <w:rPr>
          <w:i/>
        </w:rPr>
        <w:t>r</w:t>
      </w:r>
      <w:r w:rsidRPr="00214B75">
        <w:rPr>
          <w:vertAlign w:val="subscript"/>
        </w:rPr>
        <w:t>minor</w:t>
      </w:r>
      <w:r w:rsidRPr="00214B75">
        <w:t xml:space="preserve"> = 1|</w:t>
      </w:r>
      <w:r w:rsidRPr="00214B75">
        <w:rPr>
          <w:i/>
        </w:rPr>
        <w:t>r</w:t>
      </w:r>
      <w:r w:rsidRPr="00214B75">
        <w:t xml:space="preserve">) is 0.0324 </w:t>
      </w:r>
      <w:r w:rsidR="000477E4" w:rsidRPr="00214B75">
        <w:t xml:space="preserve">or </w:t>
      </w:r>
      <w:r w:rsidRPr="00214B75">
        <w:t xml:space="preserve">0.000369, respectively.  </w:t>
      </w:r>
      <w:r w:rsidR="000477E4" w:rsidRPr="00214B75">
        <w:t>However</w:t>
      </w:r>
      <w:r w:rsidRPr="00214B75">
        <w:t>, when</w:t>
      </w:r>
      <w:r w:rsidR="00342540" w:rsidRPr="00214B75">
        <w:t xml:space="preserve"> the site is monomorphic and</w:t>
      </w:r>
      <w:r w:rsidRPr="00214B75">
        <w:t xml:space="preserve"> the error rate, ε, is 0.001, </w:t>
      </w:r>
      <w:r w:rsidRPr="00214B75">
        <w:rPr>
          <w:i/>
        </w:rPr>
        <w:t>P</w:t>
      </w:r>
      <w:r w:rsidRPr="00214B75">
        <w:t>(</w:t>
      </w:r>
      <w:r w:rsidRPr="00214B75">
        <w:rPr>
          <w:i/>
        </w:rPr>
        <w:t>r</w:t>
      </w:r>
      <w:r w:rsidRPr="00214B75">
        <w:rPr>
          <w:vertAlign w:val="subscript"/>
        </w:rPr>
        <w:t>minor</w:t>
      </w:r>
      <w:r w:rsidRPr="00214B75">
        <w:t xml:space="preserve"> = 1|</w:t>
      </w:r>
      <w:r w:rsidRPr="00214B75">
        <w:rPr>
          <w:i/>
        </w:rPr>
        <w:t>r</w:t>
      </w:r>
      <w:r w:rsidR="00432CC5" w:rsidRPr="00214B75">
        <w:t>, ε</w:t>
      </w:r>
      <w:r w:rsidRPr="00214B75">
        <w:t xml:space="preserve">) = 0.164.  Thus, even when the error rate is very low, </w:t>
      </w:r>
      <w:r w:rsidRPr="00214B75">
        <w:rPr>
          <w:i/>
        </w:rPr>
        <w:t>r</w:t>
      </w:r>
      <w:r w:rsidRPr="00214B75">
        <w:rPr>
          <w:vertAlign w:val="subscript"/>
        </w:rPr>
        <w:t>minor</w:t>
      </w:r>
      <w:r w:rsidRPr="00214B75">
        <w:t xml:space="preserve"> = 1 </w:t>
      </w:r>
      <w:r w:rsidR="000477E4" w:rsidRPr="00214B75">
        <w:t xml:space="preserve">is unlikely </w:t>
      </w:r>
      <w:r w:rsidRPr="00214B75">
        <w:t>without errors.</w:t>
      </w:r>
    </w:p>
    <w:p w14:paraId="010871B5" w14:textId="0E65E32C" w:rsidR="009F61F3" w:rsidRPr="00214B75" w:rsidRDefault="009F61F3" w:rsidP="0091532D">
      <w:pPr>
        <w:pStyle w:val="SMText"/>
        <w:spacing w:line="360" w:lineRule="auto"/>
      </w:pPr>
      <w:r w:rsidRPr="00214B75">
        <w:t xml:space="preserve">Utilizing this feature, ε </w:t>
      </w:r>
      <w:r w:rsidR="00167454" w:rsidRPr="00214B75">
        <w:t xml:space="preserve">was estimated </w:t>
      </w:r>
      <w:r w:rsidRPr="00214B75">
        <w:t xml:space="preserve">using sites with </w:t>
      </w:r>
      <w:r w:rsidRPr="00214B75">
        <w:rPr>
          <w:i/>
        </w:rPr>
        <w:t>r</w:t>
      </w:r>
      <w:r w:rsidRPr="00214B75">
        <w:t xml:space="preserve"> = 200</w:t>
      </w:r>
      <w:r w:rsidR="00167454" w:rsidRPr="00214B75">
        <w:t>–</w:t>
      </w:r>
      <w:r w:rsidRPr="00214B75">
        <w:t xml:space="preserve">400 and </w:t>
      </w:r>
      <w:r w:rsidRPr="00214B75">
        <w:rPr>
          <w:i/>
        </w:rPr>
        <w:t>r</w:t>
      </w:r>
      <w:r w:rsidRPr="00214B75">
        <w:rPr>
          <w:vertAlign w:val="subscript"/>
        </w:rPr>
        <w:t>minor</w:t>
      </w:r>
      <w:r w:rsidRPr="00214B75">
        <w:t xml:space="preserve"> = 0 or 1.  </w:t>
      </w:r>
      <w:r w:rsidR="00167454" w:rsidRPr="00214B75">
        <w:t>T</w:t>
      </w:r>
      <w:r w:rsidRPr="00214B75">
        <w:t xml:space="preserve">he true minor allele frequencies at the sites </w:t>
      </w:r>
      <w:r w:rsidR="00167454" w:rsidRPr="00214B75">
        <w:t xml:space="preserve">were assumed to be </w:t>
      </w:r>
      <w:r w:rsidRPr="00214B75">
        <w:t xml:space="preserve">0/40 or 1/40 because </w:t>
      </w:r>
      <w:r w:rsidRPr="00214B75">
        <w:rPr>
          <w:i/>
        </w:rPr>
        <w:t>P</w:t>
      </w:r>
      <w:r w:rsidRPr="00214B75">
        <w:t>(</w:t>
      </w:r>
      <w:r w:rsidRPr="00214B75">
        <w:rPr>
          <w:i/>
        </w:rPr>
        <w:t>r</w:t>
      </w:r>
      <w:r w:rsidRPr="00214B75">
        <w:rPr>
          <w:vertAlign w:val="subscript"/>
        </w:rPr>
        <w:t>minor</w:t>
      </w:r>
      <w:r w:rsidRPr="00214B75">
        <w:t xml:space="preserve"> = 0 or 1|</w:t>
      </w:r>
      <w:r w:rsidRPr="00214B75">
        <w:rPr>
          <w:i/>
        </w:rPr>
        <w:t>r</w:t>
      </w:r>
      <w:r w:rsidR="00D9686C" w:rsidRPr="00214B75">
        <w:t>, ε</w:t>
      </w:r>
      <w:r w:rsidRPr="00214B75">
        <w:t xml:space="preserve">) is very low when the frequency </w:t>
      </w:r>
      <w:r w:rsidR="00C06356" w:rsidRPr="00214B75">
        <w:t xml:space="preserve">is </w:t>
      </w:r>
      <w:r w:rsidRPr="00214B75">
        <w:t>≥2/40 at sites with high coverage.  Note that</w:t>
      </w:r>
      <w:r w:rsidR="00D077FA">
        <w:t>,</w:t>
      </w:r>
      <w:r w:rsidRPr="00214B75">
        <w:t xml:space="preserve"> if the true minor allele frequencies </w:t>
      </w:r>
      <w:r w:rsidR="00842934" w:rsidRPr="00214B75">
        <w:t>were</w:t>
      </w:r>
      <w:r w:rsidRPr="00214B75">
        <w:t xml:space="preserve"> 0/40</w:t>
      </w:r>
      <w:r w:rsidR="00842934" w:rsidRPr="00214B75">
        <w:t xml:space="preserve"> to </w:t>
      </w:r>
      <w:r w:rsidRPr="00214B75">
        <w:t xml:space="preserve">2/40, almost the same </w:t>
      </w:r>
      <w:r w:rsidR="00842934" w:rsidRPr="00214B75">
        <w:t>results are obtained</w:t>
      </w:r>
      <w:r w:rsidRPr="00214B75">
        <w:t>.</w:t>
      </w:r>
    </w:p>
    <w:p w14:paraId="3BFECE2C" w14:textId="61789CB5" w:rsidR="00124453" w:rsidRPr="00214B75" w:rsidRDefault="009F61F3" w:rsidP="0091532D">
      <w:pPr>
        <w:pStyle w:val="SMText"/>
        <w:spacing w:line="360" w:lineRule="auto"/>
        <w:ind w:firstLine="0"/>
      </w:pPr>
      <w:r w:rsidRPr="00214B75">
        <w:tab/>
      </w:r>
      <w:r w:rsidR="00842934" w:rsidRPr="00214B75">
        <w:t>It was necessary</w:t>
      </w:r>
      <w:r w:rsidRPr="00214B75">
        <w:t xml:space="preserve"> to estimate the proportion of sites with </w:t>
      </w:r>
      <w:r w:rsidR="006E5193" w:rsidRPr="00214B75">
        <w:t xml:space="preserve">a </w:t>
      </w:r>
      <w:r w:rsidR="0019262F" w:rsidRPr="00214B75">
        <w:t xml:space="preserve">minor allele </w:t>
      </w:r>
      <w:r w:rsidRPr="00214B75">
        <w:t>frequency</w:t>
      </w:r>
      <w:r w:rsidR="006E5193" w:rsidRPr="00214B75">
        <w:t xml:space="preserve"> of</w:t>
      </w:r>
      <w:r w:rsidRPr="00214B75">
        <w:t xml:space="preserve"> 0/40 (denoted </w:t>
      </w:r>
      <w:r w:rsidRPr="00214B75">
        <w:rPr>
          <w:i/>
        </w:rPr>
        <w:t>m</w:t>
      </w:r>
      <w:r w:rsidRPr="00214B75">
        <w:t xml:space="preserve">) as well as ε.  Thus, the joint likelihood function of ε and </w:t>
      </w:r>
      <w:r w:rsidRPr="00214B75">
        <w:rPr>
          <w:i/>
        </w:rPr>
        <w:t>m</w:t>
      </w:r>
      <w:r w:rsidR="00842934" w:rsidRPr="00214B75">
        <w:rPr>
          <w:i/>
        </w:rPr>
        <w:t xml:space="preserve"> </w:t>
      </w:r>
      <w:r w:rsidR="00842934" w:rsidRPr="00214B75">
        <w:t>was developed</w:t>
      </w:r>
      <w:r w:rsidRPr="00214B75">
        <w:t xml:space="preserve">.  </w:t>
      </w:r>
      <w:r w:rsidR="006262F0" w:rsidRPr="00214B75">
        <w:t>When</w:t>
      </w:r>
      <w:r w:rsidR="001E569D" w:rsidRPr="00214B75">
        <w:t xml:space="preserve"> the frequency of </w:t>
      </w:r>
      <w:r w:rsidR="006E5193" w:rsidRPr="00214B75">
        <w:t>a</w:t>
      </w:r>
      <w:r w:rsidR="00074D30">
        <w:t xml:space="preserve"> minor</w:t>
      </w:r>
      <w:r w:rsidR="006E5193" w:rsidRPr="00214B75">
        <w:t xml:space="preserve"> allele</w:t>
      </w:r>
      <w:r w:rsidR="001E569D" w:rsidRPr="00214B75">
        <w:t xml:space="preserve"> is 0/40, the proportions of major and minor alleles are (1–ε) and ε, respectively.  </w:t>
      </w:r>
      <w:r w:rsidR="005332C1" w:rsidRPr="00214B75">
        <w:t xml:space="preserve">For a frequency of </w:t>
      </w:r>
      <w:r w:rsidR="006262F0" w:rsidRPr="00214B75">
        <w:t xml:space="preserve">1/40, these proportions are </w:t>
      </w:r>
      <w:r w:rsidR="004E6DC4" w:rsidRPr="00214B75">
        <w:rPr>
          <w:noProof/>
          <w:position w:val="-28"/>
        </w:rPr>
        <w:drawing>
          <wp:inline distT="0" distB="0" distL="0" distR="0" wp14:anchorId="4E8B125E" wp14:editId="4D173FC0">
            <wp:extent cx="733425" cy="428625"/>
            <wp:effectExtent l="0" t="0" r="9525"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428625"/>
                    </a:xfrm>
                    <a:prstGeom prst="rect">
                      <a:avLst/>
                    </a:prstGeom>
                    <a:noFill/>
                    <a:ln>
                      <a:noFill/>
                    </a:ln>
                  </pic:spPr>
                </pic:pic>
              </a:graphicData>
            </a:graphic>
          </wp:inline>
        </w:drawing>
      </w:r>
      <w:r w:rsidR="0027419E" w:rsidRPr="00214B75">
        <w:rPr>
          <w:position w:val="-28"/>
          <w:lang w:eastAsia="ja-JP"/>
        </w:rPr>
        <w:t xml:space="preserve"> </w:t>
      </w:r>
      <w:r w:rsidR="00124453" w:rsidRPr="00214B75">
        <w:t>and</w:t>
      </w:r>
      <w:r w:rsidR="0027419E" w:rsidRPr="00214B75">
        <w:t xml:space="preserve"> </w:t>
      </w:r>
      <w:r w:rsidR="004E6DC4" w:rsidRPr="00214B75">
        <w:rPr>
          <w:noProof/>
          <w:position w:val="-28"/>
        </w:rPr>
        <w:drawing>
          <wp:inline distT="0" distB="0" distL="0" distR="0" wp14:anchorId="484C7112" wp14:editId="05617617">
            <wp:extent cx="733425" cy="428625"/>
            <wp:effectExtent l="0" t="0" r="9525"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428625"/>
                    </a:xfrm>
                    <a:prstGeom prst="rect">
                      <a:avLst/>
                    </a:prstGeom>
                    <a:noFill/>
                    <a:ln>
                      <a:noFill/>
                    </a:ln>
                  </pic:spPr>
                </pic:pic>
              </a:graphicData>
            </a:graphic>
          </wp:inline>
        </w:drawing>
      </w:r>
      <w:r w:rsidR="0027419E" w:rsidRPr="00214B75">
        <w:t>, respectively</w:t>
      </w:r>
      <w:r w:rsidR="00124453" w:rsidRPr="00214B75">
        <w:t xml:space="preserve">.  Thus, </w:t>
      </w:r>
      <w:r w:rsidRPr="00214B75">
        <w:rPr>
          <w:i/>
        </w:rPr>
        <w:t>P</w:t>
      </w:r>
      <w:r w:rsidRPr="00214B75">
        <w:t>(</w:t>
      </w:r>
      <w:r w:rsidRPr="00214B75">
        <w:rPr>
          <w:i/>
        </w:rPr>
        <w:t>r</w:t>
      </w:r>
      <w:r w:rsidRPr="00214B75">
        <w:rPr>
          <w:vertAlign w:val="subscript"/>
        </w:rPr>
        <w:t>minor</w:t>
      </w:r>
      <w:r w:rsidRPr="00214B75">
        <w:t>|</w:t>
      </w:r>
      <w:r w:rsidRPr="00214B75">
        <w:rPr>
          <w:i/>
        </w:rPr>
        <w:t>r</w:t>
      </w:r>
      <w:r w:rsidRPr="00214B75">
        <w:t xml:space="preserve">, ε, </w:t>
      </w:r>
      <w:r w:rsidRPr="00214B75">
        <w:rPr>
          <w:i/>
        </w:rPr>
        <w:t>m</w:t>
      </w:r>
      <w:r w:rsidRPr="00214B75">
        <w:t>)</w:t>
      </w:r>
      <w:r w:rsidR="00842934" w:rsidRPr="00214B75">
        <w:t xml:space="preserve"> was obtained as follows:</w:t>
      </w:r>
      <w:r w:rsidRPr="00214B75">
        <w:t xml:space="preserve"> </w:t>
      </w:r>
    </w:p>
    <w:p w14:paraId="39384846" w14:textId="77777777" w:rsidR="005677B0" w:rsidRPr="00214B75" w:rsidRDefault="005677B0" w:rsidP="0091532D">
      <w:pPr>
        <w:pStyle w:val="SMText"/>
        <w:spacing w:line="360" w:lineRule="auto"/>
        <w:ind w:firstLine="0"/>
      </w:pPr>
    </w:p>
    <w:p w14:paraId="3F398603" w14:textId="4EB1DD5D" w:rsidR="005677B0" w:rsidRPr="00214B75" w:rsidRDefault="00D43CB1" w:rsidP="0091532D">
      <w:pPr>
        <w:pStyle w:val="SMText"/>
        <w:spacing w:line="360" w:lineRule="auto"/>
        <w:ind w:firstLine="0"/>
        <w:jc w:val="center"/>
      </w:pPr>
      <w:r w:rsidRPr="00214B75">
        <w:rPr>
          <w:noProof/>
          <w:position w:val="-78"/>
        </w:rPr>
        <w:drawing>
          <wp:inline distT="0" distB="0" distL="0" distR="0" wp14:anchorId="0C4EC415" wp14:editId="42E10CB9">
            <wp:extent cx="3905250" cy="10858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0" cy="1085850"/>
                    </a:xfrm>
                    <a:prstGeom prst="rect">
                      <a:avLst/>
                    </a:prstGeom>
                    <a:noFill/>
                    <a:ln>
                      <a:noFill/>
                    </a:ln>
                  </pic:spPr>
                </pic:pic>
              </a:graphicData>
            </a:graphic>
          </wp:inline>
        </w:drawing>
      </w:r>
      <w:r w:rsidR="00AF0760" w:rsidRPr="00214B75">
        <w:rPr>
          <w:position w:val="-34"/>
          <w:lang w:eastAsia="ja-JP"/>
        </w:rPr>
        <w:t xml:space="preserve"> (1)</w:t>
      </w:r>
    </w:p>
    <w:p w14:paraId="1CD7001A" w14:textId="77777777" w:rsidR="005677B0" w:rsidRPr="00214B75" w:rsidRDefault="005677B0" w:rsidP="0091532D">
      <w:pPr>
        <w:pStyle w:val="SMText"/>
        <w:spacing w:line="360" w:lineRule="auto"/>
        <w:ind w:firstLine="0"/>
      </w:pPr>
    </w:p>
    <w:p w14:paraId="7F2BA535" w14:textId="22E82ACC" w:rsidR="009F61F3" w:rsidRPr="00214B75" w:rsidRDefault="009F61F3" w:rsidP="0091532D">
      <w:pPr>
        <w:pStyle w:val="SMText"/>
        <w:spacing w:line="360" w:lineRule="auto"/>
        <w:ind w:firstLine="0"/>
      </w:pPr>
      <w:r w:rsidRPr="00214B75">
        <w:tab/>
        <w:t xml:space="preserve">Let </w:t>
      </w:r>
      <w:r w:rsidRPr="00214B75">
        <w:rPr>
          <w:i/>
        </w:rPr>
        <w:t>n</w:t>
      </w:r>
      <w:r w:rsidRPr="00214B75">
        <w:t>(</w:t>
      </w:r>
      <w:r w:rsidRPr="00214B75">
        <w:rPr>
          <w:i/>
        </w:rPr>
        <w:t>r</w:t>
      </w:r>
      <w:r w:rsidRPr="00214B75">
        <w:t xml:space="preserve">, </w:t>
      </w:r>
      <w:r w:rsidRPr="00214B75">
        <w:rPr>
          <w:i/>
        </w:rPr>
        <w:t>r</w:t>
      </w:r>
      <w:r w:rsidRPr="00214B75">
        <w:rPr>
          <w:vertAlign w:val="subscript"/>
        </w:rPr>
        <w:t>minor</w:t>
      </w:r>
      <w:r w:rsidRPr="00214B75">
        <w:t>) be the</w:t>
      </w:r>
      <w:r w:rsidR="001407AC" w:rsidRPr="00214B75">
        <w:t xml:space="preserve"> observed</w:t>
      </w:r>
      <w:r w:rsidRPr="00214B75">
        <w:t xml:space="preserve"> number of sites with </w:t>
      </w:r>
      <w:r w:rsidR="00341C72" w:rsidRPr="00214B75">
        <w:t xml:space="preserve">a </w:t>
      </w:r>
      <w:r w:rsidRPr="00214B75">
        <w:t xml:space="preserve">given </w:t>
      </w:r>
      <w:r w:rsidRPr="00214B75">
        <w:rPr>
          <w:i/>
        </w:rPr>
        <w:t>r</w:t>
      </w:r>
      <w:r w:rsidRPr="00214B75">
        <w:t xml:space="preserve"> and </w:t>
      </w:r>
      <w:r w:rsidRPr="00214B75">
        <w:rPr>
          <w:i/>
        </w:rPr>
        <w:t>r</w:t>
      </w:r>
      <w:r w:rsidRPr="00214B75">
        <w:rPr>
          <w:vertAlign w:val="subscript"/>
        </w:rPr>
        <w:t>minor</w:t>
      </w:r>
      <w:r w:rsidRPr="00214B75">
        <w:t xml:space="preserve">.  </w:t>
      </w:r>
      <w:r w:rsidR="00341C72" w:rsidRPr="00214B75">
        <w:t>U</w:t>
      </w:r>
      <w:r w:rsidRPr="00214B75">
        <w:t xml:space="preserve">sing equation (1), the log-likelihood of ε and </w:t>
      </w:r>
      <w:r w:rsidRPr="00214B75">
        <w:rPr>
          <w:i/>
        </w:rPr>
        <w:t>m</w:t>
      </w:r>
      <w:r w:rsidRPr="00214B75">
        <w:t xml:space="preserve"> given observed </w:t>
      </w:r>
      <w:r w:rsidRPr="00214B75">
        <w:rPr>
          <w:i/>
        </w:rPr>
        <w:t>n</w:t>
      </w:r>
      <w:r w:rsidRPr="00214B75">
        <w:t>(</w:t>
      </w:r>
      <w:r w:rsidRPr="00214B75">
        <w:rPr>
          <w:i/>
        </w:rPr>
        <w:t>r</w:t>
      </w:r>
      <w:r w:rsidRPr="00214B75">
        <w:t xml:space="preserve">, </w:t>
      </w:r>
      <w:r w:rsidRPr="00214B75">
        <w:rPr>
          <w:i/>
        </w:rPr>
        <w:t>r</w:t>
      </w:r>
      <w:r w:rsidRPr="00214B75">
        <w:rPr>
          <w:vertAlign w:val="subscript"/>
        </w:rPr>
        <w:t>minor</w:t>
      </w:r>
      <w:r w:rsidRPr="00214B75">
        <w:t xml:space="preserve">) </w:t>
      </w:r>
      <w:r w:rsidR="00341C72" w:rsidRPr="00214B75">
        <w:t>is as follows:</w:t>
      </w:r>
    </w:p>
    <w:p w14:paraId="486DD232" w14:textId="77777777" w:rsidR="00431F20" w:rsidRPr="00214B75" w:rsidRDefault="00431F20" w:rsidP="0091532D">
      <w:pPr>
        <w:pStyle w:val="SMText"/>
        <w:spacing w:line="360" w:lineRule="auto"/>
        <w:ind w:firstLine="0"/>
      </w:pPr>
    </w:p>
    <w:p w14:paraId="3825B064" w14:textId="4788708F" w:rsidR="009F61F3" w:rsidRPr="00214B75" w:rsidRDefault="00D43CB1" w:rsidP="0091532D">
      <w:pPr>
        <w:pStyle w:val="SMText"/>
        <w:spacing w:line="360" w:lineRule="auto"/>
        <w:ind w:firstLine="0"/>
        <w:jc w:val="center"/>
      </w:pPr>
      <w:r w:rsidRPr="00214B75">
        <w:rPr>
          <w:noProof/>
          <w:position w:val="-74"/>
        </w:rPr>
        <w:lastRenderedPageBreak/>
        <w:drawing>
          <wp:inline distT="0" distB="0" distL="0" distR="0" wp14:anchorId="13B2DEAF" wp14:editId="6E0B6E04">
            <wp:extent cx="2838450" cy="10096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8450" cy="1009650"/>
                    </a:xfrm>
                    <a:prstGeom prst="rect">
                      <a:avLst/>
                    </a:prstGeom>
                    <a:noFill/>
                    <a:ln>
                      <a:noFill/>
                    </a:ln>
                  </pic:spPr>
                </pic:pic>
              </a:graphicData>
            </a:graphic>
          </wp:inline>
        </w:drawing>
      </w:r>
      <w:r w:rsidR="00553782" w:rsidRPr="00214B75">
        <w:t xml:space="preserve"> </w:t>
      </w:r>
      <w:r w:rsidR="009F61F3" w:rsidRPr="00214B75">
        <w:t>(</w:t>
      </w:r>
      <w:r w:rsidR="008728A4" w:rsidRPr="00214B75">
        <w:t>2</w:t>
      </w:r>
      <w:r w:rsidR="009F61F3" w:rsidRPr="00214B75">
        <w:t>)</w:t>
      </w:r>
    </w:p>
    <w:p w14:paraId="18ECB935" w14:textId="77777777" w:rsidR="009F61F3" w:rsidRPr="00214B75" w:rsidRDefault="009F61F3" w:rsidP="0091532D">
      <w:pPr>
        <w:pStyle w:val="SMText"/>
        <w:spacing w:line="360" w:lineRule="auto"/>
        <w:ind w:firstLine="0"/>
      </w:pPr>
      <w:r w:rsidRPr="00214B75">
        <w:t xml:space="preserve">where </w:t>
      </w:r>
      <w:r w:rsidRPr="00214B75">
        <w:rPr>
          <w:i/>
        </w:rPr>
        <w:t>L</w:t>
      </w:r>
      <w:r w:rsidRPr="00214B75">
        <w:rPr>
          <w:i/>
          <w:vertAlign w:val="subscript"/>
        </w:rPr>
        <w:t>r</w:t>
      </w:r>
      <w:r w:rsidRPr="00214B75">
        <w:t xml:space="preserve"> = </w:t>
      </w:r>
      <w:r w:rsidRPr="00214B75">
        <w:rPr>
          <w:i/>
        </w:rPr>
        <w:t>n</w:t>
      </w:r>
      <w:r w:rsidRPr="00214B75">
        <w:t>(</w:t>
      </w:r>
      <w:r w:rsidRPr="00214B75">
        <w:rPr>
          <w:i/>
        </w:rPr>
        <w:t>r</w:t>
      </w:r>
      <w:r w:rsidRPr="00214B75">
        <w:t xml:space="preserve">, 0) + </w:t>
      </w:r>
      <w:r w:rsidRPr="00214B75">
        <w:rPr>
          <w:i/>
        </w:rPr>
        <w:t>n</w:t>
      </w:r>
      <w:r w:rsidRPr="00214B75">
        <w:t>(</w:t>
      </w:r>
      <w:r w:rsidRPr="00214B75">
        <w:rPr>
          <w:i/>
        </w:rPr>
        <w:t>r</w:t>
      </w:r>
      <w:r w:rsidRPr="00214B75">
        <w:t>, 1).</w:t>
      </w:r>
    </w:p>
    <w:p w14:paraId="4C89E7AA" w14:textId="7BC2CAD0" w:rsidR="009F61F3" w:rsidRPr="00214B75" w:rsidRDefault="009F61F3" w:rsidP="0091532D">
      <w:pPr>
        <w:pStyle w:val="SMText"/>
        <w:spacing w:line="360" w:lineRule="auto"/>
      </w:pPr>
      <w:r w:rsidRPr="00214B75">
        <w:tab/>
      </w:r>
      <w:r w:rsidR="00341C72" w:rsidRPr="00214B75">
        <w:t>U</w:t>
      </w:r>
      <w:r w:rsidRPr="00214B75">
        <w:t>sing equation (</w:t>
      </w:r>
      <w:r w:rsidR="00E107E9" w:rsidRPr="00214B75">
        <w:t>2</w:t>
      </w:r>
      <w:r w:rsidRPr="00214B75">
        <w:t>)</w:t>
      </w:r>
      <w:r w:rsidR="00341C72" w:rsidRPr="00214B75">
        <w:t>, ε</w:t>
      </w:r>
      <w:r w:rsidRPr="00214B75">
        <w:t xml:space="preserve"> </w:t>
      </w:r>
      <w:r w:rsidR="00341C72" w:rsidRPr="00214B75">
        <w:t>was estimated as</w:t>
      </w:r>
      <w:r w:rsidRPr="00214B75">
        <w:t xml:space="preserve"> 0.00152 and 0.00155 for </w:t>
      </w:r>
      <w:r w:rsidRPr="00214B75">
        <w:rPr>
          <w:i/>
        </w:rPr>
        <w:t xml:space="preserve">H. </w:t>
      </w:r>
      <w:r w:rsidR="007A0351" w:rsidRPr="00214B75">
        <w:rPr>
          <w:i/>
        </w:rPr>
        <w:t>pyrrhocephalus</w:t>
      </w:r>
      <w:r w:rsidR="007A0351" w:rsidRPr="00214B75">
        <w:t xml:space="preserve"> </w:t>
      </w:r>
      <w:r w:rsidRPr="00214B75">
        <w:t xml:space="preserve">and </w:t>
      </w:r>
      <w:r w:rsidRPr="00214B75">
        <w:rPr>
          <w:i/>
        </w:rPr>
        <w:t>H</w:t>
      </w:r>
      <w:r w:rsidRPr="00214B75">
        <w:t xml:space="preserve">. sp. </w:t>
      </w:r>
      <w:r w:rsidR="00D077FA">
        <w:t>‘</w:t>
      </w:r>
      <w:r w:rsidRPr="00214B75">
        <w:t>macula</w:t>
      </w:r>
      <w:r w:rsidR="00341C72" w:rsidRPr="00214B75">
        <w:t>,</w:t>
      </w:r>
      <w:r w:rsidR="00E137DF" w:rsidRPr="00214B75">
        <w:t>’</w:t>
      </w:r>
      <w:r w:rsidRPr="00214B75">
        <w:t xml:space="preserve"> respectively.  In the mapping procedure, </w:t>
      </w:r>
      <w:r w:rsidR="00341C72" w:rsidRPr="00214B75">
        <w:t>the</w:t>
      </w:r>
      <w:r w:rsidRPr="00214B75">
        <w:t xml:space="preserve"> </w:t>
      </w:r>
      <w:r w:rsidR="002369B4" w:rsidRPr="00214B75">
        <w:t xml:space="preserve">minimum </w:t>
      </w:r>
      <w:r w:rsidRPr="00214B75">
        <w:t xml:space="preserve">base quality score </w:t>
      </w:r>
      <w:r w:rsidR="00341C72" w:rsidRPr="00214B75">
        <w:t>was set at</w:t>
      </w:r>
      <w:r w:rsidRPr="00214B75">
        <w:t xml:space="preserve"> 30, which </w:t>
      </w:r>
      <w:r w:rsidR="00341C72" w:rsidRPr="00214B75">
        <w:t xml:space="preserve">was </w:t>
      </w:r>
      <w:r w:rsidRPr="00214B75">
        <w:t xml:space="preserve">roughly equal to the error rate, 0.001.  Thus, our </w:t>
      </w:r>
      <w:r w:rsidR="005E4A21" w:rsidRPr="00214B75">
        <w:t xml:space="preserve">estimate </w:t>
      </w:r>
      <w:r w:rsidR="00341C72" w:rsidRPr="00214B75">
        <w:t>was</w:t>
      </w:r>
      <w:r w:rsidRPr="00214B75">
        <w:t xml:space="preserve"> feasible.</w:t>
      </w:r>
    </w:p>
    <w:p w14:paraId="6189548D" w14:textId="77777777" w:rsidR="009F61F3" w:rsidRPr="00214B75" w:rsidRDefault="009F61F3" w:rsidP="0091532D">
      <w:pPr>
        <w:pStyle w:val="SMText"/>
        <w:spacing w:line="360" w:lineRule="auto"/>
        <w:ind w:firstLine="0"/>
      </w:pPr>
    </w:p>
    <w:p w14:paraId="6C7D7F5C" w14:textId="4BE0B26F" w:rsidR="009F61F3" w:rsidRPr="00214B75" w:rsidRDefault="009F61F3" w:rsidP="0091532D">
      <w:pPr>
        <w:pStyle w:val="SMText"/>
        <w:spacing w:line="360" w:lineRule="auto"/>
        <w:ind w:firstLine="0"/>
        <w:rPr>
          <w:b/>
        </w:rPr>
      </w:pPr>
      <w:r w:rsidRPr="00214B75">
        <w:rPr>
          <w:b/>
        </w:rPr>
        <w:t xml:space="preserve">Calculating </w:t>
      </w:r>
      <w:r w:rsidR="00EE50CC" w:rsidRPr="00214B75">
        <w:rPr>
          <w:b/>
        </w:rPr>
        <w:t>P</w:t>
      </w:r>
      <w:r w:rsidRPr="00214B75">
        <w:rPr>
          <w:b/>
        </w:rPr>
        <w:t xml:space="preserve">opulation </w:t>
      </w:r>
      <w:r w:rsidR="00EE50CC" w:rsidRPr="00214B75">
        <w:rPr>
          <w:b/>
        </w:rPr>
        <w:t>G</w:t>
      </w:r>
      <w:r w:rsidRPr="00214B75">
        <w:rPr>
          <w:b/>
        </w:rPr>
        <w:t xml:space="preserve">enetic </w:t>
      </w:r>
      <w:r w:rsidR="00EE50CC" w:rsidRPr="00214B75">
        <w:rPr>
          <w:b/>
        </w:rPr>
        <w:t>S</w:t>
      </w:r>
      <w:r w:rsidRPr="00214B75">
        <w:rPr>
          <w:b/>
        </w:rPr>
        <w:t>tatistics</w:t>
      </w:r>
    </w:p>
    <w:p w14:paraId="258BD9F8" w14:textId="43444CF6" w:rsidR="009F61F3" w:rsidRPr="00214B75" w:rsidRDefault="009F61F3" w:rsidP="0091532D">
      <w:pPr>
        <w:pStyle w:val="SMText"/>
        <w:spacing w:line="360" w:lineRule="auto"/>
        <w:ind w:firstLine="0"/>
      </w:pPr>
      <w:r w:rsidRPr="00214B75">
        <w:tab/>
      </w:r>
      <w:r w:rsidR="0010150E" w:rsidRPr="00214B75">
        <w:t>M</w:t>
      </w:r>
      <w:r w:rsidRPr="00214B75">
        <w:t xml:space="preserve">ono- and bi-allelic sites with </w:t>
      </w:r>
      <w:r w:rsidR="0010150E" w:rsidRPr="00214B75">
        <w:t>coverages of</w:t>
      </w:r>
      <w:r w:rsidRPr="00214B75">
        <w:t xml:space="preserve"> 80</w:t>
      </w:r>
      <w:r w:rsidR="0010150E" w:rsidRPr="00214B75">
        <w:t>–</w:t>
      </w:r>
      <w:r w:rsidRPr="00214B75">
        <w:t>200</w:t>
      </w:r>
      <w:r w:rsidR="0010150E" w:rsidRPr="00214B75">
        <w:t>× were screened</w:t>
      </w:r>
      <w:r w:rsidRPr="00214B75">
        <w:t xml:space="preserve"> for each species to calculate population genetic statistics.  </w:t>
      </w:r>
      <w:r w:rsidR="0010150E" w:rsidRPr="00214B75">
        <w:t>The</w:t>
      </w:r>
      <w:r w:rsidRPr="00214B75">
        <w:t xml:space="preserve"> site frequency spectrum (SFS) </w:t>
      </w:r>
      <w:r w:rsidR="0010150E" w:rsidRPr="00214B75">
        <w:t xml:space="preserve">was inferred </w:t>
      </w:r>
      <w:r w:rsidRPr="00214B75">
        <w:t xml:space="preserve">for each species by applying </w:t>
      </w:r>
      <w:r w:rsidR="0010150E" w:rsidRPr="00214B75">
        <w:t xml:space="preserve">the EM algorithm developed by </w:t>
      </w:r>
      <w:r w:rsidRPr="00214B75">
        <w:t xml:space="preserve">Boitard et al. </w:t>
      </w:r>
      <w:r w:rsidRPr="00214B75">
        <w:fldChar w:fldCharType="begin"/>
      </w:r>
      <w:r w:rsidR="00BD2855">
        <w:instrText xml:space="preserve"> ADDIN EN.CITE &lt;EndNote&gt;&lt;Cite&gt;&lt;Author&gt;Boitard&lt;/Author&gt;&lt;Year&gt;2012&lt;/Year&gt;&lt;RecNum&gt;200&lt;/RecNum&gt;&lt;DisplayText&gt;[2]&lt;/DisplayText&gt;&lt;record&gt;&lt;rec-number&gt;200&lt;/rec-number&gt;&lt;foreign-keys&gt;&lt;key app="EN" db-id="spf5fp9f80rs5derr24vzxxcx0dt25rp9sfr" timestamp="1456809241"&gt;200&lt;/key&gt;&lt;key app="ENWeb" db-id=""&gt;0&lt;/key&gt;&lt;/foreign-keys&gt;&lt;ref-type name="Journal Article"&gt;17&lt;/ref-type&gt;&lt;contributors&gt;&lt;authors&gt;&lt;author&gt;Boitard, S.&lt;/author&gt;&lt;author&gt;Schlotterer, C.&lt;/author&gt;&lt;author&gt;Nolte, V.&lt;/author&gt;&lt;author&gt;Pandey, R. V.&lt;/author&gt;&lt;author&gt;Futschik, A.&lt;/author&gt;&lt;/authors&gt;&lt;/contributors&gt;&lt;auth-address&gt;Institut National de la Recherche Agronomique, Laboratoire de Genetique Cellulaire, Castanet-Tolosan, France. simon.boitard@toulouse.inra.fr&lt;/auth-address&gt;&lt;titles&gt;&lt;title&gt;Detecting selective sweeps from pooled next-generation sequencing samples&lt;/title&gt;&lt;secondary-title&gt;Mol Biol Evol&lt;/secondary-title&gt;&lt;/titles&gt;&lt;periodical&gt;&lt;full-title&gt;Mol Biol Evol&lt;/full-title&gt;&lt;/periodical&gt;&lt;pages&gt;2177-86&lt;/pages&gt;&lt;volume&gt;29&lt;/volume&gt;&lt;number&gt;9&lt;/number&gt;&lt;keywords&gt;&lt;keyword&gt;Algorithms&lt;/keyword&gt;&lt;keyword&gt;Animals&lt;/keyword&gt;&lt;keyword&gt;Computer Simulation&lt;/keyword&gt;&lt;keyword&gt;Drosophila melanogaster&lt;/keyword&gt;&lt;keyword&gt;Female&lt;/keyword&gt;&lt;keyword&gt;*Gene Frequency&lt;/keyword&gt;&lt;keyword&gt;Genetic Variation&lt;/keyword&gt;&lt;keyword&gt;*High-Throughput Nucleotide Sequencing&lt;/keyword&gt;&lt;keyword&gt;*Models, Genetic&lt;/keyword&gt;&lt;keyword&gt;Models, Statistical&lt;/keyword&gt;&lt;keyword&gt;Reproducibility of Results&lt;/keyword&gt;&lt;keyword&gt;X Chromosome&lt;/keyword&gt;&lt;/keywords&gt;&lt;dates&gt;&lt;year&gt;2012&lt;/year&gt;&lt;pub-dates&gt;&lt;date&gt;Sep&lt;/date&gt;&lt;/pub-dates&gt;&lt;/dates&gt;&lt;isbn&gt;1537-1719 (Electronic)&amp;#xD;0737-4038 (Linking)&lt;/isbn&gt;&lt;accession-num&gt;22411855&lt;/accession-num&gt;&lt;urls&gt;&lt;related-urls&gt;&lt;url&gt;http://www.ncbi.nlm.nih.gov/pubmed/22411855&lt;/url&gt;&lt;/related-urls&gt;&lt;/urls&gt;&lt;custom2&gt;PMC3424412&lt;/custom2&gt;&lt;electronic-resource-num&gt;10.1093/molbev/mss090&lt;/electronic-resource-num&gt;&lt;/record&gt;&lt;/Cite&gt;&lt;/EndNote&gt;</w:instrText>
      </w:r>
      <w:r w:rsidRPr="00214B75">
        <w:fldChar w:fldCharType="separate"/>
      </w:r>
      <w:r w:rsidR="00BD2855">
        <w:rPr>
          <w:noProof/>
        </w:rPr>
        <w:t>[2]</w:t>
      </w:r>
      <w:r w:rsidRPr="00214B75">
        <w:fldChar w:fldCharType="end"/>
      </w:r>
      <w:r w:rsidRPr="00214B75">
        <w:t xml:space="preserve"> </w:t>
      </w:r>
      <w:r w:rsidR="0010150E" w:rsidRPr="00214B75">
        <w:t>using</w:t>
      </w:r>
      <w:r w:rsidRPr="00214B75">
        <w:t xml:space="preserve"> the rate of sequence </w:t>
      </w:r>
      <w:r w:rsidR="0010150E" w:rsidRPr="00214B75">
        <w:t>errors</w:t>
      </w:r>
      <w:r w:rsidRPr="00214B75">
        <w:t>, ε</w:t>
      </w:r>
      <w:r w:rsidR="00453574" w:rsidRPr="00214B75">
        <w:t>, estimated in the previous section</w:t>
      </w:r>
      <w:r w:rsidR="007962B5" w:rsidRPr="00214B75">
        <w:t>.  This method assumes an infinite-</w:t>
      </w:r>
      <w:r w:rsidR="0010150E" w:rsidRPr="00214B75">
        <w:t xml:space="preserve">sites </w:t>
      </w:r>
      <w:r w:rsidR="007962B5" w:rsidRPr="00214B75">
        <w:t>model.</w:t>
      </w:r>
    </w:p>
    <w:p w14:paraId="0135C827" w14:textId="3505399A" w:rsidR="009F61F3" w:rsidRPr="00214B75" w:rsidRDefault="009F61F3" w:rsidP="0091532D">
      <w:pPr>
        <w:pStyle w:val="SMText"/>
        <w:spacing w:line="360" w:lineRule="auto"/>
        <w:ind w:firstLine="720"/>
      </w:pPr>
      <w:r w:rsidRPr="00214B75">
        <w:rPr>
          <w:i/>
        </w:rPr>
        <w:t>Y</w:t>
      </w:r>
      <w:r w:rsidRPr="00214B75">
        <w:rPr>
          <w:vertAlign w:val="subscript"/>
        </w:rPr>
        <w:t>i</w:t>
      </w:r>
      <w:r w:rsidRPr="00214B75">
        <w:t xml:space="preserve"> </w:t>
      </w:r>
      <w:r w:rsidR="0010150E" w:rsidRPr="00214B75">
        <w:t xml:space="preserve">denoted </w:t>
      </w:r>
      <w:r w:rsidRPr="00214B75">
        <w:t>the number of derived alleles at</w:t>
      </w:r>
      <w:r w:rsidR="0010150E" w:rsidRPr="00214B75">
        <w:t xml:space="preserve"> the</w:t>
      </w:r>
      <w:r w:rsidRPr="00214B75">
        <w:t xml:space="preserve"> </w:t>
      </w:r>
      <w:r w:rsidRPr="00214B75">
        <w:rPr>
          <w:i/>
        </w:rPr>
        <w:t>i</w:t>
      </w:r>
      <w:r w:rsidRPr="00214B75">
        <w:t xml:space="preserve">th genomic position (0 ≤ </w:t>
      </w:r>
      <w:r w:rsidRPr="00214B75">
        <w:rPr>
          <w:i/>
        </w:rPr>
        <w:t>Y</w:t>
      </w:r>
      <w:r w:rsidRPr="00214B75">
        <w:rPr>
          <w:vertAlign w:val="subscript"/>
        </w:rPr>
        <w:t>i</w:t>
      </w:r>
      <w:r w:rsidRPr="00214B75">
        <w:t xml:space="preserve"> ≤ </w:t>
      </w:r>
      <w:r w:rsidRPr="00214B75">
        <w:rPr>
          <w:i/>
        </w:rPr>
        <w:t>n</w:t>
      </w:r>
      <w:r w:rsidR="0010150E" w:rsidRPr="00214B75">
        <w:t>)</w:t>
      </w:r>
      <w:r w:rsidRPr="00214B75">
        <w:t xml:space="preserve">, where </w:t>
      </w:r>
      <w:r w:rsidRPr="00214B75">
        <w:rPr>
          <w:i/>
        </w:rPr>
        <w:t>n</w:t>
      </w:r>
      <w:r w:rsidRPr="00214B75">
        <w:t xml:space="preserve"> is the number of sampled chromosomes, and (1 ≤ </w:t>
      </w:r>
      <w:r w:rsidRPr="00214B75">
        <w:rPr>
          <w:i/>
        </w:rPr>
        <w:t>i</w:t>
      </w:r>
      <w:r w:rsidRPr="00214B75">
        <w:t xml:space="preserve"> ≤ </w:t>
      </w:r>
      <w:r w:rsidRPr="00214B75">
        <w:rPr>
          <w:i/>
        </w:rPr>
        <w:t>M</w:t>
      </w:r>
      <w:r w:rsidR="0010150E" w:rsidRPr="00214B75">
        <w:t>)</w:t>
      </w:r>
      <w:r w:rsidRPr="00214B75">
        <w:t xml:space="preserve">, where </w:t>
      </w:r>
      <w:r w:rsidRPr="00214B75">
        <w:rPr>
          <w:i/>
        </w:rPr>
        <w:t>M</w:t>
      </w:r>
      <w:r w:rsidRPr="00214B75">
        <w:t xml:space="preserve"> is the number of sites.  Let </w:t>
      </w:r>
      <w:r w:rsidRPr="00214B75">
        <w:rPr>
          <w:i/>
        </w:rPr>
        <w:t>Z</w:t>
      </w:r>
      <w:r w:rsidRPr="00214B75">
        <w:rPr>
          <w:vertAlign w:val="subscript"/>
        </w:rPr>
        <w:t>i,j</w:t>
      </w:r>
      <w:r w:rsidRPr="00214B75">
        <w:t xml:space="preserve"> (0 ≤ </w:t>
      </w:r>
      <w:r w:rsidRPr="00214B75">
        <w:rPr>
          <w:i/>
        </w:rPr>
        <w:t>j</w:t>
      </w:r>
      <w:r w:rsidRPr="00214B75">
        <w:t xml:space="preserve"> ≤ </w:t>
      </w:r>
      <w:r w:rsidRPr="00214B75">
        <w:rPr>
          <w:i/>
        </w:rPr>
        <w:t>r</w:t>
      </w:r>
      <w:r w:rsidRPr="00214B75">
        <w:rPr>
          <w:vertAlign w:val="subscript"/>
        </w:rPr>
        <w:t>i</w:t>
      </w:r>
      <w:r w:rsidRPr="00214B75">
        <w:t xml:space="preserve">, where </w:t>
      </w:r>
      <w:r w:rsidRPr="00214B75">
        <w:rPr>
          <w:i/>
        </w:rPr>
        <w:t>r</w:t>
      </w:r>
      <w:r w:rsidRPr="00214B75">
        <w:rPr>
          <w:vertAlign w:val="subscript"/>
        </w:rPr>
        <w:t>i</w:t>
      </w:r>
      <w:r w:rsidRPr="00214B75">
        <w:t xml:space="preserve"> is </w:t>
      </w:r>
      <w:r w:rsidR="0010150E" w:rsidRPr="00214B75">
        <w:t xml:space="preserve">sequence </w:t>
      </w:r>
      <w:r w:rsidRPr="00214B75">
        <w:t>coverage) be an indicator variable equal to 1 if</w:t>
      </w:r>
      <w:r w:rsidR="0010150E" w:rsidRPr="00214B75">
        <w:t xml:space="preserve"> the</w:t>
      </w:r>
      <w:r w:rsidRPr="00214B75">
        <w:t xml:space="preserve"> </w:t>
      </w:r>
      <w:r w:rsidRPr="00214B75">
        <w:rPr>
          <w:i/>
        </w:rPr>
        <w:t>j</w:t>
      </w:r>
      <w:r w:rsidRPr="00214B75">
        <w:t>th read has the derived mutation</w:t>
      </w:r>
      <w:r w:rsidR="00FE2903" w:rsidRPr="00214B75">
        <w:t xml:space="preserve">, and 0 </w:t>
      </w:r>
      <w:r w:rsidR="00C06356" w:rsidRPr="00214B75">
        <w:t>otherwise</w:t>
      </w:r>
      <w:r w:rsidRPr="00214B75">
        <w:t xml:space="preserve">.  The conditional probability of the observed read </w:t>
      </w:r>
      <w:r w:rsidRPr="00214B75">
        <w:rPr>
          <w:i/>
        </w:rPr>
        <w:t>Z</w:t>
      </w:r>
      <w:r w:rsidRPr="00214B75">
        <w:rPr>
          <w:vertAlign w:val="subscript"/>
        </w:rPr>
        <w:t>i</w:t>
      </w:r>
      <w:r w:rsidRPr="00214B75">
        <w:t xml:space="preserve"> given </w:t>
      </w:r>
      <w:r w:rsidRPr="00214B75">
        <w:rPr>
          <w:i/>
        </w:rPr>
        <w:t>Y</w:t>
      </w:r>
      <w:r w:rsidRPr="00214B75">
        <w:rPr>
          <w:vertAlign w:val="subscript"/>
        </w:rPr>
        <w:t>i</w:t>
      </w:r>
      <w:r w:rsidRPr="00214B75">
        <w:t xml:space="preserve"> </w:t>
      </w:r>
      <w:r w:rsidR="00D3176D" w:rsidRPr="00214B75">
        <w:t xml:space="preserve">is </w:t>
      </w:r>
      <w:r w:rsidR="0010150E" w:rsidRPr="00214B75">
        <w:t>as follows</w:t>
      </w:r>
      <w:r w:rsidRPr="00214B75">
        <w:t>:</w:t>
      </w:r>
    </w:p>
    <w:p w14:paraId="074C3778" w14:textId="0577733A" w:rsidR="009F61F3" w:rsidRPr="00214B75" w:rsidRDefault="00D43CB1" w:rsidP="0091532D">
      <w:pPr>
        <w:pStyle w:val="SMText"/>
        <w:spacing w:line="360" w:lineRule="auto"/>
        <w:ind w:firstLine="720"/>
        <w:jc w:val="center"/>
      </w:pPr>
      <w:r w:rsidRPr="00214B75">
        <w:rPr>
          <w:noProof/>
          <w:position w:val="-36"/>
        </w:rPr>
        <w:drawing>
          <wp:inline distT="0" distB="0" distL="0" distR="0" wp14:anchorId="46E8A9D8" wp14:editId="2094BF31">
            <wp:extent cx="3914775" cy="49530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4775" cy="495300"/>
                    </a:xfrm>
                    <a:prstGeom prst="rect">
                      <a:avLst/>
                    </a:prstGeom>
                    <a:noFill/>
                    <a:ln>
                      <a:noFill/>
                    </a:ln>
                  </pic:spPr>
                </pic:pic>
              </a:graphicData>
            </a:graphic>
          </wp:inline>
        </w:drawing>
      </w:r>
      <w:r w:rsidR="00202FF7" w:rsidRPr="00214B75">
        <w:rPr>
          <w:position w:val="-36"/>
        </w:rPr>
        <w:t xml:space="preserve">  </w:t>
      </w:r>
      <w:r w:rsidR="009F61F3" w:rsidRPr="00214B75">
        <w:t>(</w:t>
      </w:r>
      <w:r w:rsidR="00A35F8B" w:rsidRPr="00214B75">
        <w:t>3</w:t>
      </w:r>
      <w:r w:rsidR="009F61F3" w:rsidRPr="00214B75">
        <w:t>)</w:t>
      </w:r>
    </w:p>
    <w:p w14:paraId="11F8AC06" w14:textId="07FFA7C5" w:rsidR="009F61F3" w:rsidRPr="00214B75" w:rsidRDefault="009F61F3" w:rsidP="0091532D">
      <w:pPr>
        <w:pStyle w:val="SMText"/>
        <w:spacing w:line="360" w:lineRule="auto"/>
        <w:ind w:firstLine="0"/>
      </w:pPr>
      <w:r w:rsidRPr="00214B75">
        <w:t xml:space="preserve">Let </w:t>
      </w:r>
      <w:r w:rsidRPr="00214B75">
        <w:rPr>
          <w:i/>
        </w:rPr>
        <w:t>p</w:t>
      </w:r>
      <w:r w:rsidRPr="00214B75">
        <w:t xml:space="preserve"> = (</w:t>
      </w:r>
      <w:r w:rsidRPr="00214B75">
        <w:rPr>
          <w:i/>
        </w:rPr>
        <w:t>p</w:t>
      </w:r>
      <w:r w:rsidRPr="00214B75">
        <w:rPr>
          <w:vertAlign w:val="subscript"/>
        </w:rPr>
        <w:t>0</w:t>
      </w:r>
      <w:r w:rsidRPr="00214B75">
        <w:t xml:space="preserve">,..., </w:t>
      </w:r>
      <w:r w:rsidRPr="00214B75">
        <w:rPr>
          <w:i/>
        </w:rPr>
        <w:t>p</w:t>
      </w:r>
      <w:r w:rsidRPr="00214B75">
        <w:rPr>
          <w:vertAlign w:val="subscript"/>
        </w:rPr>
        <w:t>n</w:t>
      </w:r>
      <w:r w:rsidRPr="00214B75">
        <w:t>) be the SFS and</w:t>
      </w:r>
      <w:r w:rsidR="00FF4502" w:rsidRPr="00214B75">
        <w:t xml:space="preserve"> </w:t>
      </w:r>
      <w:r w:rsidR="00D43CB1" w:rsidRPr="00214B75">
        <w:rPr>
          <w:noProof/>
          <w:position w:val="-18"/>
        </w:rPr>
        <w:drawing>
          <wp:inline distT="0" distB="0" distL="0" distR="0" wp14:anchorId="02169E09" wp14:editId="425D151C">
            <wp:extent cx="628650" cy="295275"/>
            <wp:effectExtent l="0" t="0" r="0" b="952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295275"/>
                    </a:xfrm>
                    <a:prstGeom prst="rect">
                      <a:avLst/>
                    </a:prstGeom>
                    <a:noFill/>
                    <a:ln>
                      <a:noFill/>
                    </a:ln>
                  </pic:spPr>
                </pic:pic>
              </a:graphicData>
            </a:graphic>
          </wp:inline>
        </w:drawing>
      </w:r>
      <w:r w:rsidRPr="00214B75">
        <w:t xml:space="preserve">.  </w:t>
      </w:r>
      <w:r w:rsidR="008F60BD" w:rsidRPr="00214B75">
        <w:t>T</w:t>
      </w:r>
      <w:r w:rsidRPr="00214B75">
        <w:t xml:space="preserve">he likelihood given </w:t>
      </w:r>
      <w:r w:rsidRPr="00214B75">
        <w:rPr>
          <w:i/>
        </w:rPr>
        <w:t>p</w:t>
      </w:r>
      <w:r w:rsidRPr="00214B75">
        <w:t xml:space="preserve"> </w:t>
      </w:r>
      <w:r w:rsidR="008F60BD" w:rsidRPr="00214B75">
        <w:t>was calculated as follows:</w:t>
      </w:r>
    </w:p>
    <w:p w14:paraId="0BEC0E5A" w14:textId="3FD90254" w:rsidR="009F61F3" w:rsidRPr="00214B75" w:rsidRDefault="00D43CB1" w:rsidP="0091532D">
      <w:pPr>
        <w:pStyle w:val="SMText"/>
        <w:spacing w:line="360" w:lineRule="auto"/>
        <w:ind w:firstLine="0"/>
        <w:jc w:val="center"/>
      </w:pPr>
      <w:r w:rsidRPr="00214B75">
        <w:rPr>
          <w:noProof/>
          <w:position w:val="-36"/>
        </w:rPr>
        <w:drawing>
          <wp:inline distT="0" distB="0" distL="0" distR="0" wp14:anchorId="4B37E6DD" wp14:editId="485A00AF">
            <wp:extent cx="1714500" cy="523875"/>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523875"/>
                    </a:xfrm>
                    <a:prstGeom prst="rect">
                      <a:avLst/>
                    </a:prstGeom>
                    <a:noFill/>
                    <a:ln>
                      <a:noFill/>
                    </a:ln>
                  </pic:spPr>
                </pic:pic>
              </a:graphicData>
            </a:graphic>
          </wp:inline>
        </w:drawing>
      </w:r>
      <w:r w:rsidR="00887580" w:rsidRPr="00214B75">
        <w:rPr>
          <w:position w:val="-36"/>
        </w:rPr>
        <w:t xml:space="preserve"> </w:t>
      </w:r>
      <w:r w:rsidR="009F61F3" w:rsidRPr="00214B75">
        <w:t>(</w:t>
      </w:r>
      <w:r w:rsidR="00A35F8B" w:rsidRPr="00214B75">
        <w:t>4</w:t>
      </w:r>
      <w:r w:rsidR="009F61F3" w:rsidRPr="00214B75">
        <w:t>)</w:t>
      </w:r>
    </w:p>
    <w:p w14:paraId="79EF5C4F" w14:textId="247F91DA" w:rsidR="009F61F3" w:rsidRPr="00214B75" w:rsidRDefault="00C43B05" w:rsidP="0091532D">
      <w:pPr>
        <w:pStyle w:val="SMText"/>
        <w:spacing w:line="360" w:lineRule="auto"/>
        <w:ind w:firstLine="0"/>
      </w:pPr>
      <w:r w:rsidRPr="00214B75">
        <w:t>Denoting</w:t>
      </w:r>
      <w:r w:rsidR="009F61F3" w:rsidRPr="00214B75">
        <w:t xml:space="preserve"> </w:t>
      </w:r>
      <w:r w:rsidR="009F61F3" w:rsidRPr="00214B75">
        <w:rPr>
          <w:i/>
        </w:rPr>
        <w:t>p</w:t>
      </w:r>
      <w:r w:rsidR="009F61F3" w:rsidRPr="00214B75">
        <w:rPr>
          <w:vertAlign w:val="superscript"/>
        </w:rPr>
        <w:t>c</w:t>
      </w:r>
      <w:r w:rsidR="009F61F3" w:rsidRPr="00214B75">
        <w:t xml:space="preserve"> as the SFS in the </w:t>
      </w:r>
      <w:r w:rsidR="009F61F3" w:rsidRPr="00214B75">
        <w:rPr>
          <w:i/>
        </w:rPr>
        <w:t>c</w:t>
      </w:r>
      <w:r w:rsidR="009F61F3" w:rsidRPr="00214B75">
        <w:t xml:space="preserve">th step of </w:t>
      </w:r>
      <w:r w:rsidR="0016127A" w:rsidRPr="00214B75">
        <w:t xml:space="preserve">the </w:t>
      </w:r>
      <w:r w:rsidR="009F61F3" w:rsidRPr="00214B75">
        <w:t xml:space="preserve">EM algorithm, </w:t>
      </w:r>
      <w:r w:rsidR="009F61F3" w:rsidRPr="00214B75">
        <w:rPr>
          <w:i/>
        </w:rPr>
        <w:t>p</w:t>
      </w:r>
      <w:r w:rsidR="009F61F3" w:rsidRPr="00214B75">
        <w:rPr>
          <w:vertAlign w:val="superscript"/>
        </w:rPr>
        <w:t>c+1</w:t>
      </w:r>
      <w:r w:rsidR="009F61F3" w:rsidRPr="00214B75">
        <w:t xml:space="preserve"> was calculated </w:t>
      </w:r>
      <w:r w:rsidR="00C06356" w:rsidRPr="00214B75">
        <w:t>as follows:</w:t>
      </w:r>
    </w:p>
    <w:p w14:paraId="6EB54170" w14:textId="36627874" w:rsidR="009F61F3" w:rsidRPr="00214B75" w:rsidRDefault="00D43CB1" w:rsidP="0091532D">
      <w:pPr>
        <w:pStyle w:val="SMText"/>
        <w:spacing w:line="360" w:lineRule="auto"/>
        <w:ind w:firstLine="0"/>
        <w:jc w:val="center"/>
      </w:pPr>
      <w:r w:rsidRPr="00214B75">
        <w:rPr>
          <w:noProof/>
          <w:position w:val="-64"/>
        </w:rPr>
        <w:drawing>
          <wp:inline distT="0" distB="0" distL="0" distR="0" wp14:anchorId="48A69C58" wp14:editId="524EDC33">
            <wp:extent cx="1743075" cy="676275"/>
            <wp:effectExtent l="0" t="0" r="9525" b="952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676275"/>
                    </a:xfrm>
                    <a:prstGeom prst="rect">
                      <a:avLst/>
                    </a:prstGeom>
                    <a:noFill/>
                    <a:ln>
                      <a:noFill/>
                    </a:ln>
                  </pic:spPr>
                </pic:pic>
              </a:graphicData>
            </a:graphic>
          </wp:inline>
        </w:drawing>
      </w:r>
      <w:r w:rsidR="00F03A87" w:rsidRPr="00214B75">
        <w:t xml:space="preserve"> </w:t>
      </w:r>
      <w:r w:rsidR="009F61F3" w:rsidRPr="00214B75">
        <w:t>(</w:t>
      </w:r>
      <w:r w:rsidR="001575D2" w:rsidRPr="00214B75">
        <w:t>5</w:t>
      </w:r>
      <w:r w:rsidR="009F61F3" w:rsidRPr="00214B75">
        <w:t>)</w:t>
      </w:r>
    </w:p>
    <w:p w14:paraId="3A9C5C26" w14:textId="349C6A1D" w:rsidR="009F61F3" w:rsidRPr="00214B75" w:rsidRDefault="0016127A" w:rsidP="0091532D">
      <w:pPr>
        <w:pStyle w:val="SMText"/>
        <w:spacing w:line="360" w:lineRule="auto"/>
        <w:ind w:firstLine="0"/>
      </w:pPr>
      <w:r w:rsidRPr="00214B75">
        <w:t>Lacking an appropriate</w:t>
      </w:r>
      <w:r w:rsidR="009F61F3" w:rsidRPr="00214B75">
        <w:t xml:space="preserve"> outgroup, the spectrum </w:t>
      </w:r>
      <w:r w:rsidRPr="00214B75">
        <w:t xml:space="preserve">was folded </w:t>
      </w:r>
      <w:r w:rsidR="009F61F3" w:rsidRPr="00214B75">
        <w:t xml:space="preserve">by </w:t>
      </w:r>
      <w:r w:rsidR="009F61F3" w:rsidRPr="00214B75">
        <w:rPr>
          <w:i/>
        </w:rPr>
        <w:t>P</w:t>
      </w:r>
      <w:r w:rsidR="009F61F3" w:rsidRPr="00214B75">
        <w:rPr>
          <w:vertAlign w:val="subscript"/>
        </w:rPr>
        <w:t>f</w:t>
      </w:r>
      <w:r w:rsidR="009F61F3" w:rsidRPr="00214B75">
        <w:t>(</w:t>
      </w:r>
      <w:r w:rsidR="009F61F3" w:rsidRPr="00214B75">
        <w:rPr>
          <w:i/>
        </w:rPr>
        <w:t>Z</w:t>
      </w:r>
      <w:r w:rsidR="009F61F3" w:rsidRPr="00214B75">
        <w:rPr>
          <w:vertAlign w:val="subscript"/>
        </w:rPr>
        <w:t>i</w:t>
      </w:r>
      <w:r w:rsidR="009F61F3" w:rsidRPr="00214B75">
        <w:t>|</w:t>
      </w:r>
      <w:r w:rsidR="009F61F3" w:rsidRPr="00214B75">
        <w:rPr>
          <w:i/>
        </w:rPr>
        <w:t>Y</w:t>
      </w:r>
      <w:r w:rsidR="009F61F3" w:rsidRPr="00214B75">
        <w:rPr>
          <w:vertAlign w:val="subscript"/>
        </w:rPr>
        <w:t>i</w:t>
      </w:r>
      <w:r w:rsidR="009F61F3" w:rsidRPr="00214B75">
        <w:t>) = 1/2</w:t>
      </w:r>
      <w:r w:rsidR="009F61F3" w:rsidRPr="00214B75">
        <w:rPr>
          <w:i/>
        </w:rPr>
        <w:t>P</w:t>
      </w:r>
      <w:r w:rsidR="009F61F3" w:rsidRPr="00214B75">
        <w:t>(</w:t>
      </w:r>
      <w:r w:rsidR="009F61F3" w:rsidRPr="00214B75">
        <w:rPr>
          <w:i/>
        </w:rPr>
        <w:t>Z</w:t>
      </w:r>
      <w:r w:rsidR="009F61F3" w:rsidRPr="00214B75">
        <w:rPr>
          <w:vertAlign w:val="subscript"/>
        </w:rPr>
        <w:t>i</w:t>
      </w:r>
      <w:r w:rsidR="009F61F3" w:rsidRPr="00214B75">
        <w:t>|</w:t>
      </w:r>
      <w:r w:rsidR="009F61F3" w:rsidRPr="00214B75">
        <w:rPr>
          <w:i/>
        </w:rPr>
        <w:t>Y</w:t>
      </w:r>
      <w:r w:rsidR="009F61F3" w:rsidRPr="00214B75">
        <w:rPr>
          <w:vertAlign w:val="subscript"/>
        </w:rPr>
        <w:t>i</w:t>
      </w:r>
      <w:r w:rsidR="009F61F3" w:rsidRPr="00214B75">
        <w:t>) + 1/2</w:t>
      </w:r>
      <w:r w:rsidR="009F61F3" w:rsidRPr="00214B75">
        <w:rPr>
          <w:i/>
        </w:rPr>
        <w:t>P</w:t>
      </w:r>
      <w:r w:rsidR="009F61F3" w:rsidRPr="00214B75">
        <w:t>(1-</w:t>
      </w:r>
      <w:r w:rsidR="009F61F3" w:rsidRPr="00214B75">
        <w:rPr>
          <w:i/>
        </w:rPr>
        <w:t>Z</w:t>
      </w:r>
      <w:r w:rsidR="009F61F3" w:rsidRPr="00214B75">
        <w:rPr>
          <w:vertAlign w:val="subscript"/>
        </w:rPr>
        <w:t>i</w:t>
      </w:r>
      <w:r w:rsidR="009F61F3" w:rsidRPr="00214B75">
        <w:t>|</w:t>
      </w:r>
      <w:r w:rsidR="009F61F3" w:rsidRPr="00214B75">
        <w:rPr>
          <w:i/>
        </w:rPr>
        <w:t>Y</w:t>
      </w:r>
      <w:r w:rsidR="009F61F3" w:rsidRPr="00214B75">
        <w:rPr>
          <w:vertAlign w:val="subscript"/>
        </w:rPr>
        <w:t>i</w:t>
      </w:r>
      <w:r w:rsidR="009F61F3" w:rsidRPr="00214B75">
        <w:t xml:space="preserve">) instead.  </w:t>
      </w:r>
    </w:p>
    <w:p w14:paraId="1B87FE64" w14:textId="743DC192" w:rsidR="009F61F3" w:rsidRPr="00214B75" w:rsidRDefault="0016127A" w:rsidP="0091532D">
      <w:pPr>
        <w:pStyle w:val="SMText"/>
        <w:spacing w:line="360" w:lineRule="auto"/>
        <w:ind w:firstLine="720"/>
      </w:pPr>
      <w:r w:rsidRPr="00214B75">
        <w:lastRenderedPageBreak/>
        <w:t>T</w:t>
      </w:r>
      <w:r w:rsidR="009F61F3" w:rsidRPr="00214B75">
        <w:t xml:space="preserve">he EM algorithm </w:t>
      </w:r>
      <w:r w:rsidRPr="00214B75">
        <w:t xml:space="preserve">was initiated </w:t>
      </w:r>
      <w:r w:rsidR="009F61F3" w:rsidRPr="00214B75">
        <w:t xml:space="preserve">as </w:t>
      </w:r>
      <w:r w:rsidR="009F61F3" w:rsidRPr="00214B75">
        <w:rPr>
          <w:i/>
        </w:rPr>
        <w:t>p</w:t>
      </w:r>
      <w:r w:rsidR="009F61F3" w:rsidRPr="00214B75">
        <w:rPr>
          <w:vertAlign w:val="superscript"/>
        </w:rPr>
        <w:t>0</w:t>
      </w:r>
      <w:r w:rsidRPr="00214B75">
        <w:t>, which</w:t>
      </w:r>
      <w:r w:rsidR="009F61F3" w:rsidRPr="00214B75">
        <w:t xml:space="preserve"> is a flat distribution.  Then, </w:t>
      </w:r>
      <w:r w:rsidR="00A26671" w:rsidRPr="00214B75">
        <w:rPr>
          <w:i/>
        </w:rPr>
        <w:t>p</w:t>
      </w:r>
      <w:r w:rsidR="00A26671" w:rsidRPr="00214B75">
        <w:t xml:space="preserve"> and a log-</w:t>
      </w:r>
      <w:r w:rsidR="009F61F3" w:rsidRPr="00214B75">
        <w:t xml:space="preserve">likelihood </w:t>
      </w:r>
      <w:r w:rsidR="00A26671" w:rsidRPr="00214B75">
        <w:t xml:space="preserve">value </w:t>
      </w:r>
      <w:r w:rsidRPr="00214B75">
        <w:t xml:space="preserve">were calculated </w:t>
      </w:r>
      <w:r w:rsidR="009F61F3" w:rsidRPr="00214B75">
        <w:t xml:space="preserve">in </w:t>
      </w:r>
      <w:r w:rsidR="00A26671" w:rsidRPr="00214B75">
        <w:t>the next iteration</w:t>
      </w:r>
      <w:r w:rsidR="009F61F3" w:rsidRPr="00214B75">
        <w:t xml:space="preserve">.  The EM step continued until log </w:t>
      </w:r>
      <w:r w:rsidR="009F61F3" w:rsidRPr="00214B75">
        <w:rPr>
          <w:i/>
        </w:rPr>
        <w:t>L</w:t>
      </w:r>
      <w:r w:rsidR="009F61F3" w:rsidRPr="00214B75">
        <w:t>(</w:t>
      </w:r>
      <w:r w:rsidR="009F61F3" w:rsidRPr="00214B75">
        <w:rPr>
          <w:i/>
        </w:rPr>
        <w:t>p</w:t>
      </w:r>
      <w:r w:rsidR="009F61F3" w:rsidRPr="00214B75">
        <w:rPr>
          <w:vertAlign w:val="superscript"/>
        </w:rPr>
        <w:t>c+1</w:t>
      </w:r>
      <w:r w:rsidR="009F61F3" w:rsidRPr="00214B75">
        <w:t xml:space="preserve">) - log </w:t>
      </w:r>
      <w:r w:rsidR="009F61F3" w:rsidRPr="00214B75">
        <w:rPr>
          <w:i/>
        </w:rPr>
        <w:t>L</w:t>
      </w:r>
      <w:r w:rsidR="009F61F3" w:rsidRPr="00214B75">
        <w:t>(</w:t>
      </w:r>
      <w:r w:rsidR="009F61F3" w:rsidRPr="00214B75">
        <w:rPr>
          <w:i/>
        </w:rPr>
        <w:t>p</w:t>
      </w:r>
      <w:r w:rsidR="009F61F3" w:rsidRPr="00214B75">
        <w:rPr>
          <w:vertAlign w:val="superscript"/>
        </w:rPr>
        <w:t>c</w:t>
      </w:r>
      <w:r w:rsidR="009F61F3" w:rsidRPr="00214B75">
        <w:t xml:space="preserve">) &lt; </w:t>
      </w:r>
      <w:r w:rsidR="009F61F3" w:rsidRPr="00214B75">
        <w:rPr>
          <w:i/>
        </w:rPr>
        <w:t>M</w:t>
      </w:r>
      <w:r w:rsidRPr="00214B75">
        <w:rPr>
          <w:i/>
        </w:rPr>
        <w:t xml:space="preserve"> </w:t>
      </w:r>
      <w:r w:rsidR="009F61F3" w:rsidRPr="00214B75">
        <w:t>×</w:t>
      </w:r>
      <w:r w:rsidRPr="00214B75">
        <w:t xml:space="preserve"> </w:t>
      </w:r>
      <w:r w:rsidR="009F61F3" w:rsidRPr="00214B75">
        <w:t>10</w:t>
      </w:r>
      <w:r w:rsidR="009F61F3" w:rsidRPr="00214B75">
        <w:rPr>
          <w:vertAlign w:val="superscript"/>
        </w:rPr>
        <w:t>-5</w:t>
      </w:r>
      <w:r w:rsidR="009F61F3" w:rsidRPr="00214B75">
        <w:t xml:space="preserve">.  </w:t>
      </w:r>
      <w:r w:rsidRPr="00214B75">
        <w:t>T</w:t>
      </w:r>
      <w:r w:rsidR="009F61F3" w:rsidRPr="00214B75">
        <w:t>he number of segregating sites (</w:t>
      </w:r>
      <w:r w:rsidR="009F61F3" w:rsidRPr="00214B75">
        <w:rPr>
          <w:i/>
        </w:rPr>
        <w:t>S</w:t>
      </w:r>
      <w:r w:rsidR="009F61F3" w:rsidRPr="00214B75">
        <w:t xml:space="preserve">), nucleotide diversity </w:t>
      </w:r>
      <w:r w:rsidR="00AF62A9">
        <w:t>(</w:t>
      </w:r>
      <w:r w:rsidR="009F61F3" w:rsidRPr="00214B75">
        <w:t>θ</w:t>
      </w:r>
      <w:r w:rsidR="009F61F3" w:rsidRPr="00214B75">
        <w:rPr>
          <w:vertAlign w:val="subscript"/>
        </w:rPr>
        <w:t>π</w:t>
      </w:r>
      <w:r w:rsidR="009F61F3" w:rsidRPr="00214B75">
        <w:t xml:space="preserve">; </w:t>
      </w:r>
      <w:r w:rsidR="009F61F3" w:rsidRPr="00214B75">
        <w:fldChar w:fldCharType="begin"/>
      </w:r>
      <w:r w:rsidR="00BD2855">
        <w:instrText xml:space="preserve"> ADDIN EN.CITE &lt;EndNote&gt;&lt;Cite&gt;&lt;Author&gt;Tajima&lt;/Author&gt;&lt;Year&gt;1983&lt;/Year&gt;&lt;RecNum&gt;209&lt;/RecNum&gt;&lt;DisplayText&gt;[3]&lt;/DisplayText&gt;&lt;record&gt;&lt;rec-number&gt;209&lt;/rec-number&gt;&lt;foreign-keys&gt;&lt;key app="EN" db-id="spf5fp9f80rs5derr24vzxxcx0dt25rp9sfr" timestamp="1456809409"&gt;209&lt;/key&gt;&lt;/foreign-keys&gt;&lt;ref-type name="Journal Article"&gt;17&lt;/ref-type&gt;&lt;contributors&gt;&lt;authors&gt;&lt;author&gt;Tajima, Fumio&lt;/author&gt;&lt;/authors&gt;&lt;/contributors&gt;&lt;titles&gt;&lt;title&gt;Evolutionary relationship of DNA sequences in finite populations&lt;/title&gt;&lt;secondary-title&gt;Genetics&lt;/secondary-title&gt;&lt;/titles&gt;&lt;periodical&gt;&lt;full-title&gt;Genetics&lt;/full-title&gt;&lt;/periodical&gt;&lt;pages&gt;437-460&lt;/pages&gt;&lt;volume&gt;105&lt;/volume&gt;&lt;number&gt;2&lt;/number&gt;&lt;dates&gt;&lt;year&gt;1983&lt;/year&gt;&lt;/dates&gt;&lt;isbn&gt;0016-6731&lt;/isbn&gt;&lt;urls&gt;&lt;/urls&gt;&lt;/record&gt;&lt;/Cite&gt;&lt;/EndNote&gt;</w:instrText>
      </w:r>
      <w:r w:rsidR="009F61F3" w:rsidRPr="00214B75">
        <w:fldChar w:fldCharType="separate"/>
      </w:r>
      <w:r w:rsidR="00BD2855">
        <w:rPr>
          <w:noProof/>
        </w:rPr>
        <w:t>[3]</w:t>
      </w:r>
      <w:r w:rsidR="009F61F3" w:rsidRPr="00214B75">
        <w:fldChar w:fldCharType="end"/>
      </w:r>
      <w:r w:rsidR="00AF62A9">
        <w:t>)</w:t>
      </w:r>
      <w:r w:rsidR="009F61F3" w:rsidRPr="00214B75">
        <w:t>, Watterson</w:t>
      </w:r>
      <w:r w:rsidR="00F119CD">
        <w:t>’</w:t>
      </w:r>
      <w:r w:rsidR="009F61F3" w:rsidRPr="00214B75">
        <w:t>s θ</w:t>
      </w:r>
      <w:r w:rsidR="009F61F3" w:rsidRPr="00214B75">
        <w:rPr>
          <w:vertAlign w:val="subscript"/>
        </w:rPr>
        <w:t>W</w:t>
      </w:r>
      <w:r w:rsidR="009F61F3" w:rsidRPr="00214B75">
        <w:t xml:space="preserve"> </w:t>
      </w:r>
      <w:r w:rsidR="009F61F3" w:rsidRPr="00214B75">
        <w:fldChar w:fldCharType="begin"/>
      </w:r>
      <w:r w:rsidR="00BD2855">
        <w:instrText xml:space="preserve"> ADDIN EN.CITE &lt;EndNote&gt;&lt;Cite&gt;&lt;Author&gt;Watterson&lt;/Author&gt;&lt;Year&gt;1975&lt;/Year&gt;&lt;RecNum&gt;233&lt;/RecNum&gt;&lt;DisplayText&gt;[4]&lt;/DisplayText&gt;&lt;record&gt;&lt;rec-number&gt;233&lt;/rec-number&gt;&lt;foreign-keys&gt;&lt;key app="EN" db-id="spf5fp9f80rs5derr24vzxxcx0dt25rp9sfr" timestamp="1456824215"&gt;233&lt;/key&gt;&lt;/foreign-keys&gt;&lt;ref-type name="Journal Article"&gt;17&lt;/ref-type&gt;&lt;contributors&gt;&lt;authors&gt;&lt;author&gt;Watterson, GA&lt;/author&gt;&lt;/authors&gt;&lt;/contributors&gt;&lt;titles&gt;&lt;title&gt;On the number of segregating sites in genetical models without recombination&lt;/title&gt;&lt;secondary-title&gt;Theoretical population biology&lt;/secondary-title&gt;&lt;/titles&gt;&lt;periodical&gt;&lt;full-title&gt;Theoretical population biology&lt;/full-title&gt;&lt;/periodical&gt;&lt;pages&gt;256-276&lt;/pages&gt;&lt;volume&gt;7&lt;/volume&gt;&lt;number&gt;2&lt;/number&gt;&lt;dates&gt;&lt;year&gt;1975&lt;/year&gt;&lt;/dates&gt;&lt;isbn&gt;0040-5809&lt;/isbn&gt;&lt;urls&gt;&lt;/urls&gt;&lt;/record&gt;&lt;/Cite&gt;&lt;/EndNote&gt;</w:instrText>
      </w:r>
      <w:r w:rsidR="009F61F3" w:rsidRPr="00214B75">
        <w:fldChar w:fldCharType="separate"/>
      </w:r>
      <w:r w:rsidR="00BD2855">
        <w:rPr>
          <w:noProof/>
        </w:rPr>
        <w:t>[4]</w:t>
      </w:r>
      <w:r w:rsidR="009F61F3" w:rsidRPr="00214B75">
        <w:fldChar w:fldCharType="end"/>
      </w:r>
      <w:r w:rsidRPr="00214B75">
        <w:t>,</w:t>
      </w:r>
      <w:r w:rsidR="009F61F3" w:rsidRPr="00214B75">
        <w:t xml:space="preserve"> and Tajima</w:t>
      </w:r>
      <w:r w:rsidR="00321D67">
        <w:t>’</w:t>
      </w:r>
      <w:r w:rsidR="009F61F3" w:rsidRPr="00214B75">
        <w:t xml:space="preserve">s </w:t>
      </w:r>
      <w:r w:rsidR="009F61F3" w:rsidRPr="00214B75">
        <w:rPr>
          <w:i/>
        </w:rPr>
        <w:t>D</w:t>
      </w:r>
      <w:r w:rsidR="009F61F3" w:rsidRPr="00214B75">
        <w:t xml:space="preserve"> </w:t>
      </w:r>
      <w:r w:rsidR="009F61F3" w:rsidRPr="00214B75">
        <w:fldChar w:fldCharType="begin"/>
      </w:r>
      <w:r w:rsidR="00BD2855">
        <w:instrText xml:space="preserve"> ADDIN EN.CITE &lt;EndNote&gt;&lt;Cite&gt;&lt;Author&gt;Tajima&lt;/Author&gt;&lt;Year&gt;1989&lt;/Year&gt;&lt;RecNum&gt;210&lt;/RecNum&gt;&lt;DisplayText&gt;[5]&lt;/DisplayText&gt;&lt;record&gt;&lt;rec-number&gt;210&lt;/rec-number&gt;&lt;foreign-keys&gt;&lt;key app="EN" db-id="spf5fp9f80rs5derr24vzxxcx0dt25rp9sfr" timestamp="1456809450"&gt;210&lt;/key&gt;&lt;/foreign-keys&gt;&lt;ref-type name="Journal Article"&gt;17&lt;/ref-type&gt;&lt;contributors&gt;&lt;authors&gt;&lt;author&gt;Tajima, Fumio&lt;/author&gt;&lt;/authors&gt;&lt;/contributors&gt;&lt;titles&gt;&lt;title&gt;Statistical method for testing the neutral mutation hypothesis by DNA polymorphism&lt;/title&gt;&lt;secondary-title&gt;Genetics&lt;/secondary-title&gt;&lt;/titles&gt;&lt;periodical&gt;&lt;full-title&gt;Genetics&lt;/full-title&gt;&lt;/periodical&gt;&lt;pages&gt;585-595&lt;/pages&gt;&lt;volume&gt;123&lt;/volume&gt;&lt;number&gt;3&lt;/number&gt;&lt;dates&gt;&lt;year&gt;1989&lt;/year&gt;&lt;/dates&gt;&lt;isbn&gt;0016-6731&lt;/isbn&gt;&lt;urls&gt;&lt;/urls&gt;&lt;/record&gt;&lt;/Cite&gt;&lt;/EndNote&gt;</w:instrText>
      </w:r>
      <w:r w:rsidR="009F61F3" w:rsidRPr="00214B75">
        <w:fldChar w:fldCharType="separate"/>
      </w:r>
      <w:r w:rsidR="00BD2855">
        <w:rPr>
          <w:noProof/>
        </w:rPr>
        <w:t>[5]</w:t>
      </w:r>
      <w:r w:rsidR="009F61F3" w:rsidRPr="00214B75">
        <w:fldChar w:fldCharType="end"/>
      </w:r>
      <w:r w:rsidR="009F61F3" w:rsidRPr="00214B75">
        <w:t xml:space="preserve"> </w:t>
      </w:r>
      <w:r w:rsidRPr="00214B75">
        <w:t xml:space="preserve">were calculated </w:t>
      </w:r>
      <w:r w:rsidR="009F61F3" w:rsidRPr="00214B75">
        <w:t xml:space="preserve">from the inferred SFS, </w:t>
      </w:r>
      <w:r w:rsidR="009F61F3" w:rsidRPr="00214B75">
        <w:rPr>
          <w:i/>
        </w:rPr>
        <w:t>p</w:t>
      </w:r>
      <w:r w:rsidR="009F61F3" w:rsidRPr="00214B75">
        <w:t xml:space="preserve">.  </w:t>
      </w:r>
    </w:p>
    <w:p w14:paraId="4B36FAF9" w14:textId="544C5A87" w:rsidR="009F61F3" w:rsidRPr="00214B75" w:rsidRDefault="00341DE2" w:rsidP="0091532D">
      <w:pPr>
        <w:pStyle w:val="SMText"/>
        <w:spacing w:line="360" w:lineRule="auto"/>
        <w:ind w:firstLine="720"/>
      </w:pPr>
      <w:r w:rsidRPr="00214B75">
        <w:t>The</w:t>
      </w:r>
      <w:r w:rsidR="009F61F3" w:rsidRPr="00214B75">
        <w:t xml:space="preserve"> minor allele frequency </w:t>
      </w:r>
      <w:r w:rsidRPr="00214B75">
        <w:t xml:space="preserve">was also estimated </w:t>
      </w:r>
      <w:r w:rsidR="009F61F3" w:rsidRPr="00214B75">
        <w:t xml:space="preserve">at every site.  If the proportion of reads with a minor allele </w:t>
      </w:r>
      <w:r w:rsidR="009F61F3" w:rsidRPr="00214B75">
        <w:rPr>
          <w:i/>
        </w:rPr>
        <w:t>p</w:t>
      </w:r>
      <w:r w:rsidR="009F61F3" w:rsidRPr="00214B75">
        <w:rPr>
          <w:vertAlign w:val="subscript"/>
        </w:rPr>
        <w:t>m</w:t>
      </w:r>
      <w:r w:rsidR="009F61F3" w:rsidRPr="00214B75">
        <w:t xml:space="preserve"> </w:t>
      </w:r>
      <w:r w:rsidR="008C5427" w:rsidRPr="00214B75">
        <w:t xml:space="preserve">was </w:t>
      </w:r>
      <w:r w:rsidR="009F61F3" w:rsidRPr="00214B75">
        <w:t xml:space="preserve">&lt;0.1, the likelihood </w:t>
      </w:r>
      <w:r w:rsidR="00626BD3" w:rsidRPr="00214B75">
        <w:t xml:space="preserve">was calculated </w:t>
      </w:r>
      <w:r w:rsidR="009F61F3" w:rsidRPr="00214B75">
        <w:t xml:space="preserve">given </w:t>
      </w:r>
      <w:r w:rsidR="009F61F3" w:rsidRPr="00214B75">
        <w:rPr>
          <w:i/>
        </w:rPr>
        <w:t>Y</w:t>
      </w:r>
      <w:r w:rsidR="009F61F3" w:rsidRPr="00214B75">
        <w:rPr>
          <w:vertAlign w:val="subscript"/>
        </w:rPr>
        <w:t>i</w:t>
      </w:r>
      <w:r w:rsidR="009F61F3" w:rsidRPr="00214B75">
        <w:t xml:space="preserve"> using equation (</w:t>
      </w:r>
      <w:r w:rsidR="00CA3B96" w:rsidRPr="00214B75">
        <w:t>3</w:t>
      </w:r>
      <w:r w:rsidR="009F61F3" w:rsidRPr="00214B75">
        <w:t xml:space="preserve">) and the frequency with the maximum likelihood was used.  This is because the frequency of rare alleles is critically affected by sequence errors.  If </w:t>
      </w:r>
      <w:r w:rsidR="009F61F3" w:rsidRPr="00214B75">
        <w:rPr>
          <w:i/>
        </w:rPr>
        <w:t>p</w:t>
      </w:r>
      <w:r w:rsidR="009F61F3" w:rsidRPr="00214B75">
        <w:rPr>
          <w:vertAlign w:val="subscript"/>
        </w:rPr>
        <w:t>m</w:t>
      </w:r>
      <w:r w:rsidR="009F61F3" w:rsidRPr="00214B75">
        <w:t xml:space="preserve"> ≥ 0.1, the closest integer to </w:t>
      </w:r>
      <w:r w:rsidR="009F61F3" w:rsidRPr="00214B75">
        <w:rPr>
          <w:i/>
        </w:rPr>
        <w:t>p</w:t>
      </w:r>
      <w:r w:rsidR="009F61F3" w:rsidRPr="00214B75">
        <w:rPr>
          <w:vertAlign w:val="subscript"/>
        </w:rPr>
        <w:t>m</w:t>
      </w:r>
      <w:r w:rsidR="009F61F3" w:rsidRPr="00214B75">
        <w:t xml:space="preserve"> × </w:t>
      </w:r>
      <w:r w:rsidR="009F61F3" w:rsidRPr="00214B75">
        <w:rPr>
          <w:i/>
        </w:rPr>
        <w:t>n</w:t>
      </w:r>
      <w:r w:rsidR="009F61F3" w:rsidRPr="00214B75">
        <w:t xml:space="preserve"> </w:t>
      </w:r>
      <w:r w:rsidR="002278DE" w:rsidRPr="00214B75">
        <w:t>was the</w:t>
      </w:r>
      <w:r w:rsidR="009F61F3" w:rsidRPr="00214B75">
        <w:t xml:space="preserve"> minor allele</w:t>
      </w:r>
      <w:r w:rsidR="002278DE" w:rsidRPr="00214B75">
        <w:t xml:space="preserve"> frequency</w:t>
      </w:r>
      <w:r w:rsidR="009F61F3" w:rsidRPr="00214B75">
        <w:t>.</w:t>
      </w:r>
    </w:p>
    <w:p w14:paraId="17470896" w14:textId="77777777" w:rsidR="009F61F3" w:rsidRPr="00214B75" w:rsidRDefault="009F61F3" w:rsidP="0091532D">
      <w:pPr>
        <w:pStyle w:val="SMText"/>
        <w:spacing w:line="360" w:lineRule="auto"/>
        <w:ind w:firstLine="720"/>
      </w:pPr>
    </w:p>
    <w:p w14:paraId="1B212C13" w14:textId="77777777" w:rsidR="009F61F3" w:rsidRPr="00214B75" w:rsidRDefault="009F61F3" w:rsidP="0091532D">
      <w:pPr>
        <w:pStyle w:val="SMText"/>
        <w:spacing w:line="360" w:lineRule="auto"/>
        <w:ind w:firstLine="0"/>
        <w:rPr>
          <w:b/>
        </w:rPr>
      </w:pPr>
      <w:r w:rsidRPr="00214B75">
        <w:rPr>
          <w:b/>
        </w:rPr>
        <w:t>Demographic Model and Parameter Estimation</w:t>
      </w:r>
    </w:p>
    <w:p w14:paraId="62A4969D" w14:textId="7B6BDCFF" w:rsidR="009F61F3" w:rsidRPr="00214B75" w:rsidRDefault="002278DE" w:rsidP="0091532D">
      <w:pPr>
        <w:pStyle w:val="SMText"/>
        <w:spacing w:line="360" w:lineRule="auto"/>
      </w:pPr>
      <w:r w:rsidRPr="00214B75">
        <w:t>A</w:t>
      </w:r>
      <w:r w:rsidR="009F61F3" w:rsidRPr="00214B75">
        <w:t xml:space="preserve"> simple population expansion model </w:t>
      </w:r>
      <w:r w:rsidRPr="00214B75">
        <w:t xml:space="preserve">was assumed, </w:t>
      </w:r>
      <w:r w:rsidR="009F61F3" w:rsidRPr="00214B75">
        <w:t>as illustrated in</w:t>
      </w:r>
      <w:r w:rsidR="00B22517" w:rsidRPr="00214B75">
        <w:t xml:space="preserve"> </w:t>
      </w:r>
      <w:r w:rsidR="002C6600" w:rsidRPr="00214B75">
        <w:t>Fig</w:t>
      </w:r>
      <w:r w:rsidR="00B22517" w:rsidRPr="00214B75">
        <w:t xml:space="preserve">. </w:t>
      </w:r>
      <w:r w:rsidR="00513D32" w:rsidRPr="00214B75">
        <w:t>S1</w:t>
      </w:r>
      <w:r w:rsidR="009F61F3" w:rsidRPr="00214B75">
        <w:t xml:space="preserve">B.  </w:t>
      </w:r>
      <w:r w:rsidR="00477FE0" w:rsidRPr="00214B75">
        <w:t>T</w:t>
      </w:r>
      <w:r w:rsidR="009F61F3" w:rsidRPr="00214B75">
        <w:t xml:space="preserve">he ancestral diploid population representing a river population </w:t>
      </w:r>
      <w:r w:rsidR="00477FE0" w:rsidRPr="00214B75">
        <w:t xml:space="preserve">was assumed to follow </w:t>
      </w:r>
      <w:r w:rsidR="009F61F3" w:rsidRPr="00214B75">
        <w:t>a standard Wright</w:t>
      </w:r>
      <w:r w:rsidR="00336847" w:rsidRPr="00214B75">
        <w:t>–</w:t>
      </w:r>
      <w:r w:rsidR="009F61F3" w:rsidRPr="00214B75">
        <w:t xml:space="preserve">Fisher model with </w:t>
      </w:r>
      <w:r w:rsidR="00477FE0" w:rsidRPr="00214B75">
        <w:t xml:space="preserve">a </w:t>
      </w:r>
      <w:r w:rsidR="009F61F3" w:rsidRPr="00214B75">
        <w:t xml:space="preserve">constant size, </w:t>
      </w:r>
      <w:r w:rsidR="009F61F3" w:rsidRPr="00214B75">
        <w:rPr>
          <w:i/>
        </w:rPr>
        <w:t>N</w:t>
      </w:r>
      <w:r w:rsidR="009F61F3" w:rsidRPr="00214B75">
        <w:rPr>
          <w:vertAlign w:val="subscript"/>
        </w:rPr>
        <w:t>1</w:t>
      </w:r>
      <w:r w:rsidR="009F61F3" w:rsidRPr="00214B75">
        <w:t xml:space="preserve">.  The population expansion </w:t>
      </w:r>
      <w:r w:rsidR="00477FE0" w:rsidRPr="00214B75">
        <w:t xml:space="preserve">started </w:t>
      </w:r>
      <w:r w:rsidR="009F61F3" w:rsidRPr="00214B75">
        <w:rPr>
          <w:i/>
        </w:rPr>
        <w:t>t</w:t>
      </w:r>
      <w:r w:rsidR="009F61F3" w:rsidRPr="00214B75">
        <w:rPr>
          <w:vertAlign w:val="subscript"/>
        </w:rPr>
        <w:t>1</w:t>
      </w:r>
      <w:r w:rsidR="009F61F3" w:rsidRPr="00214B75">
        <w:t xml:space="preserve"> generations ago.  This event represents the immigration of cichlid fishes into Lake Victoria from the river population </w:t>
      </w:r>
      <w:r w:rsidR="00166CAF" w:rsidRPr="00214B75">
        <w:fldChar w:fldCharType="begin"/>
      </w:r>
      <w:r w:rsidR="00BD2855">
        <w:instrText xml:space="preserve"> ADDIN EN.CITE &lt;EndNote&gt;&lt;Cite&gt;&lt;Author&gt;Nagl&lt;/Author&gt;&lt;Year&gt;2000&lt;/Year&gt;&lt;RecNum&gt;234&lt;/RecNum&gt;&lt;DisplayText&gt;[6]&lt;/DisplayText&gt;&lt;record&gt;&lt;rec-number&gt;234&lt;/rec-number&gt;&lt;foreign-keys&gt;&lt;key app="EN" db-id="spf5fp9f80rs5derr24vzxxcx0dt25rp9sfr" timestamp="1456824361"&gt;234&lt;/key&gt;&lt;/foreign-keys&gt;&lt;ref-type name="Journal Article"&gt;17&lt;/ref-type&gt;&lt;contributors&gt;&lt;authors&gt;&lt;author&gt;Nagl, Sandra&lt;/author&gt;&lt;author&gt;Tichy, Herbert&lt;/author&gt;&lt;author&gt;Mayer, Werner E&lt;/author&gt;&lt;author&gt;Takezaki, Naoko&lt;/author&gt;&lt;author&gt;Takahata, Naoyuki&lt;/author&gt;&lt;author&gt;Klein, Jan&lt;/author&gt;&lt;/authors&gt;&lt;/contributors&gt;&lt;titles&gt;&lt;title&gt;The origin and age of haplochromine fishes in Lake Victoria, East Africa&lt;/title&gt;&lt;secondary-title&gt;Proceedings of the Royal Society of London B: Biological Sciences&lt;/secondary-title&gt;&lt;/titles&gt;&lt;periodical&gt;&lt;full-title&gt;Proceedings of the Royal Society of London B: Biological Sciences&lt;/full-title&gt;&lt;/periodical&gt;&lt;pages&gt;1049-1061&lt;/pages&gt;&lt;volume&gt;267&lt;/volume&gt;&lt;number&gt;1447&lt;/number&gt;&lt;dates&gt;&lt;year&gt;2000&lt;/year&gt;&lt;/dates&gt;&lt;isbn&gt;0962-8452&lt;/isbn&gt;&lt;urls&gt;&lt;/urls&gt;&lt;/record&gt;&lt;/Cite&gt;&lt;/EndNote&gt;</w:instrText>
      </w:r>
      <w:r w:rsidR="00166CAF" w:rsidRPr="00214B75">
        <w:fldChar w:fldCharType="separate"/>
      </w:r>
      <w:r w:rsidR="00BD2855">
        <w:rPr>
          <w:noProof/>
        </w:rPr>
        <w:t>[6]</w:t>
      </w:r>
      <w:r w:rsidR="00166CAF" w:rsidRPr="00214B75">
        <w:fldChar w:fldCharType="end"/>
      </w:r>
      <w:r w:rsidR="009F61F3" w:rsidRPr="00214B75">
        <w:t xml:space="preserve">.  The population size </w:t>
      </w:r>
      <w:r w:rsidR="00477FE0" w:rsidRPr="00214B75">
        <w:t xml:space="preserve">grew </w:t>
      </w:r>
      <w:r w:rsidR="009F61F3" w:rsidRPr="00214B75">
        <w:t xml:space="preserve">exponentially, and finally </w:t>
      </w:r>
      <w:r w:rsidR="00477FE0" w:rsidRPr="00214B75">
        <w:t xml:space="preserve">reached </w:t>
      </w:r>
      <w:r w:rsidR="009F61F3" w:rsidRPr="00214B75">
        <w:rPr>
          <w:i/>
        </w:rPr>
        <w:t>N</w:t>
      </w:r>
      <w:r w:rsidR="009F61F3" w:rsidRPr="00214B75">
        <w:rPr>
          <w:vertAlign w:val="subscript"/>
        </w:rPr>
        <w:t>2</w:t>
      </w:r>
      <w:r w:rsidR="009F61F3" w:rsidRPr="00214B75">
        <w:t xml:space="preserve"> at present.  The time and population size </w:t>
      </w:r>
      <w:r w:rsidR="00477FE0" w:rsidRPr="00214B75">
        <w:t xml:space="preserve">were </w:t>
      </w:r>
      <w:r w:rsidR="009F61F3" w:rsidRPr="00214B75">
        <w:t>scaled by the ancestral population size</w:t>
      </w:r>
      <w:r w:rsidR="00477FE0" w:rsidRPr="00214B75">
        <w:t xml:space="preserve"> and</w:t>
      </w:r>
      <w:r w:rsidR="009F61F3" w:rsidRPr="00214B75">
        <w:t xml:space="preserve"> </w:t>
      </w:r>
      <w:r w:rsidR="009F61F3" w:rsidRPr="00214B75">
        <w:rPr>
          <w:i/>
        </w:rPr>
        <w:t>T</w:t>
      </w:r>
      <w:r w:rsidR="009F61F3" w:rsidRPr="00214B75">
        <w:rPr>
          <w:vertAlign w:val="subscript"/>
        </w:rPr>
        <w:t>1</w:t>
      </w:r>
      <w:r w:rsidR="009F61F3" w:rsidRPr="00214B75">
        <w:t xml:space="preserve"> = </w:t>
      </w:r>
      <w:r w:rsidR="009F61F3" w:rsidRPr="00214B75">
        <w:rPr>
          <w:i/>
        </w:rPr>
        <w:t>t</w:t>
      </w:r>
      <w:r w:rsidR="009F61F3" w:rsidRPr="00214B75">
        <w:rPr>
          <w:vertAlign w:val="subscript"/>
        </w:rPr>
        <w:t>1</w:t>
      </w:r>
      <w:r w:rsidR="009F61F3" w:rsidRPr="00214B75">
        <w:t>/2</w:t>
      </w:r>
      <w:r w:rsidR="009F61F3" w:rsidRPr="00214B75">
        <w:rPr>
          <w:i/>
        </w:rPr>
        <w:t>N</w:t>
      </w:r>
      <w:r w:rsidR="009F61F3" w:rsidRPr="00214B75">
        <w:rPr>
          <w:vertAlign w:val="subscript"/>
        </w:rPr>
        <w:t>1</w:t>
      </w:r>
      <w:r w:rsidR="009F61F3" w:rsidRPr="00214B75">
        <w:t xml:space="preserve"> and β = </w:t>
      </w:r>
      <w:r w:rsidR="009F61F3" w:rsidRPr="00214B75">
        <w:rPr>
          <w:i/>
        </w:rPr>
        <w:t>N</w:t>
      </w:r>
      <w:r w:rsidR="009F61F3" w:rsidRPr="00214B75">
        <w:rPr>
          <w:vertAlign w:val="subscript"/>
        </w:rPr>
        <w:t>2</w:t>
      </w:r>
      <w:r w:rsidR="009F61F3" w:rsidRPr="00214B75">
        <w:t>/</w:t>
      </w:r>
      <w:r w:rsidR="009F61F3" w:rsidRPr="00214B75">
        <w:rPr>
          <w:i/>
        </w:rPr>
        <w:t>N</w:t>
      </w:r>
      <w:r w:rsidR="009F61F3" w:rsidRPr="00214B75">
        <w:rPr>
          <w:vertAlign w:val="subscript"/>
        </w:rPr>
        <w:t>1</w:t>
      </w:r>
      <w:r w:rsidR="00477FE0" w:rsidRPr="00214B75">
        <w:rPr>
          <w:vertAlign w:val="subscript"/>
        </w:rPr>
        <w:t xml:space="preserve"> </w:t>
      </w:r>
      <w:r w:rsidR="00477FE0" w:rsidRPr="00214B75">
        <w:t>were estimated</w:t>
      </w:r>
      <w:r w:rsidR="009F61F3" w:rsidRPr="00214B75">
        <w:t xml:space="preserve">.  </w:t>
      </w:r>
      <w:r w:rsidR="00477FE0" w:rsidRPr="00214B75">
        <w:t>The</w:t>
      </w:r>
      <w:r w:rsidR="009F61F3" w:rsidRPr="00214B75">
        <w:t xml:space="preserve"> expected SFS given </w:t>
      </w:r>
      <w:r w:rsidR="009F61F3" w:rsidRPr="00214B75">
        <w:rPr>
          <w:i/>
        </w:rPr>
        <w:t>T</w:t>
      </w:r>
      <w:r w:rsidR="009F61F3" w:rsidRPr="00214B75">
        <w:rPr>
          <w:vertAlign w:val="subscript"/>
        </w:rPr>
        <w:t>1</w:t>
      </w:r>
      <w:r w:rsidR="009F61F3" w:rsidRPr="00214B75">
        <w:t xml:space="preserve"> and β</w:t>
      </w:r>
      <w:r w:rsidR="00477FE0" w:rsidRPr="00214B75">
        <w:t xml:space="preserve"> was estimated</w:t>
      </w:r>
      <w:r w:rsidR="009F61F3" w:rsidRPr="00214B75">
        <w:t xml:space="preserve">, and </w:t>
      </w:r>
      <w:r w:rsidR="00477FE0" w:rsidRPr="00214B75">
        <w:t xml:space="preserve">the </w:t>
      </w:r>
      <w:r w:rsidR="009F61F3" w:rsidRPr="00214B75">
        <w:t>log</w:t>
      </w:r>
      <w:r w:rsidR="00EC014A" w:rsidRPr="00214B75">
        <w:t>-</w:t>
      </w:r>
      <w:r w:rsidR="009F61F3" w:rsidRPr="00214B75">
        <w:t>likelihood based on the observed and expected SFS</w:t>
      </w:r>
      <w:r w:rsidR="00477FE0" w:rsidRPr="00214B75">
        <w:t xml:space="preserve"> was obtained using</w:t>
      </w:r>
      <w:r w:rsidR="009F61F3" w:rsidRPr="00214B75">
        <w:t xml:space="preserve"> δaδi software </w:t>
      </w:r>
      <w:r w:rsidR="009F61F3" w:rsidRPr="00214B75">
        <w:fldChar w:fldCharType="begin"/>
      </w:r>
      <w:r w:rsidR="00BD2855">
        <w:instrText xml:space="preserve"> ADDIN EN.CITE &lt;EndNote&gt;&lt;Cite&gt;&lt;Author&gt;Gutenkunst&lt;/Author&gt;&lt;Year&gt;2009&lt;/Year&gt;&lt;RecNum&gt;201&lt;/RecNum&gt;&lt;DisplayText&gt;[7]&lt;/DisplayText&gt;&lt;record&gt;&lt;rec-number&gt;201&lt;/rec-number&gt;&lt;foreign-keys&gt;&lt;key app="EN" db-id="spf5fp9f80rs5derr24vzxxcx0dt25rp9sfr" timestamp="1456809244"&gt;201&lt;/key&gt;&lt;key app="ENWeb" db-id=""&gt;0&lt;/key&gt;&lt;/foreign-keys&gt;&lt;ref-type name="Journal Article"&gt;17&lt;/ref-type&gt;&lt;contributors&gt;&lt;authors&gt;&lt;author&gt;Gutenkunst, R. N.&lt;/author&gt;&lt;author&gt;Hernandez, R. D.&lt;/author&gt;&lt;author&gt;Williamson, S. H.&lt;/author&gt;&lt;author&gt;Bustamante, C. D.&lt;/author&gt;&lt;/authors&gt;&lt;/contributors&gt;&lt;auth-address&gt;Theoretical Biology and Biophysics and Center for Nonlinear Studies, Los Alamos National Laboratory, Los Alamos, New Mexico, USA. ryang@lanl.gov&lt;/auth-address&gt;&lt;titles&gt;&lt;title&gt;Inferring the joint demographic history of multiple populations from multidimensional SNP frequency data&lt;/title&gt;&lt;secondary-title&gt;PLoS Genet&lt;/secondary-title&gt;&lt;/titles&gt;&lt;periodical&gt;&lt;full-title&gt;PLoS Genet&lt;/full-title&gt;&lt;/periodical&gt;&lt;pages&gt;e1000695&lt;/pages&gt;&lt;volume&gt;5&lt;/volume&gt;&lt;number&gt;10&lt;/number&gt;&lt;keywords&gt;&lt;keyword&gt;Africa&lt;/keyword&gt;&lt;keyword&gt;Asia&lt;/keyword&gt;&lt;keyword&gt;Continental Population Groups/*genetics/*history&lt;/keyword&gt;&lt;keyword&gt;Demography&lt;/keyword&gt;&lt;keyword&gt;Europe&lt;/keyword&gt;&lt;keyword&gt;*Evolution, Molecular&lt;/keyword&gt;&lt;keyword&gt;*Gene Frequency&lt;/keyword&gt;&lt;keyword&gt;History, Ancient&lt;/keyword&gt;&lt;keyword&gt;Humans&lt;/keyword&gt;&lt;keyword&gt;Models, Genetic&lt;/keyword&gt;&lt;keyword&gt;*Polymorphism, Single Nucleotide&lt;/keyword&gt;&lt;/keywords&gt;&lt;dates&gt;&lt;year&gt;2009&lt;/year&gt;&lt;pub-dates&gt;&lt;date&gt;Oct&lt;/date&gt;&lt;/pub-dates&gt;&lt;/dates&gt;&lt;isbn&gt;1553-7404 (Electronic)&amp;#xD;1553-7390 (Linking)&lt;/isbn&gt;&lt;accession-num&gt;19851460&lt;/accession-num&gt;&lt;urls&gt;&lt;related-urls&gt;&lt;url&gt;http://www.ncbi.nlm.nih.gov/pubmed/19851460&lt;/url&gt;&lt;/related-urls&gt;&lt;/urls&gt;&lt;custom2&gt;PMC2760211&lt;/custom2&gt;&lt;electronic-resource-num&gt;10.1371/journal.pgen.1000695&lt;/electronic-resource-num&gt;&lt;/record&gt;&lt;/Cite&gt;&lt;/EndNote&gt;</w:instrText>
      </w:r>
      <w:r w:rsidR="009F61F3" w:rsidRPr="00214B75">
        <w:fldChar w:fldCharType="separate"/>
      </w:r>
      <w:r w:rsidR="00BD2855">
        <w:rPr>
          <w:noProof/>
        </w:rPr>
        <w:t>[7]</w:t>
      </w:r>
      <w:r w:rsidR="009F61F3" w:rsidRPr="00214B75">
        <w:fldChar w:fldCharType="end"/>
      </w:r>
      <w:r w:rsidR="009F61F3" w:rsidRPr="00214B75">
        <w:t xml:space="preserve">.  The estimated values </w:t>
      </w:r>
      <w:r w:rsidR="00F301D5" w:rsidRPr="00214B75">
        <w:t xml:space="preserve">of </w:t>
      </w:r>
      <w:r w:rsidR="00F301D5" w:rsidRPr="00214B75">
        <w:rPr>
          <w:i/>
        </w:rPr>
        <w:t>T</w:t>
      </w:r>
      <w:r w:rsidR="00F301D5" w:rsidRPr="00214B75">
        <w:rPr>
          <w:vertAlign w:val="subscript"/>
        </w:rPr>
        <w:t>1</w:t>
      </w:r>
      <w:r w:rsidR="00F301D5" w:rsidRPr="00214B75">
        <w:t xml:space="preserve"> and β were 0.69 and 188 for </w:t>
      </w:r>
      <w:r w:rsidR="00F301D5" w:rsidRPr="00214B75">
        <w:rPr>
          <w:i/>
        </w:rPr>
        <w:t>H. pyrrhocephalus</w:t>
      </w:r>
      <w:r w:rsidR="00F301D5" w:rsidRPr="00214B75">
        <w:t xml:space="preserve">, and 0.67 and 227 for </w:t>
      </w:r>
      <w:r w:rsidR="00F301D5" w:rsidRPr="00214B75">
        <w:rPr>
          <w:i/>
        </w:rPr>
        <w:t>H</w:t>
      </w:r>
      <w:r w:rsidR="00F301D5" w:rsidRPr="00214B75">
        <w:t>. sp. ‘macula</w:t>
      </w:r>
      <w:r w:rsidR="00336847" w:rsidRPr="00214B75">
        <w:t>,</w:t>
      </w:r>
      <w:r w:rsidR="00951450">
        <w:t>’</w:t>
      </w:r>
      <w:r w:rsidR="00F301D5" w:rsidRPr="00214B75">
        <w:t xml:space="preserve"> respectively</w:t>
      </w:r>
      <w:r w:rsidR="009F61F3" w:rsidRPr="00214B75">
        <w:t>.</w:t>
      </w:r>
    </w:p>
    <w:p w14:paraId="5F32EA56" w14:textId="0C22755D" w:rsidR="009F61F3" w:rsidRPr="00214B75" w:rsidRDefault="009F61F3" w:rsidP="0091532D">
      <w:pPr>
        <w:pStyle w:val="SMText"/>
        <w:spacing w:line="360" w:lineRule="auto"/>
      </w:pPr>
      <w:r w:rsidRPr="00214B75">
        <w:tab/>
        <w:t xml:space="preserve">Next, </w:t>
      </w:r>
      <w:r w:rsidR="00477FE0" w:rsidRPr="00214B75">
        <w:t>the</w:t>
      </w:r>
      <w:r w:rsidRPr="00214B75">
        <w:t xml:space="preserve"> parameters </w:t>
      </w:r>
      <w:r w:rsidRPr="00214B75">
        <w:rPr>
          <w:i/>
        </w:rPr>
        <w:t>N</w:t>
      </w:r>
      <w:r w:rsidRPr="00214B75">
        <w:rPr>
          <w:vertAlign w:val="subscript"/>
        </w:rPr>
        <w:t>1</w:t>
      </w:r>
      <w:r w:rsidRPr="00214B75">
        <w:t xml:space="preserve">, </w:t>
      </w:r>
      <w:r w:rsidRPr="00214B75">
        <w:rPr>
          <w:i/>
        </w:rPr>
        <w:t>N</w:t>
      </w:r>
      <w:r w:rsidRPr="00214B75">
        <w:rPr>
          <w:vertAlign w:val="subscript"/>
        </w:rPr>
        <w:t>2</w:t>
      </w:r>
      <w:r w:rsidR="00F172ED" w:rsidRPr="00214B75">
        <w:t xml:space="preserve">, </w:t>
      </w:r>
      <w:r w:rsidRPr="00214B75">
        <w:t xml:space="preserve">and </w:t>
      </w:r>
      <w:r w:rsidRPr="00214B75">
        <w:rPr>
          <w:i/>
        </w:rPr>
        <w:t>t</w:t>
      </w:r>
      <w:r w:rsidRPr="00214B75">
        <w:rPr>
          <w:vertAlign w:val="subscript"/>
        </w:rPr>
        <w:t>1</w:t>
      </w:r>
      <w:r w:rsidRPr="00214B75">
        <w:t xml:space="preserve"> </w:t>
      </w:r>
      <w:r w:rsidR="00477FE0" w:rsidRPr="00214B75">
        <w:t xml:space="preserve">were estimated </w:t>
      </w:r>
      <w:r w:rsidRPr="00214B75">
        <w:t xml:space="preserve">assuming </w:t>
      </w:r>
      <w:r w:rsidR="00477FE0" w:rsidRPr="00214B75">
        <w:t xml:space="preserve">a </w:t>
      </w:r>
      <w:r w:rsidRPr="00214B75">
        <w:t>mutation rate per site per generation</w:t>
      </w:r>
      <w:r w:rsidR="00477FE0" w:rsidRPr="00214B75">
        <w:t xml:space="preserve"> of </w:t>
      </w:r>
      <w:r w:rsidRPr="00214B75">
        <w:t>μ = 6.6</w:t>
      </w:r>
      <w:r w:rsidR="00477FE0" w:rsidRPr="00214B75">
        <w:t xml:space="preserve"> </w:t>
      </w:r>
      <w:r w:rsidRPr="00214B75">
        <w:t>×</w:t>
      </w:r>
      <w:r w:rsidR="00477FE0" w:rsidRPr="00214B75">
        <w:t xml:space="preserve"> </w:t>
      </w:r>
      <w:r w:rsidRPr="00214B75">
        <w:t>10</w:t>
      </w:r>
      <w:r w:rsidR="00951450" w:rsidRPr="00951450">
        <w:rPr>
          <w:vertAlign w:val="superscript"/>
        </w:rPr>
        <w:t>-</w:t>
      </w:r>
      <w:r w:rsidRPr="00214B75">
        <w:rPr>
          <w:vertAlign w:val="superscript"/>
        </w:rPr>
        <w:t>8</w:t>
      </w:r>
      <w:r w:rsidRPr="00214B75">
        <w:t xml:space="preserve"> </w:t>
      </w:r>
      <w:r w:rsidR="00166CAF" w:rsidRPr="00214B75">
        <w:fldChar w:fldCharType="begin">
          <w:fldData xml:space="preserve">PEVuZE5vdGU+PENpdGU+PEF1dGhvcj5SZWNrbmFnZWw8L0F1dGhvcj48WWVhcj4yMDEzPC9ZZWFy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=
</w:fldData>
        </w:fldChar>
      </w:r>
      <w:r w:rsidR="00BD2855">
        <w:instrText xml:space="preserve"> ADDIN EN.CITE </w:instrText>
      </w:r>
      <w:r w:rsidR="00BD2855">
        <w:fldChar w:fldCharType="begin">
          <w:fldData xml:space="preserve">PEVuZE5vdGU+PENpdGU+PEF1dGhvcj5SZWNrbmFnZWw8L0F1dGhvcj48WWVhcj4yMDEzPC9ZZWFy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=
</w:fldData>
        </w:fldChar>
      </w:r>
      <w:r w:rsidR="00BD2855">
        <w:instrText xml:space="preserve"> ADDIN EN.CITE.DATA </w:instrText>
      </w:r>
      <w:r w:rsidR="00BD2855">
        <w:fldChar w:fldCharType="end"/>
      </w:r>
      <w:r w:rsidR="00166CAF" w:rsidRPr="00214B75">
        <w:fldChar w:fldCharType="separate"/>
      </w:r>
      <w:r w:rsidR="00BD2855">
        <w:rPr>
          <w:noProof/>
        </w:rPr>
        <w:t>[8]</w:t>
      </w:r>
      <w:r w:rsidR="00166CAF" w:rsidRPr="00214B75">
        <w:fldChar w:fldCharType="end"/>
      </w:r>
      <w:r w:rsidRPr="00214B75">
        <w:t xml:space="preserve">.  </w:t>
      </w:r>
      <w:r w:rsidR="00477FE0" w:rsidRPr="00214B75">
        <w:t>The</w:t>
      </w:r>
      <w:r w:rsidRPr="00214B75">
        <w:t xml:space="preserve"> expected coalescent time </w:t>
      </w:r>
      <w:r w:rsidR="00477FE0" w:rsidRPr="00214B75">
        <w:t xml:space="preserve">was calculated </w:t>
      </w:r>
      <w:r w:rsidRPr="00214B75">
        <w:t xml:space="preserve">under our model following Slatkin and Hudson </w:t>
      </w:r>
      <w:r w:rsidR="00166CAF" w:rsidRPr="00214B75">
        <w:fldChar w:fldCharType="begin"/>
      </w:r>
      <w:r w:rsidR="00BD2855">
        <w:instrText xml:space="preserve"> ADDIN EN.CITE &lt;EndNote&gt;&lt;Cite&gt;&lt;Author&gt;Slatkin&lt;/Author&gt;&lt;Year&gt;1991&lt;/Year&gt;&lt;RecNum&gt;235&lt;/RecNum&gt;&lt;DisplayText&gt;[9]&lt;/DisplayText&gt;&lt;record&gt;&lt;rec-number&gt;235&lt;/rec-number&gt;&lt;foreign-keys&gt;&lt;key app="EN" db-id="spf5fp9f80rs5derr24vzxxcx0dt25rp9sfr" timestamp="1456824573"&gt;235&lt;/key&gt;&lt;/foreign-keys&gt;&lt;ref-type name="Journal Article"&gt;17&lt;/ref-type&gt;&lt;contributors&gt;&lt;authors&gt;&lt;author&gt;Slatkin, Montgomery&lt;/author&gt;&lt;author&gt;Hudson, Richard R&lt;/author&gt;&lt;/authors&gt;&lt;/contributors&gt;&lt;titles&gt;&lt;title&gt;Pairwise comparisons of mitochondrial DNA sequences in stable and exponentially growing populations&lt;/title&gt;&lt;secondary-title&gt;Genetics&lt;/secondary-title&gt;&lt;/titles&gt;&lt;periodical&gt;&lt;full-title&gt;Genetics&lt;/full-title&gt;&lt;/periodical&gt;&lt;pages&gt;555-562&lt;/pages&gt;&lt;volume&gt;129&lt;/volume&gt;&lt;number&gt;2&lt;/number&gt;&lt;dates&gt;&lt;year&gt;1991&lt;/year&gt;&lt;/dates&gt;&lt;isbn&gt;0016-6731&lt;/isbn&gt;&lt;urls&gt;&lt;/urls&gt;&lt;/record&gt;&lt;/Cite&gt;&lt;/EndNote&gt;</w:instrText>
      </w:r>
      <w:r w:rsidR="00166CAF" w:rsidRPr="00214B75">
        <w:fldChar w:fldCharType="separate"/>
      </w:r>
      <w:r w:rsidR="00BD2855">
        <w:rPr>
          <w:noProof/>
        </w:rPr>
        <w:t>[9]</w:t>
      </w:r>
      <w:r w:rsidR="00166CAF" w:rsidRPr="00214B75">
        <w:fldChar w:fldCharType="end"/>
      </w:r>
      <w:r w:rsidRPr="00214B75">
        <w:t>.</w:t>
      </w:r>
    </w:p>
    <w:p w14:paraId="3F54D543" w14:textId="5B704E10" w:rsidR="009F61F3" w:rsidRPr="00214B75" w:rsidRDefault="009F61F3" w:rsidP="0091532D">
      <w:pPr>
        <w:pStyle w:val="SMText"/>
        <w:spacing w:line="360" w:lineRule="auto"/>
      </w:pPr>
      <w:r w:rsidRPr="00214B75">
        <w:t xml:space="preserve">The population size at time </w:t>
      </w:r>
      <w:r w:rsidRPr="00214B75">
        <w:rPr>
          <w:i/>
        </w:rPr>
        <w:t>t</w:t>
      </w:r>
      <w:r w:rsidRPr="00214B75">
        <w:t xml:space="preserve"> (</w:t>
      </w:r>
      <w:r w:rsidRPr="00214B75">
        <w:rPr>
          <w:i/>
        </w:rPr>
        <w:t>t</w:t>
      </w:r>
      <w:r w:rsidRPr="00214B75">
        <w:t xml:space="preserve"> &lt; </w:t>
      </w:r>
      <w:r w:rsidRPr="00214B75">
        <w:rPr>
          <w:i/>
        </w:rPr>
        <w:t>t</w:t>
      </w:r>
      <w:r w:rsidRPr="00214B75">
        <w:rPr>
          <w:vertAlign w:val="subscript"/>
        </w:rPr>
        <w:t>1</w:t>
      </w:r>
      <w:r w:rsidRPr="00214B75">
        <w:t>)</w:t>
      </w:r>
      <w:r w:rsidR="00477FE0" w:rsidRPr="00214B75">
        <w:t xml:space="preserve"> wa</w:t>
      </w:r>
      <w:r w:rsidRPr="00214B75">
        <w:t xml:space="preserve">s </w:t>
      </w:r>
      <w:r w:rsidRPr="00214B75">
        <w:rPr>
          <w:i/>
        </w:rPr>
        <w:t>N</w:t>
      </w:r>
      <w:r w:rsidRPr="00214B75">
        <w:t>(</w:t>
      </w:r>
      <w:r w:rsidRPr="00214B75">
        <w:rPr>
          <w:i/>
        </w:rPr>
        <w:t>t</w:t>
      </w:r>
      <w:r w:rsidRPr="00214B75">
        <w:t xml:space="preserve">) = </w:t>
      </w:r>
      <w:r w:rsidRPr="00214B75">
        <w:rPr>
          <w:i/>
        </w:rPr>
        <w:t>N</w:t>
      </w:r>
      <w:r w:rsidRPr="00214B75">
        <w:rPr>
          <w:vertAlign w:val="subscript"/>
        </w:rPr>
        <w:t>2</w:t>
      </w:r>
      <w:r w:rsidRPr="00214B75">
        <w:t xml:space="preserve"> e</w:t>
      </w:r>
      <w:r w:rsidRPr="00214B75">
        <w:rPr>
          <w:vertAlign w:val="superscript"/>
        </w:rPr>
        <w:t>–</w:t>
      </w:r>
      <w:r w:rsidRPr="00214B75">
        <w:rPr>
          <w:i/>
          <w:vertAlign w:val="superscript"/>
        </w:rPr>
        <w:t>rt</w:t>
      </w:r>
      <w:r w:rsidRPr="00214B75">
        <w:t xml:space="preserve">, where the growth rate of the population per generation </w:t>
      </w:r>
      <w:r w:rsidR="00D72163" w:rsidRPr="00214B75">
        <w:t xml:space="preserve">was </w:t>
      </w:r>
      <w:r w:rsidRPr="00214B75">
        <w:rPr>
          <w:i/>
        </w:rPr>
        <w:t>r</w:t>
      </w:r>
      <w:r w:rsidRPr="00214B75">
        <w:t xml:space="preserve"> = –ln(1/β)/</w:t>
      </w:r>
      <w:r w:rsidRPr="00214B75">
        <w:rPr>
          <w:i/>
        </w:rPr>
        <w:t>t</w:t>
      </w:r>
      <w:r w:rsidRPr="00214B75">
        <w:rPr>
          <w:vertAlign w:val="subscript"/>
        </w:rPr>
        <w:t>1</w:t>
      </w:r>
      <w:r w:rsidRPr="00214B75">
        <w:t xml:space="preserve">.  First, the </w:t>
      </w:r>
      <w:r w:rsidR="00477FE0" w:rsidRPr="00214B75">
        <w:t xml:space="preserve">probabilities </w:t>
      </w:r>
      <w:r w:rsidRPr="00214B75">
        <w:t>of the coalescent tim</w:t>
      </w:r>
      <w:r w:rsidR="00477FE0" w:rsidRPr="00214B75">
        <w:t>es</w:t>
      </w:r>
      <w:r w:rsidRPr="00214B75">
        <w:t xml:space="preserve"> </w:t>
      </w:r>
      <w:r w:rsidRPr="00214B75">
        <w:rPr>
          <w:i/>
        </w:rPr>
        <w:t>t</w:t>
      </w:r>
      <w:r w:rsidRPr="00214B75">
        <w:t xml:space="preserve"> &lt; </w:t>
      </w:r>
      <w:r w:rsidRPr="00214B75">
        <w:rPr>
          <w:i/>
        </w:rPr>
        <w:t>t</w:t>
      </w:r>
      <w:r w:rsidRPr="00214B75">
        <w:rPr>
          <w:vertAlign w:val="subscript"/>
        </w:rPr>
        <w:t>1</w:t>
      </w:r>
      <w:r w:rsidRPr="00214B75">
        <w:t xml:space="preserve"> and </w:t>
      </w:r>
      <w:r w:rsidRPr="00214B75">
        <w:rPr>
          <w:i/>
        </w:rPr>
        <w:t>t</w:t>
      </w:r>
      <w:r w:rsidRPr="00214B75">
        <w:t xml:space="preserve"> ≥ </w:t>
      </w:r>
      <w:r w:rsidRPr="00214B75">
        <w:rPr>
          <w:i/>
        </w:rPr>
        <w:t>t</w:t>
      </w:r>
      <w:r w:rsidRPr="00214B75">
        <w:rPr>
          <w:vertAlign w:val="subscript"/>
        </w:rPr>
        <w:t>1</w:t>
      </w:r>
      <w:r w:rsidR="00477FE0" w:rsidRPr="00214B75">
        <w:t xml:space="preserve"> were estimated</w:t>
      </w:r>
      <w:r w:rsidRPr="00214B75">
        <w:t xml:space="preserve">.  Following the model, </w:t>
      </w:r>
      <w:r w:rsidR="00477FE0" w:rsidRPr="00214B75">
        <w:t>the following w</w:t>
      </w:r>
      <w:r w:rsidR="00DB312E" w:rsidRPr="00214B75">
        <w:t>ere</w:t>
      </w:r>
      <w:r w:rsidR="00477FE0" w:rsidRPr="00214B75">
        <w:t xml:space="preserve"> estimated:</w:t>
      </w:r>
    </w:p>
    <w:p w14:paraId="34863405" w14:textId="77777777" w:rsidR="009F61F3" w:rsidRPr="00214B75" w:rsidRDefault="009F61F3" w:rsidP="0091532D">
      <w:pPr>
        <w:pStyle w:val="SMText"/>
        <w:spacing w:line="360" w:lineRule="auto"/>
        <w:jc w:val="center"/>
        <w:rPr>
          <w:position w:val="-32"/>
        </w:rPr>
      </w:pPr>
    </w:p>
    <w:p w14:paraId="1B868500" w14:textId="2F1ABCB9" w:rsidR="009F61F3" w:rsidRPr="00214B75" w:rsidRDefault="00D43CB1" w:rsidP="0091532D">
      <w:pPr>
        <w:pStyle w:val="SMText"/>
        <w:spacing w:line="360" w:lineRule="auto"/>
        <w:jc w:val="center"/>
        <w:rPr>
          <w:position w:val="-32"/>
        </w:rPr>
      </w:pPr>
      <w:r w:rsidRPr="00214B75">
        <w:rPr>
          <w:noProof/>
          <w:position w:val="-32"/>
        </w:rPr>
        <w:drawing>
          <wp:inline distT="0" distB="0" distL="0" distR="0" wp14:anchorId="1FF6823B" wp14:editId="5A133D12">
            <wp:extent cx="2943225" cy="46672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3225" cy="466725"/>
                    </a:xfrm>
                    <a:prstGeom prst="rect">
                      <a:avLst/>
                    </a:prstGeom>
                    <a:noFill/>
                    <a:ln>
                      <a:noFill/>
                    </a:ln>
                  </pic:spPr>
                </pic:pic>
              </a:graphicData>
            </a:graphic>
          </wp:inline>
        </w:drawing>
      </w:r>
      <w:r w:rsidR="002A7E05" w:rsidRPr="00214B75">
        <w:rPr>
          <w:position w:val="-32"/>
        </w:rPr>
        <w:t xml:space="preserve"> </w:t>
      </w:r>
      <w:r w:rsidR="009F61F3" w:rsidRPr="00214B75">
        <w:t>(</w:t>
      </w:r>
      <w:r w:rsidR="002F2BDB" w:rsidRPr="00214B75">
        <w:t>6</w:t>
      </w:r>
      <w:r w:rsidR="009F61F3" w:rsidRPr="00214B75">
        <w:t>)</w:t>
      </w:r>
    </w:p>
    <w:p w14:paraId="12A91B08" w14:textId="26A382E7" w:rsidR="009F61F3" w:rsidRPr="00214B75" w:rsidRDefault="00D43CB1" w:rsidP="0091532D">
      <w:pPr>
        <w:pStyle w:val="SMText"/>
        <w:spacing w:line="360" w:lineRule="auto"/>
        <w:jc w:val="center"/>
      </w:pPr>
      <w:r w:rsidRPr="00214B75">
        <w:rPr>
          <w:noProof/>
          <w:position w:val="-10"/>
        </w:rPr>
        <w:drawing>
          <wp:inline distT="0" distB="0" distL="0" distR="0" wp14:anchorId="2A822CA4" wp14:editId="1B36F6B7">
            <wp:extent cx="1371600" cy="200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200025"/>
                    </a:xfrm>
                    <a:prstGeom prst="rect">
                      <a:avLst/>
                    </a:prstGeom>
                    <a:noFill/>
                    <a:ln>
                      <a:noFill/>
                    </a:ln>
                  </pic:spPr>
                </pic:pic>
              </a:graphicData>
            </a:graphic>
          </wp:inline>
        </w:drawing>
      </w:r>
      <w:r w:rsidR="002A7E05" w:rsidRPr="00214B75">
        <w:rPr>
          <w:position w:val="-10"/>
        </w:rPr>
        <w:t xml:space="preserve"> </w:t>
      </w:r>
      <w:r w:rsidR="009F61F3" w:rsidRPr="00214B75">
        <w:t>(</w:t>
      </w:r>
      <w:r w:rsidR="002F2BDB" w:rsidRPr="00214B75">
        <w:t>7</w:t>
      </w:r>
      <w:r w:rsidR="009F61F3" w:rsidRPr="00214B75">
        <w:t>)</w:t>
      </w:r>
    </w:p>
    <w:p w14:paraId="7C7EC710" w14:textId="742B018D" w:rsidR="009F61F3" w:rsidRPr="00214B75" w:rsidRDefault="009F61F3" w:rsidP="0091532D">
      <w:pPr>
        <w:pStyle w:val="SMText"/>
        <w:spacing w:line="360" w:lineRule="auto"/>
      </w:pPr>
      <w:r w:rsidRPr="00214B75">
        <w:lastRenderedPageBreak/>
        <w:t xml:space="preserve">Next, </w:t>
      </w:r>
      <w:r w:rsidR="00477FE0" w:rsidRPr="00214B75">
        <w:t>a</w:t>
      </w:r>
      <w:r w:rsidRPr="00214B75">
        <w:t xml:space="preserve"> conditional expected coalescent time</w:t>
      </w:r>
      <w:r w:rsidR="00477FE0" w:rsidRPr="00214B75">
        <w:t xml:space="preserve"> was calculated</w:t>
      </w:r>
      <w:r w:rsidRPr="00214B75">
        <w:t xml:space="preserve">.  When </w:t>
      </w:r>
      <w:r w:rsidRPr="00214B75">
        <w:rPr>
          <w:i/>
        </w:rPr>
        <w:t>t</w:t>
      </w:r>
      <w:r w:rsidRPr="00214B75">
        <w:t xml:space="preserve"> &lt; </w:t>
      </w:r>
      <w:r w:rsidRPr="00214B75">
        <w:rPr>
          <w:i/>
        </w:rPr>
        <w:t>t</w:t>
      </w:r>
      <w:r w:rsidRPr="00214B75">
        <w:rPr>
          <w:vertAlign w:val="subscript"/>
        </w:rPr>
        <w:t>1</w:t>
      </w:r>
      <w:r w:rsidRPr="00214B75">
        <w:t xml:space="preserve">, using equation (5) in Slatkin and Hudson </w:t>
      </w:r>
      <w:r w:rsidR="00166CAF" w:rsidRPr="00214B75">
        <w:fldChar w:fldCharType="begin"/>
      </w:r>
      <w:r w:rsidR="00BD2855">
        <w:instrText xml:space="preserve"> ADDIN EN.CITE &lt;EndNote&gt;&lt;Cite&gt;&lt;Author&gt;Slatkin&lt;/Author&gt;&lt;Year&gt;1991&lt;/Year&gt;&lt;RecNum&gt;235&lt;/RecNum&gt;&lt;DisplayText&gt;[9]&lt;/DisplayText&gt;&lt;record&gt;&lt;rec-number&gt;235&lt;/rec-number&gt;&lt;foreign-keys&gt;&lt;key app="EN" db-id="spf5fp9f80rs5derr24vzxxcx0dt25rp9sfr" timestamp="1456824573"&gt;235&lt;/key&gt;&lt;/foreign-keys&gt;&lt;ref-type name="Journal Article"&gt;17&lt;/ref-type&gt;&lt;contributors&gt;&lt;authors&gt;&lt;author&gt;Slatkin, Montgomery&lt;/author&gt;&lt;author&gt;Hudson, Richard R&lt;/author&gt;&lt;/authors&gt;&lt;/contributors&gt;&lt;titles&gt;&lt;title&gt;Pairwise comparisons of mitochondrial DNA sequences in stable and exponentially growing populations&lt;/title&gt;&lt;secondary-title&gt;Genetics&lt;/secondary-title&gt;&lt;/titles&gt;&lt;periodical&gt;&lt;full-title&gt;Genetics&lt;/full-title&gt;&lt;/periodical&gt;&lt;pages&gt;555-562&lt;/pages&gt;&lt;volume&gt;129&lt;/volume&gt;&lt;number&gt;2&lt;/number&gt;&lt;dates&gt;&lt;year&gt;1991&lt;/year&gt;&lt;/dates&gt;&lt;isbn&gt;0016-6731&lt;/isbn&gt;&lt;urls&gt;&lt;/urls&gt;&lt;/record&gt;&lt;/Cite&gt;&lt;/EndNote&gt;</w:instrText>
      </w:r>
      <w:r w:rsidR="00166CAF" w:rsidRPr="00214B75">
        <w:fldChar w:fldCharType="separate"/>
      </w:r>
      <w:r w:rsidR="00BD2855">
        <w:rPr>
          <w:noProof/>
        </w:rPr>
        <w:t>[9]</w:t>
      </w:r>
      <w:r w:rsidR="00166CAF" w:rsidRPr="00214B75">
        <w:fldChar w:fldCharType="end"/>
      </w:r>
      <w:r w:rsidRPr="00214B75">
        <w:t xml:space="preserve">, the conditional probability distribution of </w:t>
      </w:r>
      <w:r w:rsidRPr="00214B75">
        <w:rPr>
          <w:i/>
        </w:rPr>
        <w:t>t</w:t>
      </w:r>
      <w:r w:rsidRPr="00214B75">
        <w:t xml:space="preserve"> </w:t>
      </w:r>
      <w:r w:rsidR="00477FE0" w:rsidRPr="00214B75">
        <w:t xml:space="preserve">was calculated </w:t>
      </w:r>
      <w:r w:rsidRPr="00214B75">
        <w:t>as</w:t>
      </w:r>
      <w:r w:rsidR="00D72163" w:rsidRPr="00214B75">
        <w:t xml:space="preserve"> follows:</w:t>
      </w:r>
    </w:p>
    <w:p w14:paraId="26A7A3C1" w14:textId="68CC20F3" w:rsidR="009F61F3" w:rsidRPr="00214B75" w:rsidRDefault="00D43CB1" w:rsidP="0091532D">
      <w:pPr>
        <w:pStyle w:val="SMText"/>
        <w:spacing w:line="360" w:lineRule="auto"/>
        <w:jc w:val="center"/>
      </w:pPr>
      <w:r w:rsidRPr="00214B75">
        <w:rPr>
          <w:noProof/>
          <w:position w:val="-70"/>
        </w:rPr>
        <w:drawing>
          <wp:inline distT="0" distB="0" distL="0" distR="0" wp14:anchorId="5B68D686" wp14:editId="5F089F17">
            <wp:extent cx="3952875" cy="96202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2875" cy="962025"/>
                    </a:xfrm>
                    <a:prstGeom prst="rect">
                      <a:avLst/>
                    </a:prstGeom>
                    <a:noFill/>
                    <a:ln>
                      <a:noFill/>
                    </a:ln>
                  </pic:spPr>
                </pic:pic>
              </a:graphicData>
            </a:graphic>
          </wp:inline>
        </w:drawing>
      </w:r>
      <w:r w:rsidR="00894D69" w:rsidRPr="00214B75">
        <w:t xml:space="preserve"> </w:t>
      </w:r>
      <w:r w:rsidR="009F61F3" w:rsidRPr="00214B75">
        <w:t>(</w:t>
      </w:r>
      <w:r w:rsidR="002F2BDB" w:rsidRPr="00214B75">
        <w:t>8</w:t>
      </w:r>
      <w:r w:rsidR="009F61F3" w:rsidRPr="00214B75">
        <w:t>)</w:t>
      </w:r>
    </w:p>
    <w:p w14:paraId="0841EF2B" w14:textId="4C17C14C" w:rsidR="009F61F3" w:rsidRPr="00214B75" w:rsidRDefault="009F61F3" w:rsidP="0091532D">
      <w:pPr>
        <w:pStyle w:val="SMText"/>
        <w:spacing w:line="360" w:lineRule="auto"/>
        <w:ind w:firstLine="0"/>
      </w:pPr>
      <w:r w:rsidRPr="00214B75">
        <w:t xml:space="preserve">Then, </w:t>
      </w:r>
      <w:r w:rsidR="00D72163" w:rsidRPr="00214B75">
        <w:t>the following was obtained:</w:t>
      </w:r>
    </w:p>
    <w:p w14:paraId="6481061B" w14:textId="78A0E130" w:rsidR="009F61F3" w:rsidRPr="00214B75" w:rsidRDefault="00D43CB1" w:rsidP="0091532D">
      <w:pPr>
        <w:pStyle w:val="SMText"/>
        <w:spacing w:line="360" w:lineRule="auto"/>
        <w:ind w:firstLine="0"/>
        <w:jc w:val="center"/>
      </w:pPr>
      <w:r w:rsidRPr="00214B75">
        <w:rPr>
          <w:noProof/>
          <w:position w:val="-30"/>
        </w:rPr>
        <w:drawing>
          <wp:inline distT="0" distB="0" distL="0" distR="0" wp14:anchorId="201D2633" wp14:editId="3528C882">
            <wp:extent cx="4333875" cy="447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3875" cy="447675"/>
                    </a:xfrm>
                    <a:prstGeom prst="rect">
                      <a:avLst/>
                    </a:prstGeom>
                    <a:noFill/>
                    <a:ln>
                      <a:noFill/>
                    </a:ln>
                  </pic:spPr>
                </pic:pic>
              </a:graphicData>
            </a:graphic>
          </wp:inline>
        </w:drawing>
      </w:r>
      <w:r w:rsidR="00ED1A7C" w:rsidRPr="00214B75">
        <w:rPr>
          <w:position w:val="-30"/>
        </w:rPr>
        <w:t xml:space="preserve"> </w:t>
      </w:r>
      <w:r w:rsidR="009F61F3" w:rsidRPr="00214B75">
        <w:t>(</w:t>
      </w:r>
      <w:r w:rsidR="00927108" w:rsidRPr="00214B75">
        <w:t>9</w:t>
      </w:r>
      <w:r w:rsidR="009F61F3" w:rsidRPr="00214B75">
        <w:t>)</w:t>
      </w:r>
    </w:p>
    <w:p w14:paraId="44D43092" w14:textId="3FFD6D2F" w:rsidR="009F61F3" w:rsidRPr="00214B75" w:rsidRDefault="009F61F3" w:rsidP="0091532D">
      <w:pPr>
        <w:pStyle w:val="SMText"/>
        <w:spacing w:line="360" w:lineRule="auto"/>
        <w:ind w:firstLine="0"/>
      </w:pPr>
      <w:r w:rsidRPr="00214B75">
        <w:t>where α = 1/2</w:t>
      </w:r>
      <w:r w:rsidRPr="00214B75">
        <w:rPr>
          <w:i/>
        </w:rPr>
        <w:t>rN</w:t>
      </w:r>
      <w:r w:rsidRPr="00214B75">
        <w:rPr>
          <w:vertAlign w:val="subscript"/>
        </w:rPr>
        <w:t>2</w:t>
      </w:r>
      <w:r w:rsidRPr="00214B75">
        <w:t>, γ = exp(</w:t>
      </w:r>
      <w:r w:rsidRPr="00214B75">
        <w:rPr>
          <w:i/>
        </w:rPr>
        <w:t>rt</w:t>
      </w:r>
      <w:r w:rsidRPr="00214B75">
        <w:rPr>
          <w:vertAlign w:val="subscript"/>
        </w:rPr>
        <w:t>1</w:t>
      </w:r>
      <w:r w:rsidRPr="00214B75">
        <w:t>)</w:t>
      </w:r>
      <w:r w:rsidR="002E1E86">
        <w:t>,</w:t>
      </w:r>
      <w:r w:rsidRPr="00214B75">
        <w:t xml:space="preserve"> and </w:t>
      </w:r>
      <w:r w:rsidRPr="00214B75">
        <w:rPr>
          <w:i/>
        </w:rPr>
        <w:t>Ei</w:t>
      </w:r>
      <w:r w:rsidRPr="00214B75">
        <w:t>(.) is the exponential integral.</w:t>
      </w:r>
    </w:p>
    <w:p w14:paraId="1B58270F" w14:textId="6A60D1EA" w:rsidR="009F61F3" w:rsidRPr="00214B75" w:rsidRDefault="009F61F3" w:rsidP="0091532D">
      <w:pPr>
        <w:pStyle w:val="SMText"/>
        <w:spacing w:line="360" w:lineRule="auto"/>
      </w:pPr>
      <w:r w:rsidRPr="00214B75">
        <w:t xml:space="preserve">In the </w:t>
      </w:r>
      <w:r w:rsidR="00D23F90" w:rsidRPr="00AD0B7D">
        <w:t xml:space="preserve">Additional6_textS1 </w:t>
      </w:r>
      <w:r w:rsidR="00CF72EF" w:rsidRPr="00AD0B7D">
        <w:t>s</w:t>
      </w:r>
      <w:r w:rsidRPr="00AD0B7D">
        <w:t>ame way,</w:t>
      </w:r>
      <w:bookmarkStart w:id="0" w:name="_GoBack"/>
      <w:bookmarkEnd w:id="0"/>
      <w:r w:rsidRPr="00214B75">
        <w:t xml:space="preserve"> the probability distribution and expect</w:t>
      </w:r>
      <w:r w:rsidR="009E7358" w:rsidRPr="00214B75">
        <w:t>ed</w:t>
      </w:r>
      <w:r w:rsidRPr="00214B75">
        <w:t xml:space="preserve"> coalescent time given </w:t>
      </w:r>
      <w:r w:rsidRPr="00214B75">
        <w:rPr>
          <w:i/>
        </w:rPr>
        <w:t>t</w:t>
      </w:r>
      <w:r w:rsidRPr="00214B75">
        <w:t xml:space="preserve"> ≥ </w:t>
      </w:r>
      <w:r w:rsidRPr="00214B75">
        <w:rPr>
          <w:i/>
        </w:rPr>
        <w:t>t</w:t>
      </w:r>
      <w:r w:rsidRPr="00214B75">
        <w:rPr>
          <w:vertAlign w:val="subscript"/>
        </w:rPr>
        <w:t>1</w:t>
      </w:r>
      <w:r w:rsidR="009E7358" w:rsidRPr="00214B75">
        <w:t xml:space="preserve"> were obtained as follows:</w:t>
      </w:r>
    </w:p>
    <w:p w14:paraId="1FDF3202" w14:textId="3F2B6FAB" w:rsidR="009F61F3" w:rsidRPr="00214B75" w:rsidRDefault="00D43CB1" w:rsidP="0091532D">
      <w:pPr>
        <w:pStyle w:val="SMText"/>
        <w:spacing w:line="360" w:lineRule="auto"/>
        <w:jc w:val="center"/>
      </w:pPr>
      <w:r w:rsidRPr="00214B75">
        <w:rPr>
          <w:noProof/>
          <w:position w:val="-86"/>
        </w:rPr>
        <w:drawing>
          <wp:inline distT="0" distB="0" distL="0" distR="0" wp14:anchorId="5F2BCA7E" wp14:editId="4C2B9622">
            <wp:extent cx="3543300" cy="1314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3300" cy="1314450"/>
                    </a:xfrm>
                    <a:prstGeom prst="rect">
                      <a:avLst/>
                    </a:prstGeom>
                    <a:noFill/>
                    <a:ln>
                      <a:noFill/>
                    </a:ln>
                  </pic:spPr>
                </pic:pic>
              </a:graphicData>
            </a:graphic>
          </wp:inline>
        </w:drawing>
      </w:r>
      <w:r w:rsidR="00D30B6F" w:rsidRPr="00214B75">
        <w:t xml:space="preserve"> </w:t>
      </w:r>
      <w:r w:rsidR="009F61F3" w:rsidRPr="00214B75">
        <w:t>(1</w:t>
      </w:r>
      <w:r w:rsidR="0058239D" w:rsidRPr="00214B75">
        <w:t>0</w:t>
      </w:r>
      <w:r w:rsidR="009F61F3" w:rsidRPr="00214B75">
        <w:t>)</w:t>
      </w:r>
    </w:p>
    <w:p w14:paraId="508E3C1C" w14:textId="10D68A02" w:rsidR="009F61F3" w:rsidRPr="00214B75" w:rsidRDefault="009F61F3" w:rsidP="0091532D">
      <w:pPr>
        <w:pStyle w:val="SMText"/>
        <w:spacing w:line="360" w:lineRule="auto"/>
      </w:pPr>
      <w:r w:rsidRPr="00214B75">
        <w:t xml:space="preserve">Finally, the expected coalescent time, </w:t>
      </w:r>
      <w:r w:rsidRPr="00214B75">
        <w:rPr>
          <w:i/>
        </w:rPr>
        <w:t>t</w:t>
      </w:r>
      <w:r w:rsidRPr="00214B75">
        <w:rPr>
          <w:vertAlign w:val="subscript"/>
        </w:rPr>
        <w:t>C</w:t>
      </w:r>
      <w:r w:rsidRPr="00214B75">
        <w:t xml:space="preserve">, </w:t>
      </w:r>
      <w:r w:rsidR="009E7358" w:rsidRPr="00214B75">
        <w:t xml:space="preserve">was obtained </w:t>
      </w:r>
      <w:r w:rsidRPr="00214B75">
        <w:t>from equations (</w:t>
      </w:r>
      <w:r w:rsidR="009E14E8" w:rsidRPr="00214B75">
        <w:t>6</w:t>
      </w:r>
      <w:r w:rsidR="009E7358" w:rsidRPr="00214B75">
        <w:t>)–(</w:t>
      </w:r>
      <w:r w:rsidR="00E57DD4" w:rsidRPr="00214B75">
        <w:t>1</w:t>
      </w:r>
      <w:r w:rsidR="009E14E8" w:rsidRPr="00214B75">
        <w:t>0</w:t>
      </w:r>
      <w:r w:rsidRPr="00214B75">
        <w:t>),</w:t>
      </w:r>
    </w:p>
    <w:p w14:paraId="7BA4DFA6" w14:textId="45832D1B" w:rsidR="009F61F3" w:rsidRPr="00214B75" w:rsidRDefault="00D43CB1" w:rsidP="0091532D">
      <w:pPr>
        <w:pStyle w:val="SMText"/>
        <w:spacing w:line="360" w:lineRule="auto"/>
        <w:jc w:val="center"/>
      </w:pPr>
      <w:r w:rsidRPr="00214B75">
        <w:rPr>
          <w:noProof/>
          <w:position w:val="-44"/>
        </w:rPr>
        <w:drawing>
          <wp:inline distT="0" distB="0" distL="0" distR="0" wp14:anchorId="4875B959" wp14:editId="51159F0A">
            <wp:extent cx="2971800"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1800" cy="628650"/>
                    </a:xfrm>
                    <a:prstGeom prst="rect">
                      <a:avLst/>
                    </a:prstGeom>
                    <a:noFill/>
                    <a:ln>
                      <a:noFill/>
                    </a:ln>
                  </pic:spPr>
                </pic:pic>
              </a:graphicData>
            </a:graphic>
          </wp:inline>
        </w:drawing>
      </w:r>
      <w:r w:rsidR="00D30B6F" w:rsidRPr="00214B75">
        <w:t xml:space="preserve"> </w:t>
      </w:r>
      <w:r w:rsidR="009F61F3" w:rsidRPr="00214B75">
        <w:t>(</w:t>
      </w:r>
      <w:r w:rsidR="00E57DD4" w:rsidRPr="00214B75">
        <w:t>11</w:t>
      </w:r>
      <w:r w:rsidR="009F61F3" w:rsidRPr="00214B75">
        <w:t>)</w:t>
      </w:r>
    </w:p>
    <w:p w14:paraId="7F24EF91" w14:textId="76C2D910" w:rsidR="00522127" w:rsidRPr="00214B75" w:rsidRDefault="009F61F3" w:rsidP="00FE01A5">
      <w:pPr>
        <w:pStyle w:val="SMText"/>
        <w:spacing w:line="360" w:lineRule="auto"/>
      </w:pPr>
      <w:r w:rsidRPr="00214B75">
        <w:t xml:space="preserve">Expected nucleotide diversity </w:t>
      </w:r>
      <w:r w:rsidR="002C14E8" w:rsidRPr="00214B75">
        <w:t xml:space="preserve">was </w:t>
      </w:r>
      <w:r w:rsidRPr="00214B75">
        <w:t xml:space="preserve">calculated </w:t>
      </w:r>
      <w:r w:rsidR="002C14E8" w:rsidRPr="00214B75">
        <w:t xml:space="preserve">as </w:t>
      </w:r>
      <w:r w:rsidRPr="00214B75">
        <w:t>2</w:t>
      </w:r>
      <w:r w:rsidRPr="00214B75">
        <w:rPr>
          <w:i/>
        </w:rPr>
        <w:t>t</w:t>
      </w:r>
      <w:r w:rsidRPr="00214B75">
        <w:rPr>
          <w:vertAlign w:val="subscript"/>
        </w:rPr>
        <w:t>C</w:t>
      </w:r>
      <w:r w:rsidRPr="00214B75">
        <w:t xml:space="preserve">μ.  The parameters </w:t>
      </w:r>
      <w:r w:rsidRPr="00214B75">
        <w:rPr>
          <w:i/>
        </w:rPr>
        <w:t>N</w:t>
      </w:r>
      <w:r w:rsidRPr="00214B75">
        <w:rPr>
          <w:vertAlign w:val="subscript"/>
        </w:rPr>
        <w:t>2</w:t>
      </w:r>
      <w:r w:rsidRPr="00214B75">
        <w:t xml:space="preserve">, </w:t>
      </w:r>
      <w:r w:rsidRPr="00214B75">
        <w:rPr>
          <w:i/>
        </w:rPr>
        <w:t>t</w:t>
      </w:r>
      <w:r w:rsidRPr="00214B75">
        <w:rPr>
          <w:vertAlign w:val="subscript"/>
        </w:rPr>
        <w:t>1</w:t>
      </w:r>
      <w:r w:rsidR="002C14E8" w:rsidRPr="00214B75">
        <w:t xml:space="preserve">, </w:t>
      </w:r>
      <w:r w:rsidRPr="00214B75">
        <w:t xml:space="preserve">and </w:t>
      </w:r>
      <w:r w:rsidRPr="00214B75">
        <w:rPr>
          <w:i/>
        </w:rPr>
        <w:t>r</w:t>
      </w:r>
      <w:r w:rsidRPr="00214B75">
        <w:t xml:space="preserve"> </w:t>
      </w:r>
      <w:r w:rsidR="002C14E8" w:rsidRPr="00214B75">
        <w:t>were</w:t>
      </w:r>
      <w:r w:rsidRPr="00214B75">
        <w:t xml:space="preserve"> functions of </w:t>
      </w:r>
      <w:r w:rsidRPr="00214B75">
        <w:rPr>
          <w:i/>
        </w:rPr>
        <w:t>N</w:t>
      </w:r>
      <w:r w:rsidRPr="00214B75">
        <w:rPr>
          <w:vertAlign w:val="subscript"/>
        </w:rPr>
        <w:t>1</w:t>
      </w:r>
      <w:r w:rsidRPr="00214B75">
        <w:t>.  Thus, 2</w:t>
      </w:r>
      <w:r w:rsidRPr="00214B75">
        <w:rPr>
          <w:i/>
        </w:rPr>
        <w:t>t</w:t>
      </w:r>
      <w:r w:rsidRPr="00214B75">
        <w:rPr>
          <w:vertAlign w:val="subscript"/>
        </w:rPr>
        <w:t>C</w:t>
      </w:r>
      <w:r w:rsidRPr="00214B75">
        <w:t xml:space="preserve">μ </w:t>
      </w:r>
      <w:r w:rsidR="002C14E8" w:rsidRPr="00214B75">
        <w:t xml:space="preserve">was </w:t>
      </w:r>
      <w:r w:rsidRPr="00214B75">
        <w:t xml:space="preserve">a function of </w:t>
      </w:r>
      <w:r w:rsidRPr="00214B75">
        <w:rPr>
          <w:i/>
        </w:rPr>
        <w:t>N</w:t>
      </w:r>
      <w:r w:rsidRPr="00214B75">
        <w:rPr>
          <w:vertAlign w:val="subscript"/>
        </w:rPr>
        <w:t>1</w:t>
      </w:r>
      <w:r w:rsidRPr="00214B75">
        <w:t xml:space="preserve">.  Using the observed values of nucleotide diversity, </w:t>
      </w:r>
      <w:r w:rsidR="004E6DC4" w:rsidRPr="00214B75">
        <w:rPr>
          <w:noProof/>
          <w:position w:val="-10"/>
        </w:rPr>
        <w:drawing>
          <wp:inline distT="0" distB="0" distL="0" distR="0" wp14:anchorId="7618309C" wp14:editId="5D2BABF2">
            <wp:extent cx="190500" cy="247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214B75">
        <w:t xml:space="preserve"> as well as </w:t>
      </w:r>
      <w:r w:rsidR="004E6DC4" w:rsidRPr="00214B75">
        <w:rPr>
          <w:noProof/>
          <w:position w:val="-10"/>
        </w:rPr>
        <w:drawing>
          <wp:inline distT="0" distB="0" distL="0" distR="0" wp14:anchorId="190DB800" wp14:editId="7995EF28">
            <wp:extent cx="219075" cy="2476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Pr="00214B75">
        <w:t xml:space="preserve"> and </w:t>
      </w:r>
      <w:r w:rsidR="004E6DC4" w:rsidRPr="00214B75">
        <w:rPr>
          <w:noProof/>
          <w:position w:val="-10"/>
        </w:rPr>
        <w:drawing>
          <wp:inline distT="0" distB="0" distL="0" distR="0" wp14:anchorId="3E589E0F" wp14:editId="7CE1B136">
            <wp:extent cx="123825" cy="228600"/>
            <wp:effectExtent l="0" t="0" r="9525"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rsidRPr="00214B75">
        <w:t xml:space="preserve"> </w:t>
      </w:r>
      <w:r w:rsidR="002C14E8" w:rsidRPr="00214B75">
        <w:t xml:space="preserve">were calculated for </w:t>
      </w:r>
      <w:r w:rsidRPr="00214B75">
        <w:rPr>
          <w:i/>
        </w:rPr>
        <w:t>Haplochromis</w:t>
      </w:r>
      <w:r w:rsidR="00D779D6" w:rsidRPr="00214B75">
        <w:t xml:space="preserve">.    </w:t>
      </w:r>
      <w:r w:rsidR="00D779D6" w:rsidRPr="00214B75">
        <w:rPr>
          <w:noProof/>
          <w:position w:val="-10"/>
        </w:rPr>
        <w:drawing>
          <wp:inline distT="0" distB="0" distL="0" distR="0" wp14:anchorId="21EE0CFD" wp14:editId="4474FBA2">
            <wp:extent cx="190500" cy="247650"/>
            <wp:effectExtent l="0" t="0" r="0"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00D779D6" w:rsidRPr="00214B75">
        <w:t xml:space="preserve">, </w:t>
      </w:r>
      <w:r w:rsidR="00D779D6" w:rsidRPr="00214B75">
        <w:rPr>
          <w:noProof/>
          <w:position w:val="-10"/>
        </w:rPr>
        <w:drawing>
          <wp:inline distT="0" distB="0" distL="0" distR="0" wp14:anchorId="56E658C1" wp14:editId="5DE7DB53">
            <wp:extent cx="219075" cy="247650"/>
            <wp:effectExtent l="0" t="0" r="9525"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00D779D6" w:rsidRPr="00214B75">
        <w:t xml:space="preserve">, and </w:t>
      </w:r>
      <w:r w:rsidR="00D779D6" w:rsidRPr="00214B75">
        <w:rPr>
          <w:noProof/>
          <w:position w:val="-10"/>
        </w:rPr>
        <w:drawing>
          <wp:inline distT="0" distB="0" distL="0" distR="0" wp14:anchorId="22D5D89E" wp14:editId="00E3FA99">
            <wp:extent cx="123825" cy="228600"/>
            <wp:effectExtent l="0" t="0" r="9525" b="0"/>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rsidR="00D779D6" w:rsidRPr="00214B75">
        <w:t xml:space="preserve"> were 17,505, 3.3 × 10</w:t>
      </w:r>
      <w:r w:rsidR="00D779D6" w:rsidRPr="00214B75">
        <w:rPr>
          <w:vertAlign w:val="superscript"/>
        </w:rPr>
        <w:t>6</w:t>
      </w:r>
      <w:r w:rsidR="00D779D6" w:rsidRPr="00214B75">
        <w:t xml:space="preserve">, and 24,157 for </w:t>
      </w:r>
      <w:r w:rsidR="00D779D6" w:rsidRPr="00214B75">
        <w:rPr>
          <w:i/>
        </w:rPr>
        <w:t>H. pyrrhocephalus</w:t>
      </w:r>
      <w:r w:rsidR="00D779D6" w:rsidRPr="00214B75">
        <w:t>, and 16,669, 3.8 × 10</w:t>
      </w:r>
      <w:r w:rsidR="00D779D6" w:rsidRPr="00214B75">
        <w:rPr>
          <w:vertAlign w:val="superscript"/>
        </w:rPr>
        <w:t>6</w:t>
      </w:r>
      <w:r w:rsidR="00D779D6" w:rsidRPr="00214B75">
        <w:t>, and 22,337</w:t>
      </w:r>
      <w:r w:rsidR="00074D30">
        <w:t xml:space="preserve"> for </w:t>
      </w:r>
      <w:r w:rsidR="00074D30" w:rsidRPr="00074D30">
        <w:rPr>
          <w:i/>
        </w:rPr>
        <w:t>H</w:t>
      </w:r>
      <w:r w:rsidR="00074D30">
        <w:t>. sp. ‘macula’</w:t>
      </w:r>
      <w:r w:rsidR="00D779D6" w:rsidRPr="00214B75">
        <w:t>, respectively.</w:t>
      </w:r>
    </w:p>
    <w:p w14:paraId="56B4C9A4" w14:textId="77777777" w:rsidR="00B94CB9" w:rsidRDefault="00B94CB9" w:rsidP="00FE01A5">
      <w:pPr>
        <w:pStyle w:val="SMText"/>
        <w:spacing w:line="360" w:lineRule="auto"/>
        <w:ind w:firstLine="0"/>
      </w:pPr>
    </w:p>
    <w:p w14:paraId="54526C4E" w14:textId="77777777" w:rsidR="001D694E" w:rsidRPr="00214B75" w:rsidRDefault="001D694E" w:rsidP="00FE01A5">
      <w:pPr>
        <w:pStyle w:val="SMText"/>
        <w:spacing w:line="360" w:lineRule="auto"/>
        <w:ind w:firstLine="0"/>
        <w:rPr>
          <w:b/>
        </w:rPr>
      </w:pPr>
      <w:r w:rsidRPr="00214B75">
        <w:rPr>
          <w:b/>
        </w:rPr>
        <w:t>Simulating Pool-seq Data under Panmixia</w:t>
      </w:r>
    </w:p>
    <w:p w14:paraId="7911C4D3" w14:textId="77777777" w:rsidR="001D694E" w:rsidRPr="00214B75" w:rsidRDefault="001D694E" w:rsidP="00FE01A5">
      <w:pPr>
        <w:pStyle w:val="SMText"/>
        <w:spacing w:line="360" w:lineRule="auto"/>
        <w:rPr>
          <w:u w:val="single"/>
        </w:rPr>
      </w:pPr>
      <w:r w:rsidRPr="00214B75">
        <w:t xml:space="preserve">A joint SFS was calculated under panmixia from </w:t>
      </w:r>
      <w:r w:rsidRPr="00214B75">
        <w:rPr>
          <w:i/>
        </w:rPr>
        <w:t>p</w:t>
      </w:r>
      <w:r w:rsidRPr="00214B75">
        <w:t xml:space="preserve"> inferred as described in “Calculating population genetic statistics.”  Let </w:t>
      </w:r>
      <w:r w:rsidRPr="00214B75">
        <w:rPr>
          <w:i/>
        </w:rPr>
        <w:t>c</w:t>
      </w:r>
      <w:r w:rsidRPr="00214B75">
        <w:rPr>
          <w:vertAlign w:val="subscript"/>
        </w:rPr>
        <w:t>1i</w:t>
      </w:r>
      <w:r w:rsidRPr="00214B75">
        <w:t xml:space="preserve">, </w:t>
      </w:r>
      <w:r w:rsidRPr="00214B75">
        <w:rPr>
          <w:i/>
        </w:rPr>
        <w:t>c</w:t>
      </w:r>
      <w:r w:rsidRPr="00214B75">
        <w:rPr>
          <w:vertAlign w:val="subscript"/>
        </w:rPr>
        <w:t>2i</w:t>
      </w:r>
      <w:r w:rsidRPr="00214B75">
        <w:t xml:space="preserve">, and </w:t>
      </w:r>
      <w:r w:rsidRPr="00214B75">
        <w:rPr>
          <w:i/>
        </w:rPr>
        <w:t>n</w:t>
      </w:r>
      <w:r w:rsidRPr="00214B75">
        <w:rPr>
          <w:vertAlign w:val="subscript"/>
        </w:rPr>
        <w:t>cmin, cmax</w:t>
      </w:r>
      <w:r w:rsidRPr="00214B75">
        <w:t xml:space="preserve"> be the Pool-seq coverage at the </w:t>
      </w:r>
      <w:r w:rsidRPr="00214B75">
        <w:rPr>
          <w:i/>
        </w:rPr>
        <w:t>i</w:t>
      </w:r>
      <w:r w:rsidRPr="00214B75">
        <w:t xml:space="preserve">th site in </w:t>
      </w:r>
      <w:r w:rsidRPr="00214B75">
        <w:lastRenderedPageBreak/>
        <w:t xml:space="preserve">species 1, that in species 2, and the number of SNPs in a bin of coverage from </w:t>
      </w:r>
      <w:r w:rsidRPr="00214B75">
        <w:rPr>
          <w:i/>
        </w:rPr>
        <w:t>c</w:t>
      </w:r>
      <w:r w:rsidRPr="00214B75">
        <w:rPr>
          <w:vertAlign w:val="subscript"/>
        </w:rPr>
        <w:t>min</w:t>
      </w:r>
      <w:r w:rsidRPr="00214B75">
        <w:t xml:space="preserve"> to </w:t>
      </w:r>
      <w:r w:rsidRPr="00214B75">
        <w:rPr>
          <w:i/>
        </w:rPr>
        <w:t>c</w:t>
      </w:r>
      <w:r w:rsidRPr="00214B75">
        <w:rPr>
          <w:vertAlign w:val="subscript"/>
        </w:rPr>
        <w:t>max</w:t>
      </w:r>
      <w:r w:rsidRPr="00214B75">
        <w:t xml:space="preserve"> (</w:t>
      </w:r>
      <w:r w:rsidRPr="00214B75">
        <w:rPr>
          <w:i/>
        </w:rPr>
        <w:t>c</w:t>
      </w:r>
      <w:r w:rsidRPr="00214B75">
        <w:rPr>
          <w:vertAlign w:val="subscript"/>
        </w:rPr>
        <w:t>min</w:t>
      </w:r>
      <w:r w:rsidRPr="00214B75">
        <w:t xml:space="preserve"> ≤ </w:t>
      </w:r>
      <w:r w:rsidRPr="00214B75">
        <w:rPr>
          <w:i/>
        </w:rPr>
        <w:t>c</w:t>
      </w:r>
      <w:r w:rsidRPr="00214B75">
        <w:rPr>
          <w:vertAlign w:val="subscript"/>
        </w:rPr>
        <w:t>1i</w:t>
      </w:r>
      <w:r w:rsidRPr="00214B75">
        <w:t xml:space="preserve">, </w:t>
      </w:r>
      <w:r w:rsidRPr="00214B75">
        <w:rPr>
          <w:i/>
        </w:rPr>
        <w:t>c</w:t>
      </w:r>
      <w:r w:rsidRPr="00214B75">
        <w:rPr>
          <w:vertAlign w:val="subscript"/>
        </w:rPr>
        <w:t>2i</w:t>
      </w:r>
      <w:r w:rsidRPr="00214B75">
        <w:t xml:space="preserve"> &lt; </w:t>
      </w:r>
      <w:r w:rsidRPr="00214B75">
        <w:rPr>
          <w:i/>
        </w:rPr>
        <w:t>c</w:t>
      </w:r>
      <w:r w:rsidRPr="00214B75">
        <w:rPr>
          <w:vertAlign w:val="subscript"/>
        </w:rPr>
        <w:t>max</w:t>
      </w:r>
      <w:r w:rsidRPr="00214B75">
        <w:t xml:space="preserve">).  Pool-seq </w:t>
      </w:r>
      <w:r>
        <w:t>data were simulated</w:t>
      </w:r>
      <w:r w:rsidRPr="00214B75">
        <w:t xml:space="preserve"> as follows: 1) a SNP was randomly sampled from the joint SFS. 2) Pool-seq data were simulated such that one allele was randomly selected given the allele frequencies, </w:t>
      </w:r>
      <w:r w:rsidRPr="00214B75">
        <w:rPr>
          <w:i/>
        </w:rPr>
        <w:t>c</w:t>
      </w:r>
      <w:r w:rsidRPr="00214B75">
        <w:rPr>
          <w:vertAlign w:val="subscript"/>
        </w:rPr>
        <w:t>1i</w:t>
      </w:r>
      <w:r w:rsidRPr="00214B75">
        <w:t xml:space="preserve"> times for species 1 and </w:t>
      </w:r>
      <w:r w:rsidRPr="00214B75">
        <w:rPr>
          <w:i/>
        </w:rPr>
        <w:t>c</w:t>
      </w:r>
      <w:r w:rsidRPr="00214B75">
        <w:rPr>
          <w:vertAlign w:val="subscript"/>
        </w:rPr>
        <w:t>2i</w:t>
      </w:r>
      <w:r w:rsidRPr="00214B75">
        <w:t xml:space="preserve"> times for species 2.  In this process, sequence errors were incorporated at the rate ε, which was estimated as described in “Estimation of the rate of sequence errors.” 3) Allele frequencies were estimated as described in “Calculating population genetic statistics” and </w:t>
      </w:r>
      <w:r w:rsidRPr="00214B75">
        <w:rPr>
          <w:i/>
        </w:rPr>
        <w:t>F</w:t>
      </w:r>
      <w:r w:rsidRPr="00214B75">
        <w:rPr>
          <w:vertAlign w:val="subscript"/>
        </w:rPr>
        <w:t>ST</w:t>
      </w:r>
      <w:r w:rsidRPr="00214B75">
        <w:t xml:space="preserve"> was calculated. 4) Steps 1) to 3) were repeated for all </w:t>
      </w:r>
      <w:r w:rsidRPr="00214B75">
        <w:rPr>
          <w:i/>
        </w:rPr>
        <w:t>n</w:t>
      </w:r>
      <w:r w:rsidRPr="00214B75">
        <w:rPr>
          <w:vertAlign w:val="subscript"/>
        </w:rPr>
        <w:t xml:space="preserve">cmin, cmax </w:t>
      </w:r>
      <w:r w:rsidRPr="00214B75">
        <w:t xml:space="preserve">SNPs.  </w:t>
      </w:r>
    </w:p>
    <w:p w14:paraId="2E858BD6" w14:textId="77777777" w:rsidR="001D694E" w:rsidRPr="00214B75" w:rsidRDefault="001D694E" w:rsidP="00FE01A5">
      <w:pPr>
        <w:pStyle w:val="SMText"/>
        <w:spacing w:line="360" w:lineRule="auto"/>
        <w:ind w:firstLine="0"/>
      </w:pPr>
    </w:p>
    <w:p w14:paraId="040140A7" w14:textId="465F68D6" w:rsidR="00B94CB9" w:rsidRPr="000E16A3" w:rsidRDefault="00B94CB9" w:rsidP="00FE01A5">
      <w:pPr>
        <w:pStyle w:val="SMText"/>
        <w:spacing w:line="360" w:lineRule="auto"/>
        <w:ind w:firstLine="0"/>
        <w:rPr>
          <w:b/>
          <w:color w:val="000000" w:themeColor="text1"/>
        </w:rPr>
      </w:pPr>
      <w:r w:rsidRPr="000E16A3">
        <w:rPr>
          <w:b/>
          <w:color w:val="000000" w:themeColor="text1"/>
        </w:rPr>
        <w:t xml:space="preserve">Repeat </w:t>
      </w:r>
      <w:r w:rsidR="00D828F6" w:rsidRPr="000E16A3">
        <w:rPr>
          <w:b/>
          <w:color w:val="000000" w:themeColor="text1"/>
        </w:rPr>
        <w:t>Identification</w:t>
      </w:r>
    </w:p>
    <w:p w14:paraId="1718010D" w14:textId="4D536813" w:rsidR="00B94CB9" w:rsidRPr="000E16A3" w:rsidRDefault="00B94CB9" w:rsidP="00FE01A5">
      <w:pPr>
        <w:pStyle w:val="SMText"/>
        <w:spacing w:line="360" w:lineRule="auto"/>
        <w:ind w:firstLine="0"/>
        <w:rPr>
          <w:color w:val="000000" w:themeColor="text1"/>
        </w:rPr>
      </w:pPr>
      <w:r w:rsidRPr="000E16A3">
        <w:rPr>
          <w:color w:val="000000" w:themeColor="text1"/>
        </w:rPr>
        <w:tab/>
      </w:r>
      <w:r w:rsidR="004F17E2" w:rsidRPr="000E16A3">
        <w:rPr>
          <w:color w:val="000000" w:themeColor="text1"/>
        </w:rPr>
        <w:t xml:space="preserve">To annotate repetitive regions in the </w:t>
      </w:r>
      <w:r w:rsidR="00C33592" w:rsidRPr="000E16A3">
        <w:rPr>
          <w:i/>
          <w:color w:val="000000" w:themeColor="text1"/>
        </w:rPr>
        <w:t>P. pundamilia</w:t>
      </w:r>
      <w:r w:rsidR="00C33592" w:rsidRPr="000E16A3">
        <w:rPr>
          <w:color w:val="000000" w:themeColor="text1"/>
        </w:rPr>
        <w:t xml:space="preserve"> </w:t>
      </w:r>
      <w:r w:rsidR="004F17E2" w:rsidRPr="000E16A3">
        <w:rPr>
          <w:color w:val="000000" w:themeColor="text1"/>
        </w:rPr>
        <w:t>genome</w:t>
      </w:r>
      <w:r w:rsidR="00DA0FE6" w:rsidRPr="000E16A3">
        <w:rPr>
          <w:color w:val="000000" w:themeColor="text1"/>
        </w:rPr>
        <w:t>, RepeatModeler (ver. 1.0.8)</w:t>
      </w:r>
      <w:r w:rsidR="00D828F6" w:rsidRPr="000E16A3">
        <w:rPr>
          <w:color w:val="000000" w:themeColor="text1"/>
        </w:rPr>
        <w:t xml:space="preserve"> was </w:t>
      </w:r>
      <w:r w:rsidR="0038443C" w:rsidRPr="000E16A3">
        <w:rPr>
          <w:color w:val="000000" w:themeColor="text1"/>
        </w:rPr>
        <w:t>u</w:t>
      </w:r>
      <w:r w:rsidR="00D828F6" w:rsidRPr="000E16A3">
        <w:rPr>
          <w:color w:val="000000" w:themeColor="text1"/>
        </w:rPr>
        <w:t>se</w:t>
      </w:r>
      <w:r w:rsidR="0038443C" w:rsidRPr="000E16A3">
        <w:rPr>
          <w:color w:val="000000" w:themeColor="text1"/>
        </w:rPr>
        <w:t>d</w:t>
      </w:r>
      <w:r w:rsidR="00DA0FE6" w:rsidRPr="000E16A3">
        <w:rPr>
          <w:color w:val="000000" w:themeColor="text1"/>
        </w:rPr>
        <w:t xml:space="preserve"> to generate </w:t>
      </w:r>
      <w:r w:rsidR="006F5B12" w:rsidRPr="000E16A3">
        <w:rPr>
          <w:color w:val="000000" w:themeColor="text1"/>
        </w:rPr>
        <w:t xml:space="preserve">a </w:t>
      </w:r>
      <w:r w:rsidR="00DA0FE6" w:rsidRPr="000E16A3">
        <w:rPr>
          <w:color w:val="000000" w:themeColor="text1"/>
        </w:rPr>
        <w:t xml:space="preserve">species-specific </w:t>
      </w:r>
      <w:r w:rsidR="000352AB" w:rsidRPr="000E16A3">
        <w:rPr>
          <w:color w:val="000000" w:themeColor="text1"/>
        </w:rPr>
        <w:t xml:space="preserve">repeat </w:t>
      </w:r>
      <w:r w:rsidR="006F5B12" w:rsidRPr="000E16A3">
        <w:rPr>
          <w:color w:val="000000" w:themeColor="text1"/>
        </w:rPr>
        <w:t>library</w:t>
      </w:r>
      <w:r w:rsidR="000352AB" w:rsidRPr="000E16A3">
        <w:rPr>
          <w:color w:val="000000" w:themeColor="text1"/>
        </w:rPr>
        <w:t>.</w:t>
      </w:r>
      <w:r w:rsidR="00DA0FE6" w:rsidRPr="000E16A3">
        <w:rPr>
          <w:color w:val="000000" w:themeColor="text1"/>
        </w:rPr>
        <w:t xml:space="preserve"> </w:t>
      </w:r>
      <w:r w:rsidR="00D828F6" w:rsidRPr="000E16A3">
        <w:rPr>
          <w:color w:val="000000" w:themeColor="text1"/>
        </w:rPr>
        <w:t xml:space="preserve"> </w:t>
      </w:r>
      <w:r w:rsidR="000352AB" w:rsidRPr="000E16A3">
        <w:rPr>
          <w:color w:val="000000" w:themeColor="text1"/>
        </w:rPr>
        <w:t xml:space="preserve">In this process, </w:t>
      </w:r>
      <w:r w:rsidR="00DA0FE6" w:rsidRPr="000E16A3">
        <w:rPr>
          <w:color w:val="000000" w:themeColor="text1"/>
        </w:rPr>
        <w:t>RMBla</w:t>
      </w:r>
      <w:r w:rsidR="008640A0" w:rsidRPr="000E16A3">
        <w:rPr>
          <w:color w:val="000000" w:themeColor="text1"/>
        </w:rPr>
        <w:t xml:space="preserve">st </w:t>
      </w:r>
      <w:r w:rsidR="00D828F6" w:rsidRPr="000E16A3">
        <w:rPr>
          <w:color w:val="000000" w:themeColor="text1"/>
        </w:rPr>
        <w:t xml:space="preserve">was used </w:t>
      </w:r>
      <w:r w:rsidR="008640A0" w:rsidRPr="000E16A3">
        <w:rPr>
          <w:color w:val="000000" w:themeColor="text1"/>
        </w:rPr>
        <w:t>as a sequence search engine.</w:t>
      </w:r>
      <w:r w:rsidR="00DA0FE6" w:rsidRPr="000E16A3">
        <w:rPr>
          <w:color w:val="000000" w:themeColor="text1"/>
        </w:rPr>
        <w:t xml:space="preserve"> </w:t>
      </w:r>
      <w:r w:rsidR="004F64E5" w:rsidRPr="000E16A3">
        <w:rPr>
          <w:color w:val="000000" w:themeColor="text1"/>
        </w:rPr>
        <w:t xml:space="preserve"> </w:t>
      </w:r>
      <w:r w:rsidR="00DA0FE6" w:rsidRPr="000E16A3">
        <w:rPr>
          <w:color w:val="000000" w:themeColor="text1"/>
        </w:rPr>
        <w:t>Then, R</w:t>
      </w:r>
      <w:r w:rsidR="008640A0" w:rsidRPr="000E16A3">
        <w:rPr>
          <w:color w:val="000000" w:themeColor="text1"/>
        </w:rPr>
        <w:t xml:space="preserve">epeatMasker (ver. 4.0.5) </w:t>
      </w:r>
      <w:r w:rsidR="00D828F6" w:rsidRPr="000E16A3">
        <w:rPr>
          <w:color w:val="000000" w:themeColor="text1"/>
        </w:rPr>
        <w:t xml:space="preserve">was run </w:t>
      </w:r>
      <w:r w:rsidR="008640A0" w:rsidRPr="000E16A3">
        <w:rPr>
          <w:color w:val="000000" w:themeColor="text1"/>
        </w:rPr>
        <w:t>using</w:t>
      </w:r>
      <w:r w:rsidR="00DA0FE6" w:rsidRPr="000E16A3">
        <w:rPr>
          <w:color w:val="000000" w:themeColor="text1"/>
        </w:rPr>
        <w:t xml:space="preserve"> the </w:t>
      </w:r>
      <w:r w:rsidR="00B05C3C" w:rsidRPr="000E16A3">
        <w:rPr>
          <w:color w:val="000000" w:themeColor="text1"/>
        </w:rPr>
        <w:t>consensus repeat</w:t>
      </w:r>
      <w:r w:rsidR="00B3733E" w:rsidRPr="000E16A3">
        <w:rPr>
          <w:color w:val="000000" w:themeColor="text1"/>
        </w:rPr>
        <w:t xml:space="preserve"> libraries.</w:t>
      </w:r>
      <w:r w:rsidR="00DA0FE6" w:rsidRPr="000E16A3">
        <w:rPr>
          <w:color w:val="000000" w:themeColor="text1"/>
        </w:rPr>
        <w:t xml:space="preserve"> </w:t>
      </w:r>
      <w:r w:rsidR="004F64E5" w:rsidRPr="000E16A3">
        <w:rPr>
          <w:color w:val="000000" w:themeColor="text1"/>
        </w:rPr>
        <w:t xml:space="preserve"> </w:t>
      </w:r>
      <w:r w:rsidR="00DA0FE6" w:rsidRPr="000E16A3">
        <w:rPr>
          <w:color w:val="000000" w:themeColor="text1"/>
        </w:rPr>
        <w:t xml:space="preserve">The results were filtered out </w:t>
      </w:r>
      <w:r w:rsidR="001B6A14" w:rsidRPr="000E16A3">
        <w:rPr>
          <w:color w:val="000000" w:themeColor="text1"/>
        </w:rPr>
        <w:t xml:space="preserve">if </w:t>
      </w:r>
      <w:r w:rsidR="00DA0FE6" w:rsidRPr="000E16A3">
        <w:rPr>
          <w:color w:val="000000" w:themeColor="text1"/>
        </w:rPr>
        <w:t xml:space="preserve">a hit region in the genome </w:t>
      </w:r>
      <w:r w:rsidR="001B6A14" w:rsidRPr="000E16A3">
        <w:rPr>
          <w:color w:val="000000" w:themeColor="text1"/>
        </w:rPr>
        <w:t xml:space="preserve">covered </w:t>
      </w:r>
      <w:r w:rsidR="00DA0FE6" w:rsidRPr="000E16A3">
        <w:rPr>
          <w:color w:val="000000" w:themeColor="text1"/>
        </w:rPr>
        <w:t xml:space="preserve">&lt;70% of the total length of repeats or if nucleotide divergence was &gt;20% from </w:t>
      </w:r>
      <w:r w:rsidR="001B6A14" w:rsidRPr="000E16A3">
        <w:rPr>
          <w:color w:val="000000" w:themeColor="text1"/>
        </w:rPr>
        <w:t xml:space="preserve">the reference genome </w:t>
      </w:r>
      <w:r w:rsidR="00DA0FE6" w:rsidRPr="000E16A3">
        <w:rPr>
          <w:color w:val="000000" w:themeColor="text1"/>
        </w:rPr>
        <w:t>in the repeat libraries.</w:t>
      </w:r>
      <w:r w:rsidR="00A2794A" w:rsidRPr="000E16A3">
        <w:rPr>
          <w:color w:val="000000" w:themeColor="text1"/>
        </w:rPr>
        <w:t xml:space="preserve"> </w:t>
      </w:r>
      <w:r w:rsidR="0068293F" w:rsidRPr="000E16A3">
        <w:rPr>
          <w:color w:val="000000" w:themeColor="text1"/>
        </w:rPr>
        <w:t xml:space="preserve"> </w:t>
      </w:r>
      <w:r w:rsidR="003B74E6" w:rsidRPr="000E16A3">
        <w:rPr>
          <w:color w:val="000000" w:themeColor="text1"/>
        </w:rPr>
        <w:t>P</w:t>
      </w:r>
      <w:r w:rsidR="00A2794A" w:rsidRPr="000E16A3">
        <w:rPr>
          <w:color w:val="000000" w:themeColor="text1"/>
        </w:rPr>
        <w:t xml:space="preserve">opulation genomic analyses </w:t>
      </w:r>
      <w:r w:rsidR="003B74E6" w:rsidRPr="000E16A3">
        <w:rPr>
          <w:color w:val="000000" w:themeColor="text1"/>
        </w:rPr>
        <w:t xml:space="preserve">were repeated </w:t>
      </w:r>
      <w:r w:rsidR="00A2794A" w:rsidRPr="000E16A3">
        <w:rPr>
          <w:color w:val="000000" w:themeColor="text1"/>
        </w:rPr>
        <w:t xml:space="preserve">after excluding SNPs within the repetitive regions, and </w:t>
      </w:r>
      <w:r w:rsidR="003B74E6" w:rsidRPr="000E16A3">
        <w:rPr>
          <w:color w:val="000000" w:themeColor="text1"/>
        </w:rPr>
        <w:t>the results</w:t>
      </w:r>
      <w:r w:rsidR="00A2794A" w:rsidRPr="000E16A3">
        <w:rPr>
          <w:color w:val="000000" w:themeColor="text1"/>
        </w:rPr>
        <w:t xml:space="preserve"> were </w:t>
      </w:r>
      <w:r w:rsidR="0089077D" w:rsidRPr="000E16A3">
        <w:rPr>
          <w:color w:val="000000" w:themeColor="text1"/>
        </w:rPr>
        <w:t>similar using the original and reduced datasets</w:t>
      </w:r>
      <w:r w:rsidR="00A2794A" w:rsidRPr="000E16A3">
        <w:rPr>
          <w:color w:val="000000" w:themeColor="text1"/>
        </w:rPr>
        <w:t>.</w:t>
      </w:r>
      <w:r w:rsidR="00DA0FE6" w:rsidRPr="000E16A3">
        <w:rPr>
          <w:color w:val="000000" w:themeColor="text1"/>
        </w:rPr>
        <w:t xml:space="preserve">  </w:t>
      </w:r>
    </w:p>
    <w:p w14:paraId="0DC645C2" w14:textId="77777777" w:rsidR="00027C77" w:rsidRPr="00214B75" w:rsidRDefault="00027C77" w:rsidP="00020022">
      <w:pPr>
        <w:pStyle w:val="SMText"/>
        <w:spacing w:line="360" w:lineRule="auto"/>
        <w:ind w:firstLine="0"/>
        <w:rPr>
          <w:b/>
        </w:rPr>
      </w:pPr>
    </w:p>
    <w:p w14:paraId="76410444" w14:textId="5DE357E1" w:rsidR="006D667F" w:rsidRPr="00214B75" w:rsidRDefault="006D667F" w:rsidP="006D667F">
      <w:pPr>
        <w:pStyle w:val="SMText"/>
        <w:spacing w:line="360" w:lineRule="auto"/>
        <w:ind w:firstLine="0"/>
        <w:rPr>
          <w:b/>
        </w:rPr>
      </w:pPr>
      <w:r>
        <w:rPr>
          <w:b/>
        </w:rPr>
        <w:t>The power to detect population differentiation by Pool-seq</w:t>
      </w:r>
    </w:p>
    <w:p w14:paraId="5F9626B0" w14:textId="49876104" w:rsidR="00E2525E" w:rsidRDefault="00E2525E" w:rsidP="00E2525E">
      <w:pPr>
        <w:pStyle w:val="SMText"/>
        <w:spacing w:line="360" w:lineRule="auto"/>
        <w:ind w:firstLine="720"/>
      </w:pPr>
      <w:r>
        <w:t>To assess the power of population differentiation by Pool-seq, we simulated coalescent processes and subsequent Pool-seq analysis</w:t>
      </w:r>
      <w:r w:rsidR="00F145AE">
        <w:t xml:space="preserve"> with sample size, 40 in each population</w:t>
      </w:r>
      <w:r>
        <w:t>.</w:t>
      </w:r>
      <w:r w:rsidR="00F145AE">
        <w:t xml:space="preserve"> We set the expected </w:t>
      </w:r>
      <w:r w:rsidR="00F145AE" w:rsidRPr="00F145AE">
        <w:rPr>
          <w:i/>
        </w:rPr>
        <w:t>F</w:t>
      </w:r>
      <w:r w:rsidR="00F145AE" w:rsidRPr="00F145AE">
        <w:rPr>
          <w:vertAlign w:val="subscript"/>
        </w:rPr>
        <w:t>ST</w:t>
      </w:r>
      <w:r w:rsidR="00F145AE">
        <w:t xml:space="preserve"> </w:t>
      </w:r>
      <w:r w:rsidR="00302D1C">
        <w:t xml:space="preserve">values </w:t>
      </w:r>
      <w:r w:rsidR="00F145AE">
        <w:t xml:space="preserve">to be 0, 0.01, and 0.05, and found that Pool-seq analysis </w:t>
      </w:r>
      <w:r w:rsidR="00E2273A">
        <w:t>can detect population differentiation (see Figure below).</w:t>
      </w:r>
    </w:p>
    <w:p w14:paraId="4816B842" w14:textId="5FFA7A0A" w:rsidR="00E2273A" w:rsidRDefault="00E32A2A" w:rsidP="00E2273A">
      <w:pPr>
        <w:pStyle w:val="SMText"/>
        <w:spacing w:line="360" w:lineRule="auto"/>
        <w:ind w:firstLine="0"/>
      </w:pPr>
      <w:r>
        <w:rPr>
          <w:noProof/>
        </w:rPr>
        <w:lastRenderedPageBreak/>
        <w:drawing>
          <wp:inline distT="0" distB="0" distL="0" distR="0" wp14:anchorId="4D65D7DC" wp14:editId="068E3D53">
            <wp:extent cx="3207091" cy="3376246"/>
            <wp:effectExtent l="0" t="0" r="0" b="2540"/>
            <wp:docPr id="20" name="図 20" descr="../../perl/cichlid/_Fig/Figure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l/cichlid/_Fig/FigureEX.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7032" cy="3428821"/>
                    </a:xfrm>
                    <a:prstGeom prst="rect">
                      <a:avLst/>
                    </a:prstGeom>
                    <a:noFill/>
                    <a:ln>
                      <a:noFill/>
                    </a:ln>
                  </pic:spPr>
                </pic:pic>
              </a:graphicData>
            </a:graphic>
          </wp:inline>
        </w:drawing>
      </w:r>
    </w:p>
    <w:p w14:paraId="7C7B77C5" w14:textId="1CDE3178" w:rsidR="00D3592D" w:rsidRPr="00D3592D" w:rsidRDefault="00E2273A" w:rsidP="00145014">
      <w:pPr>
        <w:spacing w:line="360" w:lineRule="auto"/>
        <w:rPr>
          <w:rFonts w:ascii="Arial" w:hAnsi="Arial" w:cs="Arial"/>
          <w:color w:val="000000" w:themeColor="text1"/>
          <w:sz w:val="21"/>
          <w:szCs w:val="21"/>
        </w:rPr>
      </w:pPr>
      <w:r w:rsidRPr="000E16A3">
        <w:rPr>
          <w:rFonts w:ascii="Arial" w:hAnsi="Arial" w:cs="Arial"/>
          <w:b/>
          <w:color w:val="000000" w:themeColor="text1"/>
          <w:sz w:val="21"/>
          <w:szCs w:val="21"/>
        </w:rPr>
        <w:t xml:space="preserve">Figure: </w:t>
      </w:r>
      <w:r w:rsidR="00D3592D" w:rsidRPr="00D3592D">
        <w:rPr>
          <w:rFonts w:ascii="Arial" w:hAnsi="Arial" w:cs="Arial"/>
          <w:color w:val="000000" w:themeColor="text1"/>
          <w:sz w:val="21"/>
          <w:szCs w:val="21"/>
        </w:rPr>
        <w:t xml:space="preserve">Average </w:t>
      </w:r>
      <w:r w:rsidR="00D3592D" w:rsidRPr="00287228">
        <w:rPr>
          <w:rFonts w:ascii="Arial" w:hAnsi="Arial" w:cs="Arial"/>
          <w:i/>
          <w:color w:val="000000" w:themeColor="text1"/>
          <w:sz w:val="21"/>
          <w:szCs w:val="21"/>
        </w:rPr>
        <w:t>F</w:t>
      </w:r>
      <w:r w:rsidR="00D3592D" w:rsidRPr="00287228">
        <w:rPr>
          <w:rFonts w:ascii="Arial" w:hAnsi="Arial" w:cs="Arial"/>
          <w:color w:val="000000" w:themeColor="text1"/>
          <w:sz w:val="21"/>
          <w:szCs w:val="21"/>
          <w:vertAlign w:val="subscript"/>
        </w:rPr>
        <w:t>ST</w:t>
      </w:r>
      <w:r w:rsidR="00D3592D" w:rsidRPr="00D3592D">
        <w:rPr>
          <w:rFonts w:ascii="Arial" w:hAnsi="Arial" w:cs="Arial"/>
          <w:color w:val="000000" w:themeColor="text1"/>
          <w:sz w:val="21"/>
          <w:szCs w:val="21"/>
        </w:rPr>
        <w:t xml:space="preserve"> values (±1 SD) against coverage for Pool-seq data.  The blue</w:t>
      </w:r>
      <w:r w:rsidR="0074771C">
        <w:rPr>
          <w:rFonts w:ascii="Arial" w:hAnsi="Arial" w:cs="Arial"/>
          <w:color w:val="000000" w:themeColor="text1"/>
          <w:sz w:val="21"/>
          <w:szCs w:val="21"/>
        </w:rPr>
        <w:t>, red,</w:t>
      </w:r>
      <w:r w:rsidR="00D3592D" w:rsidRPr="00D3592D">
        <w:rPr>
          <w:rFonts w:ascii="Arial" w:hAnsi="Arial" w:cs="Arial"/>
          <w:color w:val="000000" w:themeColor="text1"/>
          <w:sz w:val="21"/>
          <w:szCs w:val="21"/>
        </w:rPr>
        <w:t xml:space="preserve"> and </w:t>
      </w:r>
      <w:r w:rsidR="0074771C">
        <w:rPr>
          <w:rFonts w:ascii="Arial" w:hAnsi="Arial" w:cs="Arial"/>
          <w:color w:val="000000" w:themeColor="text1"/>
          <w:sz w:val="21"/>
          <w:szCs w:val="21"/>
        </w:rPr>
        <w:t>cyan</w:t>
      </w:r>
      <w:r w:rsidR="00D3592D" w:rsidRPr="00D3592D">
        <w:rPr>
          <w:rFonts w:ascii="Arial" w:hAnsi="Arial" w:cs="Arial"/>
          <w:color w:val="000000" w:themeColor="text1"/>
          <w:sz w:val="21"/>
          <w:szCs w:val="21"/>
        </w:rPr>
        <w:t xml:space="preserve"> dots represent </w:t>
      </w:r>
      <w:r w:rsidR="0074771C">
        <w:rPr>
          <w:rFonts w:ascii="Arial" w:hAnsi="Arial" w:cs="Arial"/>
          <w:color w:val="000000" w:themeColor="text1"/>
          <w:sz w:val="21"/>
          <w:szCs w:val="21"/>
        </w:rPr>
        <w:t xml:space="preserve">simulated values with </w:t>
      </w:r>
      <w:r w:rsidR="0074771C" w:rsidRPr="00287228">
        <w:rPr>
          <w:rFonts w:ascii="Arial" w:hAnsi="Arial" w:cs="Arial"/>
          <w:i/>
          <w:color w:val="000000" w:themeColor="text1"/>
          <w:sz w:val="21"/>
          <w:szCs w:val="21"/>
        </w:rPr>
        <w:t>F</w:t>
      </w:r>
      <w:r w:rsidR="0074771C" w:rsidRPr="00287228">
        <w:rPr>
          <w:rFonts w:ascii="Arial" w:hAnsi="Arial" w:cs="Arial"/>
          <w:color w:val="000000" w:themeColor="text1"/>
          <w:sz w:val="21"/>
          <w:szCs w:val="21"/>
          <w:vertAlign w:val="subscript"/>
        </w:rPr>
        <w:t>ST</w:t>
      </w:r>
      <w:r w:rsidR="0074771C">
        <w:rPr>
          <w:rFonts w:ascii="Arial" w:hAnsi="Arial" w:cs="Arial"/>
          <w:color w:val="000000" w:themeColor="text1"/>
          <w:sz w:val="21"/>
          <w:szCs w:val="21"/>
        </w:rPr>
        <w:t>, 0, 0.01, and 0.05, respectively</w:t>
      </w:r>
      <w:r w:rsidR="00D3592D" w:rsidRPr="00D3592D">
        <w:rPr>
          <w:rFonts w:ascii="Arial" w:hAnsi="Arial" w:cs="Arial"/>
          <w:color w:val="000000" w:themeColor="text1"/>
          <w:sz w:val="21"/>
          <w:szCs w:val="21"/>
        </w:rPr>
        <w:t>.</w:t>
      </w:r>
    </w:p>
    <w:p w14:paraId="463B9146" w14:textId="1E5714BE" w:rsidR="006D667F" w:rsidRPr="00214B75" w:rsidRDefault="00E2525E" w:rsidP="00145014">
      <w:pPr>
        <w:pStyle w:val="SMText"/>
        <w:spacing w:line="360" w:lineRule="auto"/>
        <w:ind w:firstLine="0"/>
      </w:pPr>
      <w:r w:rsidRPr="00214B75">
        <w:t xml:space="preserve"> </w:t>
      </w:r>
    </w:p>
    <w:p w14:paraId="493AE056" w14:textId="77777777" w:rsidR="009F61F3" w:rsidRPr="00214B75" w:rsidRDefault="009F61F3" w:rsidP="00145014">
      <w:pPr>
        <w:pStyle w:val="SMText"/>
        <w:spacing w:line="360" w:lineRule="auto"/>
        <w:ind w:firstLine="0"/>
        <w:rPr>
          <w:b/>
        </w:rPr>
      </w:pPr>
      <w:r w:rsidRPr="00214B75">
        <w:rPr>
          <w:b/>
        </w:rPr>
        <w:t>Gene Ontology Analysis</w:t>
      </w:r>
    </w:p>
    <w:p w14:paraId="2D1BFB2D" w14:textId="172B7523" w:rsidR="00012659" w:rsidRPr="00214B75" w:rsidRDefault="009F61F3" w:rsidP="00012659">
      <w:pPr>
        <w:pStyle w:val="SMText"/>
        <w:spacing w:line="360" w:lineRule="auto"/>
      </w:pPr>
      <w:r w:rsidRPr="00214B75">
        <w:t>The sequences of DRs (14</w:t>
      </w:r>
      <w:r w:rsidR="0052198C" w:rsidRPr="00214B75">
        <w:t>–</w:t>
      </w:r>
      <w:r w:rsidRPr="00214B75">
        <w:t xml:space="preserve">28 kbp) were used as queries for BLASTN </w:t>
      </w:r>
      <w:r w:rsidR="0052198C" w:rsidRPr="00214B75">
        <w:t xml:space="preserve">searches </w:t>
      </w:r>
      <w:r w:rsidR="005C5964" w:rsidRPr="00214B75">
        <w:fldChar w:fldCharType="begin"/>
      </w:r>
      <w:r w:rsidR="00872592">
        <w:instrText xml:space="preserve"> ADDIN EN.CITE &lt;EndNote&gt;&lt;Cite&gt;&lt;Author&gt;Altschul&lt;/Author&gt;&lt;Year&gt;1990&lt;/Year&gt;&lt;RecNum&gt;236&lt;/RecNum&gt;&lt;DisplayText&gt;[11]&lt;/DisplayText&gt;&lt;record&gt;&lt;rec-number&gt;236&lt;/rec-number&gt;&lt;foreign-keys&gt;&lt;key app="EN" db-id="spf5fp9f80rs5derr24vzxxcx0dt25rp9sfr" timestamp="1456826287"&gt;236&lt;/key&gt;&lt;/foreign-keys&gt;&lt;ref-type name="Journal Article"&gt;17&lt;/ref-type&gt;&lt;contributors&gt;&lt;authors&gt;&lt;author&gt;Altschul,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tool&lt;/title&gt;&lt;secondary-title&gt;Journal of molecular biology&lt;/secondary-title&gt;&lt;/titles&gt;&lt;periodical&gt;&lt;full-title&gt;Journal of Molecular Biology&lt;/full-title&gt;&lt;/periodical&gt;&lt;pages&gt;403-410&lt;/pages&gt;&lt;volume&gt;215&lt;/volume&gt;&lt;number&gt;3&lt;/number&gt;&lt;dates&gt;&lt;year&gt;1990&lt;/year&gt;&lt;/dates&gt;&lt;isbn&gt;0022-2836&lt;/isbn&gt;&lt;urls&gt;&lt;/urls&gt;&lt;/record&gt;&lt;/Cite&gt;&lt;/EndNote&gt;</w:instrText>
      </w:r>
      <w:r w:rsidR="005C5964" w:rsidRPr="00214B75">
        <w:fldChar w:fldCharType="separate"/>
      </w:r>
      <w:r w:rsidR="00872592">
        <w:rPr>
          <w:noProof/>
        </w:rPr>
        <w:t>[11]</w:t>
      </w:r>
      <w:r w:rsidR="005C5964" w:rsidRPr="00214B75">
        <w:fldChar w:fldCharType="end"/>
      </w:r>
      <w:r w:rsidRPr="00214B75">
        <w:t xml:space="preserve"> </w:t>
      </w:r>
      <w:r w:rsidR="00A76126" w:rsidRPr="00214B75">
        <w:t xml:space="preserve">against </w:t>
      </w:r>
      <w:r w:rsidR="0052198C" w:rsidRPr="00214B75">
        <w:t xml:space="preserve">the NCBI </w:t>
      </w:r>
      <w:r w:rsidRPr="00214B75">
        <w:t xml:space="preserve">nucleotide database (http://blast.ncbi.nlm.nih.gov) to find genes.  The sequences of genes in DRs were </w:t>
      </w:r>
      <w:r w:rsidR="0052198C" w:rsidRPr="00214B75">
        <w:t>subjected to a</w:t>
      </w:r>
      <w:r w:rsidRPr="00214B75">
        <w:t xml:space="preserve"> gene ontology analysis </w:t>
      </w:r>
      <w:r w:rsidR="0052198C" w:rsidRPr="00214B75">
        <w:t xml:space="preserve">using </w:t>
      </w:r>
      <w:r w:rsidRPr="00214B75">
        <w:t xml:space="preserve">DAVID </w:t>
      </w:r>
      <w:r w:rsidR="005C5964" w:rsidRPr="00214B75">
        <w:fldChar w:fldCharType="begin"/>
      </w:r>
      <w:r w:rsidR="00872592">
        <w:instrText xml:space="preserve"> ADDIN EN.CITE &lt;EndNote&gt;&lt;Cite&gt;&lt;Author&gt;Huang&lt;/Author&gt;&lt;Year&gt;2009&lt;/Year&gt;&lt;RecNum&gt;238&lt;/RecNum&gt;&lt;DisplayText&gt;[12]&lt;/DisplayText&gt;&lt;record&gt;&lt;rec-number&gt;238&lt;/rec-number&gt;&lt;foreign-keys&gt;&lt;key app="EN" db-id="spf5fp9f80rs5derr24vzxxcx0dt25rp9sfr" timestamp="1456826660"&gt;238&lt;/key&gt;&lt;/foreign-keys&gt;&lt;ref-type name="Journal Article"&gt;17&lt;/ref-type&gt;&lt;contributors&gt;&lt;authors&gt;&lt;author&gt;Huang, Da Wei&lt;/author&gt;&lt;author&gt;Sherman, Brad T&lt;/author&gt;&lt;author&gt;Lempicki, Richard A&lt;/author&gt;&lt;/authors&gt;&lt;/contributors&gt;&lt;titles&gt;&lt;title&gt;Systematic and integrative analysis of large gene lists using DAVID bioinformatics resources&lt;/title&gt;&lt;secondary-title&gt;Nature protocols&lt;/secondary-title&gt;&lt;/titles&gt;&lt;periodical&gt;&lt;full-title&gt;Nature protocols&lt;/full-title&gt;&lt;/periodical&gt;&lt;pages&gt;44-57&lt;/pages&gt;&lt;volume&gt;4&lt;/volume&gt;&lt;number&gt;1&lt;/number&gt;&lt;dates&gt;&lt;year&gt;2009&lt;/year&gt;&lt;/dates&gt;&lt;isbn&gt;1754-2189&lt;/isbn&gt;&lt;urls&gt;&lt;/urls&gt;&lt;/record&gt;&lt;/Cite&gt;&lt;/EndNote&gt;</w:instrText>
      </w:r>
      <w:r w:rsidR="005C5964" w:rsidRPr="00214B75">
        <w:fldChar w:fldCharType="separate"/>
      </w:r>
      <w:r w:rsidR="00872592">
        <w:rPr>
          <w:noProof/>
        </w:rPr>
        <w:t>[12]</w:t>
      </w:r>
      <w:r w:rsidR="005C5964" w:rsidRPr="00214B75">
        <w:fldChar w:fldCharType="end"/>
      </w:r>
      <w:r w:rsidRPr="00214B75">
        <w:t xml:space="preserve"> and Blast2GO </w:t>
      </w:r>
      <w:r w:rsidR="005C5964" w:rsidRPr="00214B75">
        <w:fldChar w:fldCharType="begin"/>
      </w:r>
      <w:r w:rsidR="00872592">
        <w:instrText xml:space="preserve"> ADDIN EN.CITE &lt;EndNote&gt;&lt;Cite&gt;&lt;Author&gt;Conesa&lt;/Author&gt;&lt;Year&gt;2005&lt;/Year&gt;&lt;RecNum&gt;239&lt;/RecNum&gt;&lt;DisplayText&gt;[13]&lt;/DisplayText&gt;&lt;record&gt;&lt;rec-number&gt;239&lt;/rec-number&gt;&lt;foreign-keys&gt;&lt;key app="EN" db-id="spf5fp9f80rs5derr24vzxxcx0dt25rp9sfr" timestamp="1456826666"&gt;239&lt;/key&gt;&lt;/foreign-keys&gt;&lt;ref-type name="Journal Article"&gt;17&lt;/ref-type&gt;&lt;contributors&gt;&lt;authors&gt;&lt;author&gt;Conesa, Ana&lt;/author&gt;&lt;author&gt;Götz, Stefan&lt;/author&gt;&lt;author&gt;García-Gómez, Juan Miguel&lt;/author&gt;&lt;author&gt;Terol, Javier&lt;/author&gt;&lt;author&gt;Talón, Manuel&lt;/author&gt;&lt;author&gt;Robles, Montserrat&lt;/author&gt;&lt;/authors&gt;&lt;/contributors&gt;&lt;titles&gt;&lt;title&gt;Blast2GO: a universal tool for annotation, visualization and analysis in functional genomics research&lt;/title&gt;&lt;secondary-title&gt;Bioinformatics&lt;/secondary-title&gt;&lt;/titles&gt;&lt;periodical&gt;&lt;full-title&gt;Bioinformatics&lt;/full-title&gt;&lt;/periodical&gt;&lt;pages&gt;3674-3676&lt;/pages&gt;&lt;volume&gt;21&lt;/volume&gt;&lt;number&gt;18&lt;/number&gt;&lt;dates&gt;&lt;year&gt;2005&lt;/year&gt;&lt;/dates&gt;&lt;isbn&gt;1367-4803&lt;/isbn&gt;&lt;urls&gt;&lt;/urls&gt;&lt;/record&gt;&lt;/Cite&gt;&lt;/EndNote&gt;</w:instrText>
      </w:r>
      <w:r w:rsidR="005C5964" w:rsidRPr="00214B75">
        <w:fldChar w:fldCharType="separate"/>
      </w:r>
      <w:r w:rsidR="00872592">
        <w:rPr>
          <w:noProof/>
        </w:rPr>
        <w:t>[13]</w:t>
      </w:r>
      <w:r w:rsidR="005C5964" w:rsidRPr="00214B75">
        <w:fldChar w:fldCharType="end"/>
      </w:r>
      <w:r w:rsidRPr="00214B75">
        <w:t xml:space="preserve">.  </w:t>
      </w:r>
      <w:r w:rsidR="0038139F" w:rsidRPr="00214B75">
        <w:t xml:space="preserve">The gene ontology terms are listed </w:t>
      </w:r>
      <w:r w:rsidR="001073A5" w:rsidRPr="00214B75">
        <w:t>below</w:t>
      </w:r>
      <w:r w:rsidR="0038139F" w:rsidRPr="00214B75">
        <w:t xml:space="preserve">. </w:t>
      </w:r>
      <w:r w:rsidR="00A76126" w:rsidRPr="00214B75">
        <w:t xml:space="preserve"> D</w:t>
      </w:r>
      <w:r w:rsidRPr="00214B75">
        <w:t xml:space="preserve">etails of the biological </w:t>
      </w:r>
      <w:r w:rsidR="0052198C" w:rsidRPr="00214B75">
        <w:t>functions</w:t>
      </w:r>
      <w:r w:rsidRPr="00214B75">
        <w:t xml:space="preserve"> were further investigated </w:t>
      </w:r>
      <w:r w:rsidR="0052198C" w:rsidRPr="00214B75">
        <w:t xml:space="preserve">based on </w:t>
      </w:r>
      <w:r w:rsidR="00386961" w:rsidRPr="00214B75">
        <w:t>literature</w:t>
      </w:r>
      <w:r w:rsidR="0052198C" w:rsidRPr="00214B75">
        <w:t xml:space="preserve"> searche</w:t>
      </w:r>
      <w:r w:rsidR="00386961" w:rsidRPr="00214B75">
        <w:t>s</w:t>
      </w:r>
      <w:r w:rsidR="0052198C" w:rsidRPr="00214B75">
        <w:t xml:space="preserve"> for individual genes</w:t>
      </w:r>
      <w:r w:rsidRPr="00214B75">
        <w:t>.</w:t>
      </w:r>
    </w:p>
    <w:tbl>
      <w:tblPr>
        <w:tblStyle w:val="11"/>
        <w:tblpPr w:leftFromText="142" w:rightFromText="142" w:vertAnchor="text" w:tblpY="1"/>
        <w:tblOverlap w:val="never"/>
        <w:tblW w:w="0" w:type="auto"/>
        <w:tblLook w:val="04A0" w:firstRow="1" w:lastRow="0" w:firstColumn="1" w:lastColumn="0" w:noHBand="0" w:noVBand="1"/>
      </w:tblPr>
      <w:tblGrid>
        <w:gridCol w:w="7233"/>
      </w:tblGrid>
      <w:tr w:rsidR="00012659" w:rsidRPr="00214B75" w14:paraId="6B73ED15" w14:textId="77777777" w:rsidTr="00107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3" w:type="dxa"/>
          </w:tcPr>
          <w:tbl>
            <w:tblPr>
              <w:tblStyle w:val="14"/>
              <w:tblW w:w="5000" w:type="pct"/>
              <w:tblLook w:val="04A0" w:firstRow="1" w:lastRow="0" w:firstColumn="1" w:lastColumn="0" w:noHBand="0" w:noVBand="1"/>
            </w:tblPr>
            <w:tblGrid>
              <w:gridCol w:w="523"/>
              <w:gridCol w:w="1226"/>
              <w:gridCol w:w="1463"/>
              <w:gridCol w:w="1044"/>
              <w:gridCol w:w="1208"/>
              <w:gridCol w:w="1553"/>
            </w:tblGrid>
            <w:tr w:rsidR="00012659" w:rsidRPr="00214B75" w14:paraId="7AEC1F0C" w14:textId="77777777" w:rsidTr="001073A5">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03" w:type="pct"/>
                  <w:hideMark/>
                </w:tcPr>
                <w:p w14:paraId="257FB92D"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DRs</w:t>
                  </w:r>
                </w:p>
              </w:tc>
              <w:tc>
                <w:tcPr>
                  <w:tcW w:w="747" w:type="pct"/>
                  <w:hideMark/>
                </w:tcPr>
                <w:p w14:paraId="2FEFC64B" w14:textId="77777777" w:rsidR="00012659" w:rsidRPr="00214B75" w:rsidRDefault="00012659" w:rsidP="00012659">
                  <w:pPr>
                    <w:framePr w:hSpace="142" w:wrap="around" w:vAnchor="text" w:hAnchor="text" w:y="1"/>
                    <w:suppressOverlap/>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Sequence ID</w:t>
                  </w:r>
                </w:p>
              </w:tc>
              <w:tc>
                <w:tcPr>
                  <w:tcW w:w="1032" w:type="pct"/>
                  <w:hideMark/>
                </w:tcPr>
                <w:p w14:paraId="1C970803" w14:textId="77777777" w:rsidR="00012659" w:rsidRPr="00214B75" w:rsidRDefault="00012659" w:rsidP="00012659">
                  <w:pPr>
                    <w:framePr w:hSpace="142" w:wrap="around" w:vAnchor="text" w:hAnchor="text" w:y="1"/>
                    <w:suppressOverlap/>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Gene name</w:t>
                  </w:r>
                </w:p>
              </w:tc>
              <w:tc>
                <w:tcPr>
                  <w:tcW w:w="706" w:type="pct"/>
                  <w:hideMark/>
                </w:tcPr>
                <w:p w14:paraId="691B099E" w14:textId="77777777" w:rsidR="00012659" w:rsidRPr="00214B75" w:rsidRDefault="00012659" w:rsidP="00012659">
                  <w:pPr>
                    <w:framePr w:hSpace="142" w:wrap="around" w:vAnchor="text" w:hAnchor="text" w:y="1"/>
                    <w:suppressOverlap/>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Molecular function</w:t>
                  </w:r>
                </w:p>
              </w:tc>
              <w:tc>
                <w:tcPr>
                  <w:tcW w:w="574" w:type="pct"/>
                  <w:hideMark/>
                </w:tcPr>
                <w:p w14:paraId="4D4CEAE2" w14:textId="77777777" w:rsidR="00012659" w:rsidRPr="00214B75" w:rsidRDefault="00012659" w:rsidP="00012659">
                  <w:pPr>
                    <w:framePr w:hSpace="142" w:wrap="around" w:vAnchor="text" w:hAnchor="text" w:y="1"/>
                    <w:suppressOverlap/>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Biological process</w:t>
                  </w:r>
                </w:p>
              </w:tc>
              <w:tc>
                <w:tcPr>
                  <w:tcW w:w="1639" w:type="pct"/>
                  <w:hideMark/>
                </w:tcPr>
                <w:p w14:paraId="1ADBBCF1" w14:textId="77777777" w:rsidR="00012659" w:rsidRPr="00214B75" w:rsidRDefault="00012659" w:rsidP="00012659">
                  <w:pPr>
                    <w:framePr w:hSpace="142" w:wrap="around" w:vAnchor="text" w:hAnchor="text" w:y="1"/>
                    <w:suppressOverlap/>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Cellular component</w:t>
                  </w:r>
                </w:p>
              </w:tc>
            </w:tr>
            <w:tr w:rsidR="00012659" w:rsidRPr="00214B75" w14:paraId="21D137D0" w14:textId="77777777" w:rsidTr="001073A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4F7003B9"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DR1</w:t>
                  </w:r>
                </w:p>
              </w:tc>
              <w:tc>
                <w:tcPr>
                  <w:tcW w:w="747" w:type="pct"/>
                  <w:hideMark/>
                </w:tcPr>
                <w:p w14:paraId="174BAD7F"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XM_005724172.seq</w:t>
                  </w:r>
                </w:p>
              </w:tc>
              <w:tc>
                <w:tcPr>
                  <w:tcW w:w="1032" w:type="pct"/>
                  <w:hideMark/>
                </w:tcPr>
                <w:p w14:paraId="4D4B9A15"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Protein diaphanous homolog 3-like isoform x1</w:t>
                  </w:r>
                </w:p>
              </w:tc>
              <w:tc>
                <w:tcPr>
                  <w:tcW w:w="706" w:type="pct"/>
                  <w:hideMark/>
                </w:tcPr>
                <w:p w14:paraId="6862F344" w14:textId="4425A3AD"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Actin binding; Rho GTPase binding</w:t>
                  </w:r>
                </w:p>
              </w:tc>
              <w:tc>
                <w:tcPr>
                  <w:tcW w:w="574" w:type="pct"/>
                  <w:hideMark/>
                </w:tcPr>
                <w:p w14:paraId="371B572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Actin cytoskeleton organization</w:t>
                  </w:r>
                </w:p>
              </w:tc>
              <w:tc>
                <w:tcPr>
                  <w:tcW w:w="1639" w:type="pct"/>
                  <w:hideMark/>
                </w:tcPr>
                <w:p w14:paraId="2EEBA978"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79C223CF" w14:textId="77777777" w:rsidTr="001073A5">
              <w:trPr>
                <w:trHeight w:val="1260"/>
              </w:trPr>
              <w:tc>
                <w:tcPr>
                  <w:cnfStyle w:val="001000000000" w:firstRow="0" w:lastRow="0" w:firstColumn="1" w:lastColumn="0" w:oddVBand="0" w:evenVBand="0" w:oddHBand="0" w:evenHBand="0" w:firstRowFirstColumn="0" w:firstRowLastColumn="0" w:lastRowFirstColumn="0" w:lastRowLastColumn="0"/>
                  <w:tcW w:w="303" w:type="pct"/>
                  <w:hideMark/>
                </w:tcPr>
                <w:p w14:paraId="7256EA85"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DR2</w:t>
                  </w:r>
                </w:p>
              </w:tc>
              <w:tc>
                <w:tcPr>
                  <w:tcW w:w="747" w:type="pct"/>
                  <w:hideMark/>
                </w:tcPr>
                <w:p w14:paraId="0B6FE6DB"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XM_005751059.seq</w:t>
                  </w:r>
                </w:p>
              </w:tc>
              <w:tc>
                <w:tcPr>
                  <w:tcW w:w="1032" w:type="pct"/>
                  <w:hideMark/>
                </w:tcPr>
                <w:p w14:paraId="5EF820D2"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Ventral anterior homeobox 2-like</w:t>
                  </w:r>
                </w:p>
              </w:tc>
              <w:tc>
                <w:tcPr>
                  <w:tcW w:w="706" w:type="pct"/>
                  <w:hideMark/>
                </w:tcPr>
                <w:p w14:paraId="700FFA25" w14:textId="7304FD16"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Sequence-specific DNA binding</w:t>
                  </w:r>
                </w:p>
              </w:tc>
              <w:tc>
                <w:tcPr>
                  <w:tcW w:w="574" w:type="pct"/>
                  <w:hideMark/>
                </w:tcPr>
                <w:p w14:paraId="2FFC3FD3"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Regulation of transcription, DNA-templated; Optic nerve development; Retina morphogenesis in camera-type eye; Closure of optic fissure; Regulation of retinal ganglion cell axon guidance; Negative regulation of intrinsic apoptotic signaling pathway by p53 class mediator</w:t>
                  </w:r>
                </w:p>
              </w:tc>
              <w:tc>
                <w:tcPr>
                  <w:tcW w:w="1639" w:type="pct"/>
                  <w:hideMark/>
                </w:tcPr>
                <w:p w14:paraId="7B294828"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Nucleus</w:t>
                  </w:r>
                </w:p>
              </w:tc>
            </w:tr>
            <w:tr w:rsidR="00012659" w:rsidRPr="00214B75" w14:paraId="13D449BC" w14:textId="77777777" w:rsidTr="001073A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03" w:type="pct"/>
                  <w:hideMark/>
                </w:tcPr>
                <w:p w14:paraId="27E4B104"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lastRenderedPageBreak/>
                    <w:t>DR3</w:t>
                  </w:r>
                </w:p>
              </w:tc>
              <w:tc>
                <w:tcPr>
                  <w:tcW w:w="747" w:type="pct"/>
                  <w:hideMark/>
                </w:tcPr>
                <w:p w14:paraId="0B67A0D3"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XM_005455229.seq</w:t>
                  </w:r>
                </w:p>
              </w:tc>
              <w:tc>
                <w:tcPr>
                  <w:tcW w:w="1032" w:type="pct"/>
                  <w:hideMark/>
                </w:tcPr>
                <w:p w14:paraId="2191853D"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Prostaglandin D2 receptor 2-like</w:t>
                  </w:r>
                </w:p>
              </w:tc>
              <w:tc>
                <w:tcPr>
                  <w:tcW w:w="706" w:type="pct"/>
                  <w:hideMark/>
                </w:tcPr>
                <w:p w14:paraId="66B12CAE"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activity</w:t>
                  </w:r>
                </w:p>
              </w:tc>
              <w:tc>
                <w:tcPr>
                  <w:tcW w:w="574" w:type="pct"/>
                  <w:hideMark/>
                </w:tcPr>
                <w:p w14:paraId="360BFFE7"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signaling pathway</w:t>
                  </w:r>
                </w:p>
              </w:tc>
              <w:tc>
                <w:tcPr>
                  <w:tcW w:w="1639" w:type="pct"/>
                  <w:hideMark/>
                </w:tcPr>
                <w:p w14:paraId="056521F4"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Integral component of membrane</w:t>
                  </w:r>
                </w:p>
              </w:tc>
            </w:tr>
            <w:tr w:rsidR="00012659" w:rsidRPr="00214B75" w14:paraId="0F7C7507" w14:textId="77777777" w:rsidTr="001073A5">
              <w:trPr>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521D7EB2"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509264DB"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XM_005750017.seq</w:t>
                  </w:r>
                </w:p>
              </w:tc>
              <w:tc>
                <w:tcPr>
                  <w:tcW w:w="1032" w:type="pct"/>
                  <w:hideMark/>
                </w:tcPr>
                <w:p w14:paraId="1B33F882"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4-like</w:t>
                  </w:r>
                </w:p>
              </w:tc>
              <w:tc>
                <w:tcPr>
                  <w:tcW w:w="706" w:type="pct"/>
                  <w:hideMark/>
                </w:tcPr>
                <w:p w14:paraId="33D149A0"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activity</w:t>
                  </w:r>
                </w:p>
              </w:tc>
              <w:tc>
                <w:tcPr>
                  <w:tcW w:w="574" w:type="pct"/>
                  <w:hideMark/>
                </w:tcPr>
                <w:p w14:paraId="7F025404"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signaling pathway</w:t>
                  </w:r>
                </w:p>
              </w:tc>
              <w:tc>
                <w:tcPr>
                  <w:tcW w:w="1639" w:type="pct"/>
                  <w:hideMark/>
                </w:tcPr>
                <w:p w14:paraId="175E15F1"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Integral component of membrane</w:t>
                  </w:r>
                </w:p>
              </w:tc>
            </w:tr>
            <w:tr w:rsidR="00012659" w:rsidRPr="00214B75" w14:paraId="6348B5E7" w14:textId="77777777" w:rsidTr="001073A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03" w:type="pct"/>
                  <w:hideMark/>
                </w:tcPr>
                <w:p w14:paraId="34A2430B"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4FF2CAFF"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XM_005750038.seq</w:t>
                  </w:r>
                </w:p>
              </w:tc>
              <w:tc>
                <w:tcPr>
                  <w:tcW w:w="1032" w:type="pct"/>
                  <w:hideMark/>
                </w:tcPr>
                <w:p w14:paraId="306275D9"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UDP-glucuronosyltransferase 2b15-like</w:t>
                  </w:r>
                </w:p>
              </w:tc>
              <w:tc>
                <w:tcPr>
                  <w:tcW w:w="706" w:type="pct"/>
                  <w:hideMark/>
                </w:tcPr>
                <w:p w14:paraId="4C4FDE2C"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Transferase activity, transferring hexosyl groups</w:t>
                  </w:r>
                </w:p>
              </w:tc>
              <w:tc>
                <w:tcPr>
                  <w:tcW w:w="574" w:type="pct"/>
                  <w:hideMark/>
                </w:tcPr>
                <w:p w14:paraId="2F0B1DBE"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Metabolic process</w:t>
                  </w:r>
                </w:p>
              </w:tc>
              <w:tc>
                <w:tcPr>
                  <w:tcW w:w="1639" w:type="pct"/>
                  <w:hideMark/>
                </w:tcPr>
                <w:p w14:paraId="5880E11B"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3A150700" w14:textId="77777777" w:rsidTr="001073A5">
              <w:trPr>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77774ABD"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DR4</w:t>
                  </w:r>
                </w:p>
              </w:tc>
              <w:tc>
                <w:tcPr>
                  <w:tcW w:w="747" w:type="pct"/>
                  <w:hideMark/>
                </w:tcPr>
                <w:p w14:paraId="367B1D1C"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XM_005749930.seq</w:t>
                  </w:r>
                </w:p>
              </w:tc>
              <w:tc>
                <w:tcPr>
                  <w:tcW w:w="1032" w:type="pct"/>
                  <w:hideMark/>
                </w:tcPr>
                <w:p w14:paraId="2C189D1B"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Hemicentin-1-like isoform x2</w:t>
                  </w:r>
                </w:p>
              </w:tc>
              <w:tc>
                <w:tcPr>
                  <w:tcW w:w="706" w:type="pct"/>
                  <w:hideMark/>
                </w:tcPr>
                <w:p w14:paraId="474FD7CB"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5D166F6B"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40BD528F"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2456B40D" w14:textId="77777777" w:rsidTr="001073A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03" w:type="pct"/>
                  <w:hideMark/>
                </w:tcPr>
                <w:p w14:paraId="53BA56AD"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2E9C1639"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XM_005939901.seq</w:t>
                  </w:r>
                </w:p>
              </w:tc>
              <w:tc>
                <w:tcPr>
                  <w:tcW w:w="1032" w:type="pct"/>
                  <w:hideMark/>
                </w:tcPr>
                <w:p w14:paraId="350D4759"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Hemicentin-1-like isoform x1</w:t>
                  </w:r>
                </w:p>
              </w:tc>
              <w:tc>
                <w:tcPr>
                  <w:tcW w:w="706" w:type="pct"/>
                  <w:hideMark/>
                </w:tcPr>
                <w:p w14:paraId="5976F57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43B4227C"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709BCEB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7508F79E" w14:textId="77777777" w:rsidTr="001073A5">
              <w:trPr>
                <w:trHeight w:val="585"/>
              </w:trPr>
              <w:tc>
                <w:tcPr>
                  <w:cnfStyle w:val="001000000000" w:firstRow="0" w:lastRow="0" w:firstColumn="1" w:lastColumn="0" w:oddVBand="0" w:evenVBand="0" w:oddHBand="0" w:evenHBand="0" w:firstRowFirstColumn="0" w:firstRowLastColumn="0" w:lastRowFirstColumn="0" w:lastRowLastColumn="0"/>
                  <w:tcW w:w="303" w:type="pct"/>
                  <w:hideMark/>
                </w:tcPr>
                <w:p w14:paraId="2D462194"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DR5</w:t>
                  </w:r>
                </w:p>
              </w:tc>
              <w:tc>
                <w:tcPr>
                  <w:tcW w:w="747" w:type="pct"/>
                  <w:hideMark/>
                </w:tcPr>
                <w:p w14:paraId="7682EFD9"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LWS_cd.seq</w:t>
                  </w:r>
                </w:p>
              </w:tc>
              <w:tc>
                <w:tcPr>
                  <w:tcW w:w="1032" w:type="pct"/>
                  <w:hideMark/>
                </w:tcPr>
                <w:p w14:paraId="183843C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Long wavelength-sensitive opsin</w:t>
                  </w:r>
                </w:p>
              </w:tc>
              <w:tc>
                <w:tcPr>
                  <w:tcW w:w="706" w:type="pct"/>
                  <w:hideMark/>
                </w:tcPr>
                <w:p w14:paraId="418E05EF"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activity; Photoreceptor activity</w:t>
                  </w:r>
                </w:p>
              </w:tc>
              <w:tc>
                <w:tcPr>
                  <w:tcW w:w="574" w:type="pct"/>
                  <w:hideMark/>
                </w:tcPr>
                <w:p w14:paraId="00868256"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signaling pathway; Visual perception; Phototransduction; Protein-chromophore linkage</w:t>
                  </w:r>
                </w:p>
              </w:tc>
              <w:tc>
                <w:tcPr>
                  <w:tcW w:w="1639" w:type="pct"/>
                  <w:hideMark/>
                </w:tcPr>
                <w:p w14:paraId="4342CEEB"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Integral component of membrane</w:t>
                  </w:r>
                </w:p>
              </w:tc>
            </w:tr>
            <w:tr w:rsidR="00012659" w:rsidRPr="00214B75" w14:paraId="5141F1CF" w14:textId="77777777" w:rsidTr="001073A5">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03" w:type="pct"/>
                  <w:hideMark/>
                </w:tcPr>
                <w:p w14:paraId="7410636E"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DR6</w:t>
                  </w:r>
                </w:p>
              </w:tc>
              <w:tc>
                <w:tcPr>
                  <w:tcW w:w="747" w:type="pct"/>
                  <w:hideMark/>
                </w:tcPr>
                <w:p w14:paraId="33C356B1"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XM_005453101.seq</w:t>
                  </w:r>
                </w:p>
              </w:tc>
              <w:tc>
                <w:tcPr>
                  <w:tcW w:w="1032" w:type="pct"/>
                  <w:hideMark/>
                </w:tcPr>
                <w:p w14:paraId="67E19525"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Leucine-rich repeat and immunoglobulin-like domain-containing nogo receptor-interacting protein 1</w:t>
                  </w:r>
                </w:p>
              </w:tc>
              <w:tc>
                <w:tcPr>
                  <w:tcW w:w="706" w:type="pct"/>
                  <w:hideMark/>
                </w:tcPr>
                <w:p w14:paraId="5423AC45" w14:textId="216E1BA5"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F</w:t>
                  </w:r>
                  <w:r w:rsidR="00EC55A6" w:rsidRPr="00214B75">
                    <w:rPr>
                      <w:rFonts w:asciiTheme="majorHAnsi" w:hAnsiTheme="majorHAnsi" w:cstheme="majorHAnsi"/>
                      <w:color w:val="000000"/>
                      <w:sz w:val="12"/>
                      <w:szCs w:val="12"/>
                    </w:rPr>
                    <w:t>-</w:t>
                  </w:r>
                  <w:r w:rsidRPr="00214B75">
                    <w:rPr>
                      <w:rFonts w:asciiTheme="majorHAnsi" w:hAnsiTheme="majorHAnsi" w:cstheme="majorHAnsi"/>
                      <w:color w:val="000000"/>
                      <w:sz w:val="12"/>
                      <w:szCs w:val="12"/>
                    </w:rPr>
                    <w:t>protein binding</w:t>
                  </w:r>
                </w:p>
              </w:tc>
              <w:tc>
                <w:tcPr>
                  <w:tcW w:w="574" w:type="pct"/>
                  <w:hideMark/>
                </w:tcPr>
                <w:p w14:paraId="7794A842"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P:axon regeneration</w:t>
                  </w:r>
                </w:p>
              </w:tc>
              <w:tc>
                <w:tcPr>
                  <w:tcW w:w="1639" w:type="pct"/>
                  <w:hideMark/>
                </w:tcPr>
                <w:p w14:paraId="1D07D9F9"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p>
              </w:tc>
            </w:tr>
            <w:tr w:rsidR="00012659" w:rsidRPr="00214B75" w14:paraId="6D1CFC8E" w14:textId="77777777" w:rsidTr="001073A5">
              <w:trPr>
                <w:trHeight w:val="150"/>
              </w:trPr>
              <w:tc>
                <w:tcPr>
                  <w:cnfStyle w:val="001000000000" w:firstRow="0" w:lastRow="0" w:firstColumn="1" w:lastColumn="0" w:oddVBand="0" w:evenVBand="0" w:oddHBand="0" w:evenHBand="0" w:firstRowFirstColumn="0" w:firstRowLastColumn="0" w:lastRowFirstColumn="0" w:lastRowLastColumn="0"/>
                  <w:tcW w:w="303" w:type="pct"/>
                  <w:hideMark/>
                </w:tcPr>
                <w:p w14:paraId="69E66F8F"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4852A73A"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XM_005735193.seq</w:t>
                  </w:r>
                </w:p>
              </w:tc>
              <w:tc>
                <w:tcPr>
                  <w:tcW w:w="1032" w:type="pct"/>
                  <w:hideMark/>
                </w:tcPr>
                <w:p w14:paraId="25E63397"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Netrin receptor UNC5c-like isoform x2</w:t>
                  </w:r>
                </w:p>
              </w:tc>
              <w:tc>
                <w:tcPr>
                  <w:tcW w:w="706" w:type="pct"/>
                  <w:hideMark/>
                </w:tcPr>
                <w:p w14:paraId="0B55E154" w14:textId="18275CF0" w:rsidR="00012659" w:rsidRPr="00214B75" w:rsidRDefault="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F</w:t>
                  </w:r>
                  <w:r w:rsidR="00EC55A6" w:rsidRPr="00214B75">
                    <w:rPr>
                      <w:rFonts w:asciiTheme="majorHAnsi" w:hAnsiTheme="majorHAnsi" w:cstheme="majorHAnsi"/>
                      <w:color w:val="000000"/>
                      <w:sz w:val="12"/>
                      <w:szCs w:val="12"/>
                    </w:rPr>
                    <w:t>-</w:t>
                  </w:r>
                  <w:r w:rsidRPr="00214B75">
                    <w:rPr>
                      <w:rFonts w:asciiTheme="majorHAnsi" w:hAnsiTheme="majorHAnsi" w:cstheme="majorHAnsi"/>
                      <w:color w:val="000000"/>
                      <w:sz w:val="12"/>
                      <w:szCs w:val="12"/>
                    </w:rPr>
                    <w:t>protein binding</w:t>
                  </w:r>
                </w:p>
              </w:tc>
              <w:tc>
                <w:tcPr>
                  <w:tcW w:w="574" w:type="pct"/>
                  <w:hideMark/>
                </w:tcPr>
                <w:p w14:paraId="78B21334"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Signal transduction</w:t>
                  </w:r>
                </w:p>
              </w:tc>
              <w:tc>
                <w:tcPr>
                  <w:tcW w:w="1639" w:type="pct"/>
                  <w:hideMark/>
                </w:tcPr>
                <w:p w14:paraId="62979ADD"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0A9F6D31" w14:textId="77777777" w:rsidTr="001073A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3" w:type="pct"/>
                  <w:hideMark/>
                </w:tcPr>
                <w:p w14:paraId="0C11BF7C"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DR7</w:t>
                  </w:r>
                </w:p>
              </w:tc>
              <w:tc>
                <w:tcPr>
                  <w:tcW w:w="747" w:type="pct"/>
                  <w:hideMark/>
                </w:tcPr>
                <w:p w14:paraId="1FEBC11B"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XM_005730166.seq</w:t>
                  </w:r>
                </w:p>
              </w:tc>
              <w:tc>
                <w:tcPr>
                  <w:tcW w:w="1032" w:type="pct"/>
                  <w:hideMark/>
                </w:tcPr>
                <w:p w14:paraId="325BE01B"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General transcription factor IIh subunit 1-like</w:t>
                  </w:r>
                </w:p>
              </w:tc>
              <w:tc>
                <w:tcPr>
                  <w:tcW w:w="706" w:type="pct"/>
                  <w:hideMark/>
                </w:tcPr>
                <w:p w14:paraId="09B14799"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71147F9D"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Nucleotide-excision repair; Transcription, DNA-templated</w:t>
                  </w:r>
                </w:p>
              </w:tc>
              <w:tc>
                <w:tcPr>
                  <w:tcW w:w="1639" w:type="pct"/>
                  <w:hideMark/>
                </w:tcPr>
                <w:p w14:paraId="3A708B5E"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Core TFIIH complex</w:t>
                  </w:r>
                </w:p>
              </w:tc>
            </w:tr>
            <w:tr w:rsidR="00012659" w:rsidRPr="00214B75" w14:paraId="664C2501" w14:textId="77777777" w:rsidTr="001073A5">
              <w:trPr>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212CB4B0"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DR8</w:t>
                  </w:r>
                </w:p>
              </w:tc>
              <w:tc>
                <w:tcPr>
                  <w:tcW w:w="747" w:type="pct"/>
                  <w:hideMark/>
                </w:tcPr>
                <w:p w14:paraId="4B1C8D24"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XM_005730137.seq</w:t>
                  </w:r>
                </w:p>
              </w:tc>
              <w:tc>
                <w:tcPr>
                  <w:tcW w:w="1032" w:type="pct"/>
                  <w:hideMark/>
                </w:tcPr>
                <w:p w14:paraId="215F89AD"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Intestinal mucin-like</w:t>
                  </w:r>
                </w:p>
              </w:tc>
              <w:tc>
                <w:tcPr>
                  <w:tcW w:w="706" w:type="pct"/>
                  <w:hideMark/>
                </w:tcPr>
                <w:p w14:paraId="69318564"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Peptidase inhibitor activity</w:t>
                  </w:r>
                </w:p>
              </w:tc>
              <w:tc>
                <w:tcPr>
                  <w:tcW w:w="574" w:type="pct"/>
                  <w:hideMark/>
                </w:tcPr>
                <w:p w14:paraId="2BD73B79"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Negative regulation of peptidase activity</w:t>
                  </w:r>
                </w:p>
              </w:tc>
              <w:tc>
                <w:tcPr>
                  <w:tcW w:w="1639" w:type="pct"/>
                  <w:hideMark/>
                </w:tcPr>
                <w:p w14:paraId="7B116B3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Extracellular region</w:t>
                  </w:r>
                </w:p>
              </w:tc>
            </w:tr>
            <w:tr w:rsidR="00012659" w:rsidRPr="00214B75" w14:paraId="2BA56DF1" w14:textId="77777777" w:rsidTr="001073A5">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03" w:type="pct"/>
                  <w:hideMark/>
                </w:tcPr>
                <w:p w14:paraId="12347E65"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DR9</w:t>
                  </w:r>
                </w:p>
              </w:tc>
              <w:tc>
                <w:tcPr>
                  <w:tcW w:w="747" w:type="pct"/>
                  <w:hideMark/>
                </w:tcPr>
                <w:p w14:paraId="02E192CE"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XM_005751143.seq</w:t>
                  </w:r>
                </w:p>
              </w:tc>
              <w:tc>
                <w:tcPr>
                  <w:tcW w:w="1032" w:type="pct"/>
                  <w:hideMark/>
                </w:tcPr>
                <w:p w14:paraId="22C99F76"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Hepatocyte growth factor receptor-like isoform x1</w:t>
                  </w:r>
                </w:p>
              </w:tc>
              <w:tc>
                <w:tcPr>
                  <w:tcW w:w="706" w:type="pct"/>
                  <w:hideMark/>
                </w:tcPr>
                <w:p w14:paraId="2BF7354E"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Protein tyrosine kinase activity; Receptor activity; ATP binding</w:t>
                  </w:r>
                </w:p>
              </w:tc>
              <w:tc>
                <w:tcPr>
                  <w:tcW w:w="574" w:type="pct"/>
                  <w:hideMark/>
                </w:tcPr>
                <w:p w14:paraId="45C4CE19"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Neuron migration; Liver development; Peptidyl-tyrosine phosphorylation; Spinal cord motor neuron differentiation; Cerebellar granule cell differentiation; Exocrine pancreas development; Pectoral fin development; Protein binding</w:t>
                  </w:r>
                </w:p>
              </w:tc>
              <w:tc>
                <w:tcPr>
                  <w:tcW w:w="1639" w:type="pct"/>
                  <w:hideMark/>
                </w:tcPr>
                <w:p w14:paraId="2A2369F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Integral component of membrane</w:t>
                  </w:r>
                </w:p>
              </w:tc>
            </w:tr>
            <w:tr w:rsidR="00012659" w:rsidRPr="00214B75" w14:paraId="334FB865" w14:textId="77777777" w:rsidTr="001073A5">
              <w:trPr>
                <w:trHeight w:val="375"/>
              </w:trPr>
              <w:tc>
                <w:tcPr>
                  <w:cnfStyle w:val="001000000000" w:firstRow="0" w:lastRow="0" w:firstColumn="1" w:lastColumn="0" w:oddVBand="0" w:evenVBand="0" w:oddHBand="0" w:evenHBand="0" w:firstRowFirstColumn="0" w:firstRowLastColumn="0" w:lastRowFirstColumn="0" w:lastRowLastColumn="0"/>
                  <w:tcW w:w="303" w:type="pct"/>
                  <w:hideMark/>
                </w:tcPr>
                <w:p w14:paraId="04779364"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DR11</w:t>
                  </w:r>
                </w:p>
              </w:tc>
              <w:tc>
                <w:tcPr>
                  <w:tcW w:w="747" w:type="pct"/>
                  <w:hideMark/>
                </w:tcPr>
                <w:p w14:paraId="7A5E18D3"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XM_005727983.seq</w:t>
                  </w:r>
                </w:p>
              </w:tc>
              <w:tc>
                <w:tcPr>
                  <w:tcW w:w="1032" w:type="pct"/>
                  <w:hideMark/>
                </w:tcPr>
                <w:p w14:paraId="06EB4B05"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AP-4 complex subunit epsilon-1</w:t>
                  </w:r>
                </w:p>
              </w:tc>
              <w:tc>
                <w:tcPr>
                  <w:tcW w:w="706" w:type="pct"/>
                  <w:hideMark/>
                </w:tcPr>
                <w:p w14:paraId="0BA9B5B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08ADF2F9"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Intracellular protein transport; Vesicle-mediated transport; Binding</w:t>
                  </w:r>
                </w:p>
              </w:tc>
              <w:tc>
                <w:tcPr>
                  <w:tcW w:w="1639" w:type="pct"/>
                  <w:hideMark/>
                </w:tcPr>
                <w:p w14:paraId="144EEFBC"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Membrane coat</w:t>
                  </w:r>
                </w:p>
              </w:tc>
            </w:tr>
            <w:tr w:rsidR="00012659" w:rsidRPr="00214B75" w14:paraId="3E3C9AE2" w14:textId="77777777" w:rsidTr="001073A5">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303" w:type="pct"/>
                  <w:hideMark/>
                </w:tcPr>
                <w:p w14:paraId="1461BDE8"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04BF1E23"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XM_005727984.seq</w:t>
                  </w:r>
                </w:p>
              </w:tc>
              <w:tc>
                <w:tcPr>
                  <w:tcW w:w="1032" w:type="pct"/>
                  <w:hideMark/>
                </w:tcPr>
                <w:p w14:paraId="32F3E8AD"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Cytochrome p450 aromatase type II</w:t>
                  </w:r>
                </w:p>
              </w:tc>
              <w:tc>
                <w:tcPr>
                  <w:tcW w:w="706" w:type="pct"/>
                  <w:hideMark/>
                </w:tcPr>
                <w:p w14:paraId="52320505"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Monooxygenase activity; Iron ion binding; Oxidoreductase activity, acting on paired donors, with incorporation or reduction of molecular oxygen; Heme binding</w:t>
                  </w:r>
                </w:p>
              </w:tc>
              <w:tc>
                <w:tcPr>
                  <w:tcW w:w="574" w:type="pct"/>
                  <w:hideMark/>
                </w:tcPr>
                <w:p w14:paraId="63F7784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Response to xenobiotic stimulus; Response to estradiol; Oxidation-reduction process</w:t>
                  </w:r>
                </w:p>
              </w:tc>
              <w:tc>
                <w:tcPr>
                  <w:tcW w:w="1639" w:type="pct"/>
                  <w:hideMark/>
                </w:tcPr>
                <w:p w14:paraId="27CEA92B"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5EBC873B" w14:textId="77777777" w:rsidTr="001073A5">
              <w:trPr>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360E95C9"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68951702"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XM_005727986.seq</w:t>
                  </w:r>
                </w:p>
              </w:tc>
              <w:tc>
                <w:tcPr>
                  <w:tcW w:w="1032" w:type="pct"/>
                  <w:hideMark/>
                </w:tcPr>
                <w:p w14:paraId="3AA0A382"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Gliomedin-like isoform x1</w:t>
                  </w:r>
                </w:p>
              </w:tc>
              <w:tc>
                <w:tcPr>
                  <w:tcW w:w="706" w:type="pct"/>
                  <w:hideMark/>
                </w:tcPr>
                <w:p w14:paraId="3FAD8EC3"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Protein binding</w:t>
                  </w:r>
                </w:p>
              </w:tc>
              <w:tc>
                <w:tcPr>
                  <w:tcW w:w="574" w:type="pct"/>
                  <w:hideMark/>
                </w:tcPr>
                <w:p w14:paraId="004AB532"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4D15F749"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59DB121D" w14:textId="77777777" w:rsidTr="001073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3" w:type="pct"/>
                  <w:hideMark/>
                </w:tcPr>
                <w:p w14:paraId="019CD740"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DR12</w:t>
                  </w:r>
                </w:p>
              </w:tc>
              <w:tc>
                <w:tcPr>
                  <w:tcW w:w="747" w:type="pct"/>
                  <w:hideMark/>
                </w:tcPr>
                <w:p w14:paraId="78FA6C8B"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XM_005749719.seq</w:t>
                  </w:r>
                </w:p>
              </w:tc>
              <w:tc>
                <w:tcPr>
                  <w:tcW w:w="1032" w:type="pct"/>
                  <w:hideMark/>
                </w:tcPr>
                <w:p w14:paraId="3A22F67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Melanopsin-A-like isoform x1</w:t>
                  </w:r>
                </w:p>
              </w:tc>
              <w:tc>
                <w:tcPr>
                  <w:tcW w:w="706" w:type="pct"/>
                  <w:hideMark/>
                </w:tcPr>
                <w:p w14:paraId="6A566D93"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activity; Photoreceptor activity</w:t>
                  </w:r>
                </w:p>
              </w:tc>
              <w:tc>
                <w:tcPr>
                  <w:tcW w:w="574" w:type="pct"/>
                  <w:hideMark/>
                </w:tcPr>
                <w:p w14:paraId="10B696A4"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G-protein coupled receptor signaling pathway; Visual perception; Phototransduction; Protein-chromophore linkage</w:t>
                  </w:r>
                </w:p>
              </w:tc>
              <w:tc>
                <w:tcPr>
                  <w:tcW w:w="1639" w:type="pct"/>
                  <w:hideMark/>
                </w:tcPr>
                <w:p w14:paraId="47BDDD2E"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Integral component of membrane</w:t>
                  </w:r>
                </w:p>
              </w:tc>
            </w:tr>
            <w:tr w:rsidR="00012659" w:rsidRPr="00214B75" w14:paraId="035E8D22" w14:textId="77777777" w:rsidTr="001073A5">
              <w:trPr>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4452CBA9"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DR14</w:t>
                  </w:r>
                </w:p>
              </w:tc>
              <w:tc>
                <w:tcPr>
                  <w:tcW w:w="747" w:type="pct"/>
                  <w:hideMark/>
                </w:tcPr>
                <w:p w14:paraId="375BE62A"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XM_005732149.seq</w:t>
                  </w:r>
                </w:p>
              </w:tc>
              <w:tc>
                <w:tcPr>
                  <w:tcW w:w="1032" w:type="pct"/>
                  <w:hideMark/>
                </w:tcPr>
                <w:p w14:paraId="5B99B5F1"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Myosin-2 heavy non muscle-like</w:t>
                  </w:r>
                </w:p>
              </w:tc>
              <w:tc>
                <w:tcPr>
                  <w:tcW w:w="706" w:type="pct"/>
                  <w:hideMark/>
                </w:tcPr>
                <w:p w14:paraId="32E5D2D7"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35D65859"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7B082ACA"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27B226F5" w14:textId="77777777" w:rsidTr="001073A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5D590DAB"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3C6E3B6D"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XM_005732150.seq</w:t>
                  </w:r>
                </w:p>
              </w:tc>
              <w:tc>
                <w:tcPr>
                  <w:tcW w:w="1032" w:type="pct"/>
                  <w:hideMark/>
                </w:tcPr>
                <w:p w14:paraId="6BEAAA6C"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Pollen-specific leucine-rich repeat extensin-like protein 1-like</w:t>
                  </w:r>
                </w:p>
              </w:tc>
              <w:tc>
                <w:tcPr>
                  <w:tcW w:w="706" w:type="pct"/>
                  <w:hideMark/>
                </w:tcPr>
                <w:p w14:paraId="2498EBAB"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1995D178"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2391B3F9"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7AF24C9E" w14:textId="77777777" w:rsidTr="001073A5">
              <w:trPr>
                <w:trHeight w:val="150"/>
              </w:trPr>
              <w:tc>
                <w:tcPr>
                  <w:cnfStyle w:val="001000000000" w:firstRow="0" w:lastRow="0" w:firstColumn="1" w:lastColumn="0" w:oddVBand="0" w:evenVBand="0" w:oddHBand="0" w:evenHBand="0" w:firstRowFirstColumn="0" w:firstRowLastColumn="0" w:lastRowFirstColumn="0" w:lastRowLastColumn="0"/>
                  <w:tcW w:w="303" w:type="pct"/>
                  <w:hideMark/>
                </w:tcPr>
                <w:p w14:paraId="788D5420"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DR15</w:t>
                  </w:r>
                </w:p>
              </w:tc>
              <w:tc>
                <w:tcPr>
                  <w:tcW w:w="747" w:type="pct"/>
                  <w:hideMark/>
                </w:tcPr>
                <w:p w14:paraId="60E148A2"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XR_312020.seq</w:t>
                  </w:r>
                </w:p>
              </w:tc>
              <w:tc>
                <w:tcPr>
                  <w:tcW w:w="1032" w:type="pct"/>
                  <w:hideMark/>
                </w:tcPr>
                <w:p w14:paraId="3DAC562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---NA---</w:t>
                  </w:r>
                </w:p>
              </w:tc>
              <w:tc>
                <w:tcPr>
                  <w:tcW w:w="706" w:type="pct"/>
                  <w:hideMark/>
                </w:tcPr>
                <w:p w14:paraId="1772E8B2"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2E55C12B"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2AE0538F"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5BE41ADA" w14:textId="77777777" w:rsidTr="001073A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3C724807"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DR16</w:t>
                  </w:r>
                </w:p>
              </w:tc>
              <w:tc>
                <w:tcPr>
                  <w:tcW w:w="747" w:type="pct"/>
                  <w:hideMark/>
                </w:tcPr>
                <w:p w14:paraId="07420D7D"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XM_005743315.seq</w:t>
                  </w:r>
                </w:p>
              </w:tc>
              <w:tc>
                <w:tcPr>
                  <w:tcW w:w="1032" w:type="pct"/>
                  <w:hideMark/>
                </w:tcPr>
                <w:p w14:paraId="0C0C18D4"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Low quality protein: aryl hydrocarbon receptor nuclear translocator-like protein 2-like</w:t>
                  </w:r>
                </w:p>
              </w:tc>
              <w:tc>
                <w:tcPr>
                  <w:tcW w:w="706" w:type="pct"/>
                  <w:hideMark/>
                </w:tcPr>
                <w:p w14:paraId="47213B22"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60E65114"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7EC16246"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1BBCA7B3" w14:textId="77777777" w:rsidTr="001073A5">
              <w:trPr>
                <w:trHeight w:val="600"/>
              </w:trPr>
              <w:tc>
                <w:tcPr>
                  <w:cnfStyle w:val="001000000000" w:firstRow="0" w:lastRow="0" w:firstColumn="1" w:lastColumn="0" w:oddVBand="0" w:evenVBand="0" w:oddHBand="0" w:evenHBand="0" w:firstRowFirstColumn="0" w:firstRowLastColumn="0" w:lastRowFirstColumn="0" w:lastRowLastColumn="0"/>
                  <w:tcW w:w="303" w:type="pct"/>
                  <w:hideMark/>
                </w:tcPr>
                <w:p w14:paraId="58E70E1C"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lastRenderedPageBreak/>
                    <w:t>DR17</w:t>
                  </w:r>
                </w:p>
              </w:tc>
              <w:tc>
                <w:tcPr>
                  <w:tcW w:w="747" w:type="pct"/>
                  <w:hideMark/>
                </w:tcPr>
                <w:p w14:paraId="33153E1C"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XM_004570512.seq</w:t>
                  </w:r>
                </w:p>
              </w:tc>
              <w:tc>
                <w:tcPr>
                  <w:tcW w:w="1032" w:type="pct"/>
                  <w:hideMark/>
                </w:tcPr>
                <w:p w14:paraId="50FC8E44"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UDP-n-acetylglucosamine transporter-like</w:t>
                  </w:r>
                </w:p>
              </w:tc>
              <w:tc>
                <w:tcPr>
                  <w:tcW w:w="706" w:type="pct"/>
                  <w:hideMark/>
                </w:tcPr>
                <w:p w14:paraId="03EA953B"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Nucleotide-sugar transmembrane transporter activity; Sugar: proton symporter activity</w:t>
                  </w:r>
                </w:p>
              </w:tc>
              <w:tc>
                <w:tcPr>
                  <w:tcW w:w="574" w:type="pct"/>
                  <w:hideMark/>
                </w:tcPr>
                <w:p w14:paraId="596BB9B2"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Carbohydrate transport; Nucleotide-sugar transport; Proton transport; Nucleotide transmembrane transport</w:t>
                  </w:r>
                </w:p>
              </w:tc>
              <w:tc>
                <w:tcPr>
                  <w:tcW w:w="1639" w:type="pct"/>
                  <w:hideMark/>
                </w:tcPr>
                <w:p w14:paraId="14BFC386"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Golgi membrane; Integral component of membrane</w:t>
                  </w:r>
                </w:p>
              </w:tc>
            </w:tr>
            <w:tr w:rsidR="00012659" w:rsidRPr="00214B75" w14:paraId="2696DE32" w14:textId="77777777" w:rsidTr="001073A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2F7A4476"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00A132D2"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XM_005720962.seq</w:t>
                  </w:r>
                </w:p>
              </w:tc>
              <w:tc>
                <w:tcPr>
                  <w:tcW w:w="1032" w:type="pct"/>
                  <w:hideMark/>
                </w:tcPr>
                <w:p w14:paraId="43274E7F"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U3 small nucleolar ribonucleoprotein protein imp3-like</w:t>
                  </w:r>
                </w:p>
              </w:tc>
              <w:tc>
                <w:tcPr>
                  <w:tcW w:w="706" w:type="pct"/>
                  <w:hideMark/>
                </w:tcPr>
                <w:p w14:paraId="55FB3E6B"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rRNA binding</w:t>
                  </w:r>
                </w:p>
              </w:tc>
              <w:tc>
                <w:tcPr>
                  <w:tcW w:w="574" w:type="pct"/>
                  <w:hideMark/>
                </w:tcPr>
                <w:p w14:paraId="229683D6"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034C70F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Intracellular</w:t>
                  </w:r>
                </w:p>
              </w:tc>
            </w:tr>
            <w:tr w:rsidR="00012659" w:rsidRPr="00214B75" w14:paraId="7581C5C9" w14:textId="77777777" w:rsidTr="001073A5">
              <w:trPr>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04D6E090"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DR18</w:t>
                  </w:r>
                </w:p>
              </w:tc>
              <w:tc>
                <w:tcPr>
                  <w:tcW w:w="747" w:type="pct"/>
                  <w:hideMark/>
                </w:tcPr>
                <w:p w14:paraId="4271A7DD"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XM_005733013.seq</w:t>
                  </w:r>
                </w:p>
              </w:tc>
              <w:tc>
                <w:tcPr>
                  <w:tcW w:w="1032" w:type="pct"/>
                  <w:hideMark/>
                </w:tcPr>
                <w:p w14:paraId="1D41A1E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Peptidyl-prolyl cis-trans isomerase h-like</w:t>
                  </w:r>
                </w:p>
              </w:tc>
              <w:tc>
                <w:tcPr>
                  <w:tcW w:w="706" w:type="pct"/>
                  <w:hideMark/>
                </w:tcPr>
                <w:p w14:paraId="79EDD65D"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Peptidyl-prolyl cis-trans isomerase activity</w:t>
                  </w:r>
                </w:p>
              </w:tc>
              <w:tc>
                <w:tcPr>
                  <w:tcW w:w="574" w:type="pct"/>
                  <w:hideMark/>
                </w:tcPr>
                <w:p w14:paraId="3445A2C0"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Protein peptidyl-prolyl isomerization; Protein folding</w:t>
                  </w:r>
                </w:p>
              </w:tc>
              <w:tc>
                <w:tcPr>
                  <w:tcW w:w="1639" w:type="pct"/>
                  <w:hideMark/>
                </w:tcPr>
                <w:p w14:paraId="6E81680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44A93AC0" w14:textId="77777777" w:rsidTr="001073A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03" w:type="pct"/>
                  <w:hideMark/>
                </w:tcPr>
                <w:p w14:paraId="0E8DB505"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6D66442D"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XM_005733015.seq</w:t>
                  </w:r>
                </w:p>
              </w:tc>
              <w:tc>
                <w:tcPr>
                  <w:tcW w:w="1032" w:type="pct"/>
                  <w:hideMark/>
                </w:tcPr>
                <w:p w14:paraId="07525781" w14:textId="39252E6B" w:rsidR="00012659" w:rsidRPr="00214B75" w:rsidRDefault="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 xml:space="preserve">Transcription initiation factor </w:t>
                  </w:r>
                  <w:r w:rsidR="0038443C" w:rsidRPr="00214B75">
                    <w:rPr>
                      <w:rFonts w:asciiTheme="majorHAnsi" w:hAnsiTheme="majorHAnsi" w:cstheme="majorHAnsi"/>
                      <w:color w:val="000000"/>
                      <w:sz w:val="12"/>
                      <w:szCs w:val="12"/>
                    </w:rPr>
                    <w:t xml:space="preserve">TFIID </w:t>
                  </w:r>
                  <w:r w:rsidRPr="00214B75">
                    <w:rPr>
                      <w:rFonts w:asciiTheme="majorHAnsi" w:hAnsiTheme="majorHAnsi" w:cstheme="majorHAnsi"/>
                      <w:color w:val="000000"/>
                      <w:sz w:val="12"/>
                      <w:szCs w:val="12"/>
                    </w:rPr>
                    <w:t>subunit 10-like</w:t>
                  </w:r>
                </w:p>
              </w:tc>
              <w:tc>
                <w:tcPr>
                  <w:tcW w:w="706" w:type="pct"/>
                  <w:hideMark/>
                </w:tcPr>
                <w:p w14:paraId="7CF3ABB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DNA-templated transcription, initiation</w:t>
                  </w:r>
                </w:p>
              </w:tc>
              <w:tc>
                <w:tcPr>
                  <w:tcW w:w="574" w:type="pct"/>
                  <w:hideMark/>
                </w:tcPr>
                <w:p w14:paraId="2B1003CB"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206E5B17"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Nucleus</w:t>
                  </w:r>
                </w:p>
              </w:tc>
            </w:tr>
            <w:tr w:rsidR="00012659" w:rsidRPr="00214B75" w14:paraId="41026E96" w14:textId="77777777" w:rsidTr="001073A5">
              <w:trPr>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2B3FB6D6"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4655F679"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XM_005941175.seq</w:t>
                  </w:r>
                </w:p>
              </w:tc>
              <w:tc>
                <w:tcPr>
                  <w:tcW w:w="1032" w:type="pct"/>
                  <w:hideMark/>
                </w:tcPr>
                <w:p w14:paraId="6ADD6BC7"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Probable G-protein coupled receptor 160</w:t>
                  </w:r>
                </w:p>
              </w:tc>
              <w:tc>
                <w:tcPr>
                  <w:tcW w:w="706" w:type="pct"/>
                  <w:hideMark/>
                </w:tcPr>
                <w:p w14:paraId="4B7C99B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574" w:type="pct"/>
                  <w:hideMark/>
                </w:tcPr>
                <w:p w14:paraId="0622EFF5"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055C4CF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071470D3" w14:textId="77777777" w:rsidTr="001073A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155940D1"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DR19</w:t>
                  </w:r>
                </w:p>
              </w:tc>
              <w:tc>
                <w:tcPr>
                  <w:tcW w:w="747" w:type="pct"/>
                  <w:hideMark/>
                </w:tcPr>
                <w:p w14:paraId="1C1860F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XM_005742045.seq</w:t>
                  </w:r>
                </w:p>
              </w:tc>
              <w:tc>
                <w:tcPr>
                  <w:tcW w:w="1032" w:type="pct"/>
                  <w:hideMark/>
                </w:tcPr>
                <w:p w14:paraId="6E4D227F"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Type II cytoskeletal 5-like isoform x2</w:t>
                  </w:r>
                </w:p>
              </w:tc>
              <w:tc>
                <w:tcPr>
                  <w:tcW w:w="706" w:type="pct"/>
                  <w:hideMark/>
                </w:tcPr>
                <w:p w14:paraId="20314D83"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Structural molecule activity</w:t>
                  </w:r>
                </w:p>
              </w:tc>
              <w:tc>
                <w:tcPr>
                  <w:tcW w:w="574" w:type="pct"/>
                  <w:hideMark/>
                </w:tcPr>
                <w:p w14:paraId="1E77594F"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63A9E072"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Keratin filament</w:t>
                  </w:r>
                </w:p>
              </w:tc>
            </w:tr>
            <w:tr w:rsidR="00012659" w:rsidRPr="00214B75" w14:paraId="0644C42F" w14:textId="77777777" w:rsidTr="001073A5">
              <w:trPr>
                <w:trHeight w:val="600"/>
              </w:trPr>
              <w:tc>
                <w:tcPr>
                  <w:cnfStyle w:val="001000000000" w:firstRow="0" w:lastRow="0" w:firstColumn="1" w:lastColumn="0" w:oddVBand="0" w:evenVBand="0" w:oddHBand="0" w:evenHBand="0" w:firstRowFirstColumn="0" w:firstRowLastColumn="0" w:lastRowFirstColumn="0" w:lastRowLastColumn="0"/>
                  <w:tcW w:w="303" w:type="pct"/>
                  <w:hideMark/>
                </w:tcPr>
                <w:p w14:paraId="36390859"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DR20</w:t>
                  </w:r>
                </w:p>
              </w:tc>
              <w:tc>
                <w:tcPr>
                  <w:tcW w:w="747" w:type="pct"/>
                  <w:hideMark/>
                </w:tcPr>
                <w:p w14:paraId="450212ED"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XM_005748525.seq</w:t>
                  </w:r>
                </w:p>
              </w:tc>
              <w:tc>
                <w:tcPr>
                  <w:tcW w:w="1032" w:type="pct"/>
                  <w:hideMark/>
                </w:tcPr>
                <w:p w14:paraId="7B9CEAB5"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Hydroperoxide isomerase aloxe3-like</w:t>
                  </w:r>
                </w:p>
              </w:tc>
              <w:tc>
                <w:tcPr>
                  <w:tcW w:w="706" w:type="pct"/>
                  <w:hideMark/>
                </w:tcPr>
                <w:p w14:paraId="4DE50F13"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Iron ion binding; Oxidoreductase activity, acting on single donors with incorporation of molecular oxygen, incorporation of two atoms of oxygen</w:t>
                  </w:r>
                </w:p>
              </w:tc>
              <w:tc>
                <w:tcPr>
                  <w:tcW w:w="574" w:type="pct"/>
                  <w:hideMark/>
                </w:tcPr>
                <w:p w14:paraId="67802657"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Oxidation-reduction process</w:t>
                  </w:r>
                </w:p>
              </w:tc>
              <w:tc>
                <w:tcPr>
                  <w:tcW w:w="1639" w:type="pct"/>
                  <w:hideMark/>
                </w:tcPr>
                <w:p w14:paraId="3A4BBAA9"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16E86025" w14:textId="77777777" w:rsidTr="001073A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03" w:type="pct"/>
                  <w:hideMark/>
                </w:tcPr>
                <w:p w14:paraId="1726E9F0"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4AE94BC4"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XM_005951547.seq</w:t>
                  </w:r>
                </w:p>
              </w:tc>
              <w:tc>
                <w:tcPr>
                  <w:tcW w:w="1032" w:type="pct"/>
                  <w:hideMark/>
                </w:tcPr>
                <w:p w14:paraId="730C8527"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Macrophage mannose receptor 1-like</w:t>
                  </w:r>
                </w:p>
              </w:tc>
              <w:tc>
                <w:tcPr>
                  <w:tcW w:w="706" w:type="pct"/>
                  <w:hideMark/>
                </w:tcPr>
                <w:p w14:paraId="425D1909"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Carbohydrate binding</w:t>
                  </w:r>
                </w:p>
              </w:tc>
              <w:tc>
                <w:tcPr>
                  <w:tcW w:w="574" w:type="pct"/>
                  <w:hideMark/>
                </w:tcPr>
                <w:p w14:paraId="08964F75"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0972DF2C"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r w:rsidR="00012659" w:rsidRPr="00214B75" w14:paraId="454953CF" w14:textId="77777777" w:rsidTr="001073A5">
              <w:trPr>
                <w:trHeight w:val="810"/>
              </w:trPr>
              <w:tc>
                <w:tcPr>
                  <w:cnfStyle w:val="001000000000" w:firstRow="0" w:lastRow="0" w:firstColumn="1" w:lastColumn="0" w:oddVBand="0" w:evenVBand="0" w:oddHBand="0" w:evenHBand="0" w:firstRowFirstColumn="0" w:firstRowLastColumn="0" w:lastRowFirstColumn="0" w:lastRowLastColumn="0"/>
                  <w:tcW w:w="303" w:type="pct"/>
                  <w:hideMark/>
                </w:tcPr>
                <w:p w14:paraId="6BBD3804"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r w:rsidRPr="00214B75">
                    <w:rPr>
                      <w:rFonts w:asciiTheme="majorHAnsi" w:hAnsiTheme="majorHAnsi" w:cstheme="majorHAnsi"/>
                      <w:color w:val="000000"/>
                      <w:sz w:val="12"/>
                      <w:szCs w:val="12"/>
                    </w:rPr>
                    <w:t>DR21</w:t>
                  </w:r>
                </w:p>
              </w:tc>
              <w:tc>
                <w:tcPr>
                  <w:tcW w:w="747" w:type="pct"/>
                  <w:hideMark/>
                </w:tcPr>
                <w:p w14:paraId="551AE3B8"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XM_005750946.seq</w:t>
                  </w:r>
                </w:p>
              </w:tc>
              <w:tc>
                <w:tcPr>
                  <w:tcW w:w="1032" w:type="pct"/>
                  <w:hideMark/>
                </w:tcPr>
                <w:p w14:paraId="039EE3D6"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RAS-related protein rab-11a-like</w:t>
                  </w:r>
                </w:p>
              </w:tc>
              <w:tc>
                <w:tcPr>
                  <w:tcW w:w="706" w:type="pct"/>
                  <w:hideMark/>
                </w:tcPr>
                <w:p w14:paraId="019741FE"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GTP binding; GTPase activity</w:t>
                  </w:r>
                </w:p>
              </w:tc>
              <w:tc>
                <w:tcPr>
                  <w:tcW w:w="574" w:type="pct"/>
                  <w:hideMark/>
                </w:tcPr>
                <w:p w14:paraId="22CB580F"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Small GTPase mediated signal transduction; Nucleocytoplasmic transport; Obsolete GTP catabolic process; Intracellular protein transport</w:t>
                  </w:r>
                </w:p>
              </w:tc>
              <w:tc>
                <w:tcPr>
                  <w:tcW w:w="1639" w:type="pct"/>
                  <w:hideMark/>
                </w:tcPr>
                <w:p w14:paraId="6DFE066C" w14:textId="77777777" w:rsidR="00012659" w:rsidRPr="00214B75" w:rsidRDefault="00012659" w:rsidP="00012659">
                  <w:pPr>
                    <w:framePr w:hSpace="142" w:wrap="around" w:vAnchor="text" w:hAnchor="text" w:y="1"/>
                    <w:suppressOverlap/>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Intracellular; Membrane</w:t>
                  </w:r>
                </w:p>
              </w:tc>
            </w:tr>
            <w:tr w:rsidR="00012659" w:rsidRPr="00214B75" w14:paraId="26C9A7B9" w14:textId="77777777" w:rsidTr="001073A5">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303" w:type="pct"/>
                  <w:hideMark/>
                </w:tcPr>
                <w:p w14:paraId="29210418" w14:textId="77777777" w:rsidR="00012659" w:rsidRPr="00214B75" w:rsidRDefault="00012659" w:rsidP="00012659">
                  <w:pPr>
                    <w:framePr w:hSpace="142" w:wrap="around" w:vAnchor="text" w:hAnchor="text" w:y="1"/>
                    <w:suppressOverlap/>
                    <w:rPr>
                      <w:rFonts w:asciiTheme="majorHAnsi" w:hAnsiTheme="majorHAnsi" w:cstheme="majorHAnsi"/>
                      <w:b w:val="0"/>
                      <w:bCs w:val="0"/>
                      <w:color w:val="auto"/>
                      <w:sz w:val="12"/>
                      <w:szCs w:val="12"/>
                    </w:rPr>
                  </w:pPr>
                </w:p>
              </w:tc>
              <w:tc>
                <w:tcPr>
                  <w:tcW w:w="747" w:type="pct"/>
                  <w:hideMark/>
                </w:tcPr>
                <w:p w14:paraId="72A6C2A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XM_005750947.seq</w:t>
                  </w:r>
                </w:p>
              </w:tc>
              <w:tc>
                <w:tcPr>
                  <w:tcW w:w="1032" w:type="pct"/>
                  <w:hideMark/>
                </w:tcPr>
                <w:p w14:paraId="0286EB92"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RNA-binding protein mex3a-like</w:t>
                  </w:r>
                </w:p>
              </w:tc>
              <w:tc>
                <w:tcPr>
                  <w:tcW w:w="706" w:type="pct"/>
                  <w:hideMark/>
                </w:tcPr>
                <w:p w14:paraId="0D08049A"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RNA binding; Zinc ion binding; Protein binding</w:t>
                  </w:r>
                </w:p>
              </w:tc>
              <w:tc>
                <w:tcPr>
                  <w:tcW w:w="574" w:type="pct"/>
                  <w:hideMark/>
                </w:tcPr>
                <w:p w14:paraId="07A54325"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c>
                <w:tcPr>
                  <w:tcW w:w="1639" w:type="pct"/>
                  <w:hideMark/>
                </w:tcPr>
                <w:p w14:paraId="6A0D9994" w14:textId="77777777" w:rsidR="00012659" w:rsidRPr="00214B75" w:rsidRDefault="00012659" w:rsidP="00012659">
                  <w:pPr>
                    <w:framePr w:hSpace="142" w:wrap="around" w:vAnchor="text" w:hAnchor="text" w:y="1"/>
                    <w:suppressOverlap/>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2"/>
                      <w:szCs w:val="12"/>
                    </w:rPr>
                  </w:pPr>
                  <w:r w:rsidRPr="00214B75">
                    <w:rPr>
                      <w:rFonts w:asciiTheme="majorHAnsi" w:hAnsiTheme="majorHAnsi" w:cstheme="majorHAnsi"/>
                      <w:color w:val="000000"/>
                      <w:sz w:val="12"/>
                      <w:szCs w:val="12"/>
                    </w:rPr>
                    <w:t>-</w:t>
                  </w:r>
                </w:p>
              </w:tc>
            </w:tr>
          </w:tbl>
          <w:p w14:paraId="213438CE" w14:textId="77777777" w:rsidR="00012659" w:rsidRPr="00214B75" w:rsidRDefault="00012659" w:rsidP="00012659">
            <w:pPr>
              <w:rPr>
                <w:sz w:val="12"/>
                <w:szCs w:val="12"/>
              </w:rPr>
            </w:pPr>
          </w:p>
        </w:tc>
      </w:tr>
    </w:tbl>
    <w:p w14:paraId="595B2BF3" w14:textId="77777777" w:rsidR="00012659" w:rsidRPr="00214B75" w:rsidRDefault="00012659" w:rsidP="00012659">
      <w:r w:rsidRPr="00214B75">
        <w:lastRenderedPageBreak/>
        <w:br w:type="textWrapping" w:clear="all"/>
      </w:r>
    </w:p>
    <w:p w14:paraId="6EA62408" w14:textId="77777777" w:rsidR="00012659" w:rsidRPr="00214B75" w:rsidRDefault="00012659" w:rsidP="0091532D">
      <w:pPr>
        <w:pStyle w:val="SMText"/>
        <w:spacing w:line="360" w:lineRule="auto"/>
      </w:pPr>
    </w:p>
    <w:p w14:paraId="5C8A3ADE" w14:textId="77777777" w:rsidR="009F61F3" w:rsidRPr="00214B75" w:rsidRDefault="009F61F3" w:rsidP="0091532D">
      <w:pPr>
        <w:pStyle w:val="SMText"/>
        <w:spacing w:line="360" w:lineRule="auto"/>
        <w:rPr>
          <w:szCs w:val="24"/>
        </w:rPr>
      </w:pPr>
    </w:p>
    <w:p w14:paraId="2B8E6132" w14:textId="0ED4B9AC" w:rsidR="00012659" w:rsidRPr="00214B75" w:rsidRDefault="00012659" w:rsidP="00012659">
      <w:pPr>
        <w:spacing w:line="360" w:lineRule="auto"/>
        <w:rPr>
          <w:b/>
          <w:color w:val="000000"/>
          <w:sz w:val="24"/>
          <w:szCs w:val="24"/>
        </w:rPr>
      </w:pPr>
      <w:r w:rsidRPr="00214B75">
        <w:rPr>
          <w:b/>
          <w:color w:val="000000"/>
          <w:sz w:val="24"/>
          <w:szCs w:val="24"/>
        </w:rPr>
        <w:t xml:space="preserve">Primer </w:t>
      </w:r>
      <w:r w:rsidR="00254D10">
        <w:rPr>
          <w:b/>
          <w:color w:val="000000"/>
          <w:sz w:val="24"/>
          <w:szCs w:val="24"/>
        </w:rPr>
        <w:t>S</w:t>
      </w:r>
      <w:r w:rsidRPr="00214B75">
        <w:rPr>
          <w:b/>
          <w:color w:val="000000"/>
          <w:sz w:val="24"/>
          <w:szCs w:val="24"/>
        </w:rPr>
        <w:t>equences</w:t>
      </w:r>
    </w:p>
    <w:p w14:paraId="1A7CC3F0" w14:textId="77777777" w:rsidR="00012659" w:rsidRPr="00214B75" w:rsidRDefault="00012659" w:rsidP="00012659">
      <w:pPr>
        <w:pStyle w:val="SMcaption"/>
        <w:spacing w:line="480" w:lineRule="auto"/>
        <w:rPr>
          <w:szCs w:val="24"/>
        </w:rPr>
      </w:pPr>
      <w:r w:rsidRPr="00214B75">
        <w:rPr>
          <w:sz w:val="22"/>
          <w:szCs w:val="22"/>
        </w:rPr>
        <w:t>Primer sequences for the amplification of DR regions to verify fixed differences</w:t>
      </w:r>
    </w:p>
    <w:tbl>
      <w:tblPr>
        <w:tblW w:w="0" w:type="auto"/>
        <w:tblCellMar>
          <w:left w:w="0" w:type="dxa"/>
          <w:right w:w="0" w:type="dxa"/>
        </w:tblCellMar>
        <w:tblLook w:val="04A0" w:firstRow="1" w:lastRow="0" w:firstColumn="1" w:lastColumn="0" w:noHBand="0" w:noVBand="1"/>
      </w:tblPr>
      <w:tblGrid>
        <w:gridCol w:w="1242"/>
        <w:gridCol w:w="4033"/>
        <w:gridCol w:w="4205"/>
      </w:tblGrid>
      <w:tr w:rsidR="00012659" w:rsidRPr="00214B75" w14:paraId="423D83C6" w14:textId="77777777" w:rsidTr="001073A5">
        <w:trPr>
          <w:trHeight w:val="195"/>
        </w:trPr>
        <w:tc>
          <w:tcPr>
            <w:tcW w:w="1320" w:type="dxa"/>
            <w:shd w:val="clear" w:color="auto" w:fill="A6AAA9"/>
            <w:tcMar>
              <w:top w:w="60" w:type="dxa"/>
              <w:left w:w="60" w:type="dxa"/>
              <w:bottom w:w="60" w:type="dxa"/>
              <w:right w:w="60" w:type="dxa"/>
            </w:tcMar>
            <w:vAlign w:val="center"/>
            <w:hideMark/>
          </w:tcPr>
          <w:p w14:paraId="3F759359" w14:textId="77777777" w:rsidR="00012659" w:rsidRPr="00214B75" w:rsidRDefault="00012659" w:rsidP="001073A5">
            <w:pPr>
              <w:pStyle w:val="Web"/>
              <w:spacing w:line="480" w:lineRule="auto"/>
              <w:rPr>
                <w:rFonts w:ascii="Helvetica" w:hAnsi="Helvetica"/>
                <w:sz w:val="18"/>
                <w:szCs w:val="18"/>
              </w:rPr>
            </w:pPr>
          </w:p>
        </w:tc>
        <w:tc>
          <w:tcPr>
            <w:tcW w:w="4155" w:type="dxa"/>
            <w:tcBorders>
              <w:left w:val="nil"/>
            </w:tcBorders>
            <w:shd w:val="clear" w:color="auto" w:fill="A6AAA9"/>
            <w:tcMar>
              <w:top w:w="60" w:type="dxa"/>
              <w:left w:w="60" w:type="dxa"/>
              <w:bottom w:w="60" w:type="dxa"/>
              <w:right w:w="60" w:type="dxa"/>
            </w:tcMar>
            <w:vAlign w:val="center"/>
            <w:hideMark/>
          </w:tcPr>
          <w:p w14:paraId="1CA289E9" w14:textId="77777777" w:rsidR="00012659" w:rsidRPr="00214B75" w:rsidRDefault="00012659" w:rsidP="001073A5">
            <w:pPr>
              <w:pStyle w:val="Web"/>
              <w:spacing w:line="480" w:lineRule="auto"/>
            </w:pPr>
            <w:r w:rsidRPr="00214B75">
              <w:rPr>
                <w:rFonts w:ascii="Arial" w:hAnsi="Arial" w:cs="Arial"/>
                <w:b/>
                <w:bCs/>
                <w:color w:val="FFFFFF"/>
                <w:sz w:val="21"/>
                <w:szCs w:val="21"/>
              </w:rPr>
              <w:t>Forward</w:t>
            </w:r>
          </w:p>
        </w:tc>
        <w:tc>
          <w:tcPr>
            <w:tcW w:w="4350" w:type="dxa"/>
            <w:tcBorders>
              <w:left w:val="nil"/>
            </w:tcBorders>
            <w:shd w:val="clear" w:color="auto" w:fill="A6AAA9"/>
            <w:tcMar>
              <w:top w:w="60" w:type="dxa"/>
              <w:left w:w="60" w:type="dxa"/>
              <w:bottom w:w="60" w:type="dxa"/>
              <w:right w:w="60" w:type="dxa"/>
            </w:tcMar>
            <w:vAlign w:val="center"/>
            <w:hideMark/>
          </w:tcPr>
          <w:p w14:paraId="22917B8D" w14:textId="77777777" w:rsidR="00012659" w:rsidRPr="00214B75" w:rsidRDefault="00012659" w:rsidP="001073A5">
            <w:pPr>
              <w:pStyle w:val="Web"/>
              <w:spacing w:line="480" w:lineRule="auto"/>
            </w:pPr>
            <w:r w:rsidRPr="00214B75">
              <w:rPr>
                <w:rFonts w:ascii="Arial" w:hAnsi="Arial" w:cs="Arial"/>
                <w:b/>
                <w:bCs/>
                <w:color w:val="FFFFFF"/>
                <w:sz w:val="21"/>
                <w:szCs w:val="21"/>
              </w:rPr>
              <w:t>Reverse</w:t>
            </w:r>
          </w:p>
        </w:tc>
      </w:tr>
      <w:tr w:rsidR="00012659" w:rsidRPr="00214B75" w14:paraId="130AB048" w14:textId="77777777" w:rsidTr="001073A5">
        <w:trPr>
          <w:trHeight w:val="210"/>
        </w:trPr>
        <w:tc>
          <w:tcPr>
            <w:tcW w:w="1305" w:type="dxa"/>
            <w:shd w:val="clear" w:color="auto" w:fill="FFFFFF"/>
            <w:tcMar>
              <w:top w:w="60" w:type="dxa"/>
              <w:left w:w="60" w:type="dxa"/>
              <w:bottom w:w="60" w:type="dxa"/>
              <w:right w:w="60" w:type="dxa"/>
            </w:tcMar>
            <w:vAlign w:val="center"/>
            <w:hideMark/>
          </w:tcPr>
          <w:p w14:paraId="4CF51B92" w14:textId="77777777" w:rsidR="00012659" w:rsidRPr="00214B75" w:rsidRDefault="00012659" w:rsidP="001073A5">
            <w:pPr>
              <w:pStyle w:val="Web"/>
              <w:spacing w:line="480" w:lineRule="auto"/>
              <w:rPr>
                <w:rFonts w:ascii="Helvetica" w:hAnsi="Helvetica"/>
                <w:sz w:val="18"/>
                <w:szCs w:val="18"/>
              </w:rPr>
            </w:pPr>
          </w:p>
        </w:tc>
        <w:tc>
          <w:tcPr>
            <w:tcW w:w="4155" w:type="dxa"/>
            <w:tcBorders>
              <w:left w:val="nil"/>
            </w:tcBorders>
            <w:shd w:val="clear" w:color="auto" w:fill="FFFFFF"/>
            <w:tcMar>
              <w:top w:w="60" w:type="dxa"/>
              <w:left w:w="60" w:type="dxa"/>
              <w:bottom w:w="60" w:type="dxa"/>
              <w:right w:w="60" w:type="dxa"/>
            </w:tcMar>
            <w:vAlign w:val="center"/>
            <w:hideMark/>
          </w:tcPr>
          <w:p w14:paraId="722F854E" w14:textId="77777777" w:rsidR="00012659" w:rsidRPr="00214B75" w:rsidRDefault="00012659" w:rsidP="001073A5">
            <w:pPr>
              <w:pStyle w:val="Web"/>
              <w:spacing w:line="480" w:lineRule="auto"/>
            </w:pPr>
            <w:r w:rsidRPr="00214B75">
              <w:rPr>
                <w:rFonts w:ascii="Arial" w:hAnsi="Arial" w:cs="Arial"/>
                <w:color w:val="000000"/>
                <w:sz w:val="17"/>
                <w:szCs w:val="17"/>
              </w:rPr>
              <w:t>5′ end to 3′ end</w:t>
            </w:r>
          </w:p>
        </w:tc>
        <w:tc>
          <w:tcPr>
            <w:tcW w:w="4350" w:type="dxa"/>
            <w:tcBorders>
              <w:left w:val="nil"/>
            </w:tcBorders>
            <w:shd w:val="clear" w:color="auto" w:fill="FFFFFF"/>
            <w:tcMar>
              <w:top w:w="60" w:type="dxa"/>
              <w:left w:w="60" w:type="dxa"/>
              <w:bottom w:w="60" w:type="dxa"/>
              <w:right w:w="60" w:type="dxa"/>
            </w:tcMar>
            <w:vAlign w:val="center"/>
            <w:hideMark/>
          </w:tcPr>
          <w:p w14:paraId="2419F64D" w14:textId="77777777" w:rsidR="00012659" w:rsidRPr="00214B75" w:rsidRDefault="00012659" w:rsidP="001073A5">
            <w:pPr>
              <w:pStyle w:val="Web"/>
              <w:spacing w:line="480" w:lineRule="auto"/>
            </w:pPr>
            <w:r w:rsidRPr="00214B75">
              <w:rPr>
                <w:rFonts w:ascii="Arial" w:hAnsi="Arial" w:cs="Arial"/>
                <w:color w:val="000000"/>
                <w:sz w:val="17"/>
                <w:szCs w:val="17"/>
              </w:rPr>
              <w:t>5′ end to 3′ end</w:t>
            </w:r>
          </w:p>
        </w:tc>
      </w:tr>
      <w:tr w:rsidR="00012659" w:rsidRPr="00214B75" w14:paraId="13125D2B" w14:textId="77777777" w:rsidTr="001073A5">
        <w:trPr>
          <w:trHeight w:val="210"/>
        </w:trPr>
        <w:tc>
          <w:tcPr>
            <w:tcW w:w="1305" w:type="dxa"/>
            <w:shd w:val="clear" w:color="auto" w:fill="DCDEE0"/>
            <w:tcMar>
              <w:top w:w="60" w:type="dxa"/>
              <w:left w:w="60" w:type="dxa"/>
              <w:bottom w:w="60" w:type="dxa"/>
              <w:right w:w="60" w:type="dxa"/>
            </w:tcMar>
            <w:vAlign w:val="center"/>
            <w:hideMark/>
          </w:tcPr>
          <w:p w14:paraId="1C197880" w14:textId="77777777" w:rsidR="00012659" w:rsidRPr="00214B75" w:rsidRDefault="00012659" w:rsidP="001073A5">
            <w:pPr>
              <w:pStyle w:val="Web"/>
              <w:spacing w:line="480" w:lineRule="auto"/>
            </w:pPr>
            <w:r w:rsidRPr="00214B75">
              <w:rPr>
                <w:rFonts w:ascii="Arial" w:hAnsi="Arial" w:cs="Arial"/>
                <w:b/>
                <w:bCs/>
                <w:color w:val="000000"/>
                <w:sz w:val="17"/>
                <w:szCs w:val="17"/>
              </w:rPr>
              <w:t>DR11</w:t>
            </w:r>
          </w:p>
        </w:tc>
        <w:tc>
          <w:tcPr>
            <w:tcW w:w="4155" w:type="dxa"/>
            <w:tcBorders>
              <w:left w:val="nil"/>
            </w:tcBorders>
            <w:shd w:val="clear" w:color="auto" w:fill="E3E5E8"/>
            <w:tcMar>
              <w:top w:w="60" w:type="dxa"/>
              <w:left w:w="60" w:type="dxa"/>
              <w:bottom w:w="60" w:type="dxa"/>
              <w:right w:w="60" w:type="dxa"/>
            </w:tcMar>
            <w:vAlign w:val="center"/>
            <w:hideMark/>
          </w:tcPr>
          <w:p w14:paraId="18307EC6" w14:textId="77777777" w:rsidR="00012659" w:rsidRPr="00214B75" w:rsidRDefault="00012659" w:rsidP="001073A5">
            <w:pPr>
              <w:pStyle w:val="Web"/>
              <w:spacing w:line="480" w:lineRule="auto"/>
            </w:pPr>
            <w:r w:rsidRPr="00214B75">
              <w:rPr>
                <w:rFonts w:ascii="Arial" w:hAnsi="Arial" w:cs="Arial"/>
                <w:color w:val="000000"/>
                <w:sz w:val="17"/>
                <w:szCs w:val="17"/>
              </w:rPr>
              <w:t>CTCTGCTGTTCTTTTAATCTTTAGG</w:t>
            </w:r>
          </w:p>
        </w:tc>
        <w:tc>
          <w:tcPr>
            <w:tcW w:w="4350" w:type="dxa"/>
            <w:tcBorders>
              <w:left w:val="nil"/>
            </w:tcBorders>
            <w:shd w:val="clear" w:color="auto" w:fill="E3E5E8"/>
            <w:tcMar>
              <w:top w:w="60" w:type="dxa"/>
              <w:left w:w="60" w:type="dxa"/>
              <w:bottom w:w="60" w:type="dxa"/>
              <w:right w:w="60" w:type="dxa"/>
            </w:tcMar>
            <w:vAlign w:val="center"/>
            <w:hideMark/>
          </w:tcPr>
          <w:p w14:paraId="177C3538" w14:textId="77777777" w:rsidR="00012659" w:rsidRPr="00214B75" w:rsidRDefault="00012659" w:rsidP="001073A5">
            <w:pPr>
              <w:pStyle w:val="Web"/>
              <w:spacing w:line="480" w:lineRule="auto"/>
            </w:pPr>
            <w:r w:rsidRPr="00214B75">
              <w:rPr>
                <w:rFonts w:ascii="Arial" w:hAnsi="Arial" w:cs="Arial"/>
                <w:color w:val="000000"/>
                <w:sz w:val="17"/>
                <w:szCs w:val="17"/>
              </w:rPr>
              <w:t>GTGTCTTTAATACGATCATGTGAG</w:t>
            </w:r>
          </w:p>
        </w:tc>
      </w:tr>
      <w:tr w:rsidR="00012659" w:rsidRPr="00214B75" w14:paraId="47BC1B8B" w14:textId="77777777" w:rsidTr="001073A5">
        <w:trPr>
          <w:trHeight w:val="210"/>
        </w:trPr>
        <w:tc>
          <w:tcPr>
            <w:tcW w:w="1305" w:type="dxa"/>
            <w:shd w:val="clear" w:color="auto" w:fill="FFFFFF"/>
            <w:tcMar>
              <w:top w:w="60" w:type="dxa"/>
              <w:left w:w="60" w:type="dxa"/>
              <w:bottom w:w="60" w:type="dxa"/>
              <w:right w:w="60" w:type="dxa"/>
            </w:tcMar>
            <w:vAlign w:val="center"/>
            <w:hideMark/>
          </w:tcPr>
          <w:p w14:paraId="428CFA76" w14:textId="77777777" w:rsidR="00012659" w:rsidRPr="00214B75" w:rsidRDefault="00012659" w:rsidP="001073A5">
            <w:pPr>
              <w:pStyle w:val="Web"/>
              <w:spacing w:line="480" w:lineRule="auto"/>
            </w:pPr>
            <w:r w:rsidRPr="00214B75">
              <w:rPr>
                <w:rFonts w:ascii="Arial" w:hAnsi="Arial" w:cs="Arial"/>
                <w:b/>
                <w:bCs/>
                <w:color w:val="000000"/>
                <w:sz w:val="17"/>
                <w:szCs w:val="17"/>
              </w:rPr>
              <w:t>DR12</w:t>
            </w:r>
          </w:p>
        </w:tc>
        <w:tc>
          <w:tcPr>
            <w:tcW w:w="4155" w:type="dxa"/>
            <w:tcBorders>
              <w:left w:val="nil"/>
            </w:tcBorders>
            <w:shd w:val="clear" w:color="auto" w:fill="FFFFFF"/>
            <w:tcMar>
              <w:top w:w="60" w:type="dxa"/>
              <w:left w:w="60" w:type="dxa"/>
              <w:bottom w:w="60" w:type="dxa"/>
              <w:right w:w="60" w:type="dxa"/>
            </w:tcMar>
            <w:vAlign w:val="center"/>
            <w:hideMark/>
          </w:tcPr>
          <w:p w14:paraId="3571516B" w14:textId="77777777" w:rsidR="00012659" w:rsidRPr="00214B75" w:rsidRDefault="00012659" w:rsidP="001073A5">
            <w:pPr>
              <w:pStyle w:val="Web"/>
              <w:spacing w:line="480" w:lineRule="auto"/>
            </w:pPr>
            <w:r w:rsidRPr="00214B75">
              <w:rPr>
                <w:rFonts w:ascii="Arial" w:hAnsi="Arial" w:cs="Arial"/>
                <w:color w:val="000000"/>
                <w:sz w:val="17"/>
                <w:szCs w:val="17"/>
              </w:rPr>
              <w:t>CTGAGGTATGACTAGCATTACTG</w:t>
            </w:r>
          </w:p>
        </w:tc>
        <w:tc>
          <w:tcPr>
            <w:tcW w:w="4350" w:type="dxa"/>
            <w:tcBorders>
              <w:left w:val="nil"/>
            </w:tcBorders>
            <w:shd w:val="clear" w:color="auto" w:fill="FFFFFF"/>
            <w:tcMar>
              <w:top w:w="60" w:type="dxa"/>
              <w:left w:w="60" w:type="dxa"/>
              <w:bottom w:w="60" w:type="dxa"/>
              <w:right w:w="60" w:type="dxa"/>
            </w:tcMar>
            <w:vAlign w:val="center"/>
            <w:hideMark/>
          </w:tcPr>
          <w:p w14:paraId="574D3376" w14:textId="77777777" w:rsidR="00012659" w:rsidRPr="00214B75" w:rsidRDefault="00012659" w:rsidP="001073A5">
            <w:pPr>
              <w:pStyle w:val="Web"/>
              <w:spacing w:line="480" w:lineRule="auto"/>
            </w:pPr>
            <w:r w:rsidRPr="00214B75">
              <w:rPr>
                <w:rFonts w:ascii="Arial" w:hAnsi="Arial" w:cs="Arial"/>
                <w:color w:val="000000"/>
                <w:sz w:val="17"/>
                <w:szCs w:val="17"/>
              </w:rPr>
              <w:t>CACTCAGCTGCAGTTACTTGTG</w:t>
            </w:r>
          </w:p>
        </w:tc>
      </w:tr>
      <w:tr w:rsidR="00012659" w:rsidRPr="00214B75" w14:paraId="3B93E0C5" w14:textId="77777777" w:rsidTr="001073A5">
        <w:trPr>
          <w:trHeight w:val="210"/>
        </w:trPr>
        <w:tc>
          <w:tcPr>
            <w:tcW w:w="1305" w:type="dxa"/>
            <w:shd w:val="clear" w:color="auto" w:fill="DCDEE0"/>
            <w:tcMar>
              <w:top w:w="60" w:type="dxa"/>
              <w:left w:w="60" w:type="dxa"/>
              <w:bottom w:w="60" w:type="dxa"/>
              <w:right w:w="60" w:type="dxa"/>
            </w:tcMar>
            <w:vAlign w:val="center"/>
            <w:hideMark/>
          </w:tcPr>
          <w:p w14:paraId="16798FFF" w14:textId="77777777" w:rsidR="00012659" w:rsidRPr="00214B75" w:rsidRDefault="00012659" w:rsidP="001073A5">
            <w:pPr>
              <w:pStyle w:val="Web"/>
              <w:spacing w:line="480" w:lineRule="auto"/>
            </w:pPr>
            <w:r w:rsidRPr="00214B75">
              <w:rPr>
                <w:rFonts w:ascii="Arial" w:hAnsi="Arial" w:cs="Arial"/>
                <w:b/>
                <w:bCs/>
                <w:color w:val="000000"/>
                <w:sz w:val="17"/>
                <w:szCs w:val="17"/>
              </w:rPr>
              <w:t>DR17</w:t>
            </w:r>
          </w:p>
        </w:tc>
        <w:tc>
          <w:tcPr>
            <w:tcW w:w="4155" w:type="dxa"/>
            <w:tcBorders>
              <w:left w:val="nil"/>
            </w:tcBorders>
            <w:shd w:val="clear" w:color="auto" w:fill="E3E5E8"/>
            <w:tcMar>
              <w:top w:w="60" w:type="dxa"/>
              <w:left w:w="60" w:type="dxa"/>
              <w:bottom w:w="60" w:type="dxa"/>
              <w:right w:w="60" w:type="dxa"/>
            </w:tcMar>
            <w:vAlign w:val="center"/>
            <w:hideMark/>
          </w:tcPr>
          <w:p w14:paraId="5095DDB6" w14:textId="77777777" w:rsidR="00012659" w:rsidRPr="00214B75" w:rsidRDefault="00012659" w:rsidP="001073A5">
            <w:pPr>
              <w:pStyle w:val="Web"/>
              <w:spacing w:line="480" w:lineRule="auto"/>
            </w:pPr>
            <w:r w:rsidRPr="00214B75">
              <w:rPr>
                <w:rFonts w:ascii="Arial" w:hAnsi="Arial" w:cs="Arial"/>
                <w:color w:val="000000"/>
                <w:sz w:val="17"/>
                <w:szCs w:val="17"/>
              </w:rPr>
              <w:t>CTTTGCACACGCTCATCAGTGT</w:t>
            </w:r>
          </w:p>
        </w:tc>
        <w:tc>
          <w:tcPr>
            <w:tcW w:w="4350" w:type="dxa"/>
            <w:tcBorders>
              <w:left w:val="nil"/>
            </w:tcBorders>
            <w:shd w:val="clear" w:color="auto" w:fill="E3E5E8"/>
            <w:tcMar>
              <w:top w:w="60" w:type="dxa"/>
              <w:left w:w="60" w:type="dxa"/>
              <w:bottom w:w="60" w:type="dxa"/>
              <w:right w:w="60" w:type="dxa"/>
            </w:tcMar>
            <w:vAlign w:val="center"/>
            <w:hideMark/>
          </w:tcPr>
          <w:p w14:paraId="2067722D" w14:textId="77777777" w:rsidR="00012659" w:rsidRPr="00214B75" w:rsidRDefault="00012659" w:rsidP="001073A5">
            <w:pPr>
              <w:pStyle w:val="Web"/>
              <w:spacing w:line="480" w:lineRule="auto"/>
            </w:pPr>
            <w:r w:rsidRPr="00214B75">
              <w:rPr>
                <w:rFonts w:ascii="Arial" w:hAnsi="Arial" w:cs="Arial"/>
                <w:color w:val="000000"/>
                <w:sz w:val="17"/>
                <w:szCs w:val="17"/>
              </w:rPr>
              <w:t>TAAATGGAGGTATAGCCACTCAC</w:t>
            </w:r>
          </w:p>
        </w:tc>
      </w:tr>
      <w:tr w:rsidR="00012659" w:rsidRPr="00214B75" w14:paraId="22D43151" w14:textId="77777777" w:rsidTr="001073A5">
        <w:trPr>
          <w:trHeight w:val="210"/>
        </w:trPr>
        <w:tc>
          <w:tcPr>
            <w:tcW w:w="1305" w:type="dxa"/>
            <w:tcBorders>
              <w:bottom w:val="nil"/>
            </w:tcBorders>
            <w:shd w:val="clear" w:color="auto" w:fill="FFFFFF"/>
            <w:tcMar>
              <w:top w:w="60" w:type="dxa"/>
              <w:left w:w="60" w:type="dxa"/>
              <w:bottom w:w="60" w:type="dxa"/>
              <w:right w:w="60" w:type="dxa"/>
            </w:tcMar>
            <w:vAlign w:val="center"/>
            <w:hideMark/>
          </w:tcPr>
          <w:p w14:paraId="3322B6CA" w14:textId="77777777" w:rsidR="00012659" w:rsidRPr="00214B75" w:rsidRDefault="00012659" w:rsidP="001073A5">
            <w:pPr>
              <w:pStyle w:val="Web"/>
              <w:spacing w:line="480" w:lineRule="auto"/>
            </w:pPr>
            <w:r w:rsidRPr="00214B75">
              <w:rPr>
                <w:rFonts w:ascii="Arial" w:hAnsi="Arial" w:cs="Arial"/>
                <w:b/>
                <w:bCs/>
                <w:color w:val="000000"/>
                <w:sz w:val="17"/>
                <w:szCs w:val="17"/>
              </w:rPr>
              <w:t>DR19</w:t>
            </w:r>
          </w:p>
        </w:tc>
        <w:tc>
          <w:tcPr>
            <w:tcW w:w="4155" w:type="dxa"/>
            <w:tcBorders>
              <w:left w:val="nil"/>
              <w:bottom w:val="nil"/>
            </w:tcBorders>
            <w:shd w:val="clear" w:color="auto" w:fill="FFFFFF"/>
            <w:tcMar>
              <w:top w:w="60" w:type="dxa"/>
              <w:left w:w="60" w:type="dxa"/>
              <w:bottom w:w="60" w:type="dxa"/>
              <w:right w:w="60" w:type="dxa"/>
            </w:tcMar>
            <w:vAlign w:val="center"/>
            <w:hideMark/>
          </w:tcPr>
          <w:p w14:paraId="55CB3953" w14:textId="77777777" w:rsidR="00012659" w:rsidRPr="00214B75" w:rsidRDefault="00012659" w:rsidP="001073A5">
            <w:pPr>
              <w:pStyle w:val="Web"/>
              <w:spacing w:line="480" w:lineRule="auto"/>
            </w:pPr>
            <w:r w:rsidRPr="00214B75">
              <w:rPr>
                <w:rFonts w:ascii="Arial" w:hAnsi="Arial" w:cs="Arial"/>
                <w:color w:val="000000"/>
                <w:sz w:val="17"/>
                <w:szCs w:val="17"/>
              </w:rPr>
              <w:t>TTCTTGCAGTTAGAGATGCAATCG</w:t>
            </w:r>
          </w:p>
        </w:tc>
        <w:tc>
          <w:tcPr>
            <w:tcW w:w="4350" w:type="dxa"/>
            <w:tcBorders>
              <w:left w:val="nil"/>
            </w:tcBorders>
            <w:shd w:val="clear" w:color="auto" w:fill="FFFFFF"/>
            <w:tcMar>
              <w:top w:w="60" w:type="dxa"/>
              <w:left w:w="60" w:type="dxa"/>
              <w:bottom w:w="60" w:type="dxa"/>
              <w:right w:w="60" w:type="dxa"/>
            </w:tcMar>
            <w:vAlign w:val="center"/>
            <w:hideMark/>
          </w:tcPr>
          <w:p w14:paraId="70630C1A" w14:textId="77777777" w:rsidR="00012659" w:rsidRPr="00214B75" w:rsidRDefault="00012659" w:rsidP="001073A5">
            <w:pPr>
              <w:pStyle w:val="Web"/>
              <w:spacing w:line="480" w:lineRule="auto"/>
            </w:pPr>
            <w:r w:rsidRPr="00214B75">
              <w:rPr>
                <w:rFonts w:ascii="Arial" w:hAnsi="Arial" w:cs="Arial"/>
                <w:color w:val="000000"/>
                <w:sz w:val="17"/>
                <w:szCs w:val="17"/>
              </w:rPr>
              <w:t>AGTCTGTACATGCTCTGCAACTTG</w:t>
            </w:r>
          </w:p>
        </w:tc>
      </w:tr>
    </w:tbl>
    <w:p w14:paraId="4174AB3F" w14:textId="77777777" w:rsidR="00012659" w:rsidRPr="00214B75" w:rsidRDefault="00012659" w:rsidP="00012659">
      <w:pPr>
        <w:spacing w:line="480" w:lineRule="auto"/>
        <w:rPr>
          <w:sz w:val="24"/>
          <w:szCs w:val="24"/>
        </w:rPr>
      </w:pPr>
    </w:p>
    <w:p w14:paraId="42A730A2" w14:textId="77777777" w:rsidR="00012659" w:rsidRPr="00214B75" w:rsidRDefault="00012659" w:rsidP="00012659">
      <w:pPr>
        <w:pStyle w:val="SMcaption"/>
        <w:spacing w:line="480" w:lineRule="auto"/>
        <w:rPr>
          <w:sz w:val="22"/>
          <w:szCs w:val="22"/>
        </w:rPr>
      </w:pPr>
      <w:r w:rsidRPr="00214B75">
        <w:rPr>
          <w:sz w:val="22"/>
          <w:szCs w:val="22"/>
        </w:rPr>
        <w:lastRenderedPageBreak/>
        <w:t>Primer sequences for the amplification of DR regions to construct phylogenetic trees</w:t>
      </w:r>
    </w:p>
    <w:tbl>
      <w:tblPr>
        <w:tblW w:w="0" w:type="auto"/>
        <w:tblCellMar>
          <w:left w:w="0" w:type="dxa"/>
          <w:right w:w="0" w:type="dxa"/>
        </w:tblCellMar>
        <w:tblLook w:val="04A0" w:firstRow="1" w:lastRow="0" w:firstColumn="1" w:lastColumn="0" w:noHBand="0" w:noVBand="1"/>
      </w:tblPr>
      <w:tblGrid>
        <w:gridCol w:w="1215"/>
        <w:gridCol w:w="3990"/>
        <w:gridCol w:w="4110"/>
      </w:tblGrid>
      <w:tr w:rsidR="00012659" w:rsidRPr="00214B75" w14:paraId="2F13BD24" w14:textId="77777777" w:rsidTr="001073A5">
        <w:trPr>
          <w:trHeight w:val="195"/>
        </w:trPr>
        <w:tc>
          <w:tcPr>
            <w:tcW w:w="1215" w:type="dxa"/>
            <w:tcBorders>
              <w:bottom w:val="single" w:sz="6" w:space="0" w:color="auto"/>
            </w:tcBorders>
            <w:shd w:val="clear" w:color="auto" w:fill="A6AAA9"/>
            <w:tcMar>
              <w:top w:w="60" w:type="dxa"/>
              <w:left w:w="60" w:type="dxa"/>
              <w:bottom w:w="60" w:type="dxa"/>
              <w:right w:w="60" w:type="dxa"/>
            </w:tcMar>
            <w:vAlign w:val="center"/>
            <w:hideMark/>
          </w:tcPr>
          <w:p w14:paraId="230192F1" w14:textId="77777777" w:rsidR="00012659" w:rsidRPr="00214B75" w:rsidRDefault="00012659" w:rsidP="001073A5">
            <w:pPr>
              <w:spacing w:line="480" w:lineRule="auto"/>
              <w:rPr>
                <w:rFonts w:ascii="Helvetica" w:hAnsi="Helvetica"/>
                <w:sz w:val="18"/>
                <w:szCs w:val="18"/>
                <w:lang w:eastAsia="ja-JP"/>
              </w:rPr>
            </w:pPr>
          </w:p>
        </w:tc>
        <w:tc>
          <w:tcPr>
            <w:tcW w:w="3990" w:type="dxa"/>
            <w:tcBorders>
              <w:left w:val="nil"/>
              <w:bottom w:val="single" w:sz="6" w:space="0" w:color="auto"/>
            </w:tcBorders>
            <w:shd w:val="clear" w:color="auto" w:fill="A6AAA9"/>
            <w:tcMar>
              <w:top w:w="60" w:type="dxa"/>
              <w:left w:w="60" w:type="dxa"/>
              <w:bottom w:w="60" w:type="dxa"/>
              <w:right w:w="60" w:type="dxa"/>
            </w:tcMar>
            <w:vAlign w:val="center"/>
            <w:hideMark/>
          </w:tcPr>
          <w:p w14:paraId="0E6EE419" w14:textId="77777777" w:rsidR="00012659" w:rsidRPr="00214B75" w:rsidRDefault="00012659" w:rsidP="001073A5">
            <w:pPr>
              <w:spacing w:line="480" w:lineRule="auto"/>
              <w:rPr>
                <w:rFonts w:ascii="Times" w:hAnsi="Times"/>
                <w:lang w:eastAsia="ja-JP"/>
              </w:rPr>
            </w:pPr>
            <w:r w:rsidRPr="00214B75">
              <w:rPr>
                <w:rFonts w:ascii="Arial" w:hAnsi="Arial" w:cs="Arial"/>
                <w:b/>
                <w:bCs/>
                <w:color w:val="FFFFFF"/>
                <w:sz w:val="21"/>
                <w:szCs w:val="21"/>
                <w:lang w:eastAsia="ja-JP"/>
              </w:rPr>
              <w:t>Forward</w:t>
            </w:r>
          </w:p>
        </w:tc>
        <w:tc>
          <w:tcPr>
            <w:tcW w:w="4110" w:type="dxa"/>
            <w:tcBorders>
              <w:left w:val="nil"/>
              <w:bottom w:val="single" w:sz="6" w:space="0" w:color="auto"/>
            </w:tcBorders>
            <w:shd w:val="clear" w:color="auto" w:fill="A6AAA9"/>
            <w:tcMar>
              <w:top w:w="60" w:type="dxa"/>
              <w:left w:w="60" w:type="dxa"/>
              <w:bottom w:w="60" w:type="dxa"/>
              <w:right w:w="60" w:type="dxa"/>
            </w:tcMar>
            <w:vAlign w:val="center"/>
            <w:hideMark/>
          </w:tcPr>
          <w:p w14:paraId="4F313D91" w14:textId="77777777" w:rsidR="00012659" w:rsidRPr="00214B75" w:rsidRDefault="00012659" w:rsidP="001073A5">
            <w:pPr>
              <w:spacing w:line="480" w:lineRule="auto"/>
              <w:rPr>
                <w:rFonts w:ascii="Times" w:hAnsi="Times"/>
                <w:lang w:eastAsia="ja-JP"/>
              </w:rPr>
            </w:pPr>
            <w:r w:rsidRPr="00214B75">
              <w:rPr>
                <w:rFonts w:ascii="Arial" w:hAnsi="Arial" w:cs="Arial"/>
                <w:b/>
                <w:bCs/>
                <w:color w:val="FFFFFF"/>
                <w:sz w:val="21"/>
                <w:szCs w:val="21"/>
                <w:lang w:eastAsia="ja-JP"/>
              </w:rPr>
              <w:t>Reverse</w:t>
            </w:r>
          </w:p>
        </w:tc>
      </w:tr>
      <w:tr w:rsidR="00012659" w:rsidRPr="00214B75" w14:paraId="320DEE9F" w14:textId="77777777" w:rsidTr="001073A5">
        <w:trPr>
          <w:trHeight w:val="210"/>
        </w:trPr>
        <w:tc>
          <w:tcPr>
            <w:tcW w:w="1200" w:type="dxa"/>
            <w:tcBorders>
              <w:top w:val="single" w:sz="6" w:space="0" w:color="auto"/>
            </w:tcBorders>
            <w:shd w:val="clear" w:color="auto" w:fill="FFFFFF"/>
            <w:tcMar>
              <w:top w:w="60" w:type="dxa"/>
              <w:left w:w="60" w:type="dxa"/>
              <w:bottom w:w="60" w:type="dxa"/>
              <w:right w:w="60" w:type="dxa"/>
            </w:tcMar>
            <w:vAlign w:val="center"/>
            <w:hideMark/>
          </w:tcPr>
          <w:p w14:paraId="234BE346" w14:textId="77777777" w:rsidR="00012659" w:rsidRPr="00214B75" w:rsidRDefault="00012659" w:rsidP="001073A5">
            <w:pPr>
              <w:spacing w:line="480" w:lineRule="auto"/>
              <w:rPr>
                <w:rFonts w:ascii="Helvetica" w:hAnsi="Helvetica"/>
                <w:sz w:val="18"/>
                <w:szCs w:val="18"/>
                <w:lang w:eastAsia="ja-JP"/>
              </w:rPr>
            </w:pPr>
          </w:p>
        </w:tc>
        <w:tc>
          <w:tcPr>
            <w:tcW w:w="3990" w:type="dxa"/>
            <w:tcBorders>
              <w:top w:val="single" w:sz="6" w:space="0" w:color="auto"/>
              <w:left w:val="nil"/>
            </w:tcBorders>
            <w:shd w:val="clear" w:color="auto" w:fill="FFFFFF"/>
            <w:tcMar>
              <w:top w:w="60" w:type="dxa"/>
              <w:left w:w="60" w:type="dxa"/>
              <w:bottom w:w="60" w:type="dxa"/>
              <w:right w:w="60" w:type="dxa"/>
            </w:tcMar>
            <w:vAlign w:val="center"/>
            <w:hideMark/>
          </w:tcPr>
          <w:p w14:paraId="315ABC10"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5′ end to 3′ end</w:t>
            </w:r>
          </w:p>
        </w:tc>
        <w:tc>
          <w:tcPr>
            <w:tcW w:w="4110" w:type="dxa"/>
            <w:tcBorders>
              <w:top w:val="single" w:sz="6" w:space="0" w:color="auto"/>
              <w:left w:val="nil"/>
            </w:tcBorders>
            <w:shd w:val="clear" w:color="auto" w:fill="FFFFFF"/>
            <w:tcMar>
              <w:top w:w="60" w:type="dxa"/>
              <w:left w:w="60" w:type="dxa"/>
              <w:bottom w:w="60" w:type="dxa"/>
              <w:right w:w="60" w:type="dxa"/>
            </w:tcMar>
            <w:vAlign w:val="center"/>
            <w:hideMark/>
          </w:tcPr>
          <w:p w14:paraId="00ED7E2B"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5′ end to 3′ end</w:t>
            </w:r>
          </w:p>
        </w:tc>
      </w:tr>
      <w:tr w:rsidR="00012659" w:rsidRPr="00214B75" w14:paraId="35A6E5BC" w14:textId="77777777" w:rsidTr="001073A5">
        <w:trPr>
          <w:trHeight w:val="210"/>
        </w:trPr>
        <w:tc>
          <w:tcPr>
            <w:tcW w:w="1200" w:type="dxa"/>
            <w:shd w:val="clear" w:color="auto" w:fill="DCDEE0"/>
            <w:tcMar>
              <w:top w:w="60" w:type="dxa"/>
              <w:left w:w="60" w:type="dxa"/>
              <w:bottom w:w="60" w:type="dxa"/>
              <w:right w:w="60" w:type="dxa"/>
            </w:tcMar>
            <w:vAlign w:val="center"/>
            <w:hideMark/>
          </w:tcPr>
          <w:p w14:paraId="5B8809AD"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DR2</w:t>
            </w:r>
          </w:p>
        </w:tc>
        <w:tc>
          <w:tcPr>
            <w:tcW w:w="3990" w:type="dxa"/>
            <w:tcBorders>
              <w:left w:val="nil"/>
            </w:tcBorders>
            <w:shd w:val="clear" w:color="auto" w:fill="E3E5E8"/>
            <w:tcMar>
              <w:top w:w="60" w:type="dxa"/>
              <w:left w:w="60" w:type="dxa"/>
              <w:bottom w:w="60" w:type="dxa"/>
              <w:right w:w="60" w:type="dxa"/>
            </w:tcMar>
            <w:vAlign w:val="center"/>
            <w:hideMark/>
          </w:tcPr>
          <w:p w14:paraId="0CE814DE"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TTCACTGAGCTCTCAGGTGAGT</w:t>
            </w:r>
          </w:p>
        </w:tc>
        <w:tc>
          <w:tcPr>
            <w:tcW w:w="4110" w:type="dxa"/>
            <w:tcBorders>
              <w:left w:val="nil"/>
            </w:tcBorders>
            <w:shd w:val="clear" w:color="auto" w:fill="E3E5E8"/>
            <w:tcMar>
              <w:top w:w="60" w:type="dxa"/>
              <w:left w:w="60" w:type="dxa"/>
              <w:bottom w:w="60" w:type="dxa"/>
              <w:right w:w="60" w:type="dxa"/>
            </w:tcMar>
            <w:vAlign w:val="center"/>
            <w:hideMark/>
          </w:tcPr>
          <w:p w14:paraId="3E7550BB"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GTCCATAATACACCTCTCTTG</w:t>
            </w:r>
          </w:p>
        </w:tc>
      </w:tr>
      <w:tr w:rsidR="00012659" w:rsidRPr="00214B75" w14:paraId="0BA5FDE8" w14:textId="77777777" w:rsidTr="001073A5">
        <w:trPr>
          <w:trHeight w:val="210"/>
        </w:trPr>
        <w:tc>
          <w:tcPr>
            <w:tcW w:w="1200" w:type="dxa"/>
            <w:shd w:val="clear" w:color="auto" w:fill="FFFFFF"/>
            <w:tcMar>
              <w:top w:w="60" w:type="dxa"/>
              <w:left w:w="60" w:type="dxa"/>
              <w:bottom w:w="60" w:type="dxa"/>
              <w:right w:w="60" w:type="dxa"/>
            </w:tcMar>
            <w:vAlign w:val="center"/>
            <w:hideMark/>
          </w:tcPr>
          <w:p w14:paraId="5EC821EE"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DR3</w:t>
            </w:r>
          </w:p>
        </w:tc>
        <w:tc>
          <w:tcPr>
            <w:tcW w:w="3990" w:type="dxa"/>
            <w:tcBorders>
              <w:left w:val="nil"/>
            </w:tcBorders>
            <w:shd w:val="clear" w:color="auto" w:fill="FFFFFF"/>
            <w:tcMar>
              <w:top w:w="60" w:type="dxa"/>
              <w:left w:w="60" w:type="dxa"/>
              <w:bottom w:w="60" w:type="dxa"/>
              <w:right w:w="60" w:type="dxa"/>
            </w:tcMar>
            <w:vAlign w:val="center"/>
            <w:hideMark/>
          </w:tcPr>
          <w:p w14:paraId="3ECA8FFC"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ATCATGTGACACTGACTCTGTCAAG</w:t>
            </w:r>
          </w:p>
        </w:tc>
        <w:tc>
          <w:tcPr>
            <w:tcW w:w="4110" w:type="dxa"/>
            <w:tcBorders>
              <w:left w:val="nil"/>
            </w:tcBorders>
            <w:shd w:val="clear" w:color="auto" w:fill="FFFFFF"/>
            <w:tcMar>
              <w:top w:w="60" w:type="dxa"/>
              <w:left w:w="60" w:type="dxa"/>
              <w:bottom w:w="60" w:type="dxa"/>
              <w:right w:w="60" w:type="dxa"/>
            </w:tcMar>
            <w:vAlign w:val="center"/>
            <w:hideMark/>
          </w:tcPr>
          <w:p w14:paraId="7C029F4B"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CTCTCAAGGATGTTCTTGAGAATC</w:t>
            </w:r>
          </w:p>
        </w:tc>
      </w:tr>
      <w:tr w:rsidR="00012659" w:rsidRPr="00214B75" w14:paraId="1ED8A752" w14:textId="77777777" w:rsidTr="001073A5">
        <w:trPr>
          <w:trHeight w:val="210"/>
        </w:trPr>
        <w:tc>
          <w:tcPr>
            <w:tcW w:w="1200" w:type="dxa"/>
            <w:shd w:val="clear" w:color="auto" w:fill="DCDEE0"/>
            <w:tcMar>
              <w:top w:w="60" w:type="dxa"/>
              <w:left w:w="60" w:type="dxa"/>
              <w:bottom w:w="60" w:type="dxa"/>
              <w:right w:w="60" w:type="dxa"/>
            </w:tcMar>
            <w:vAlign w:val="center"/>
            <w:hideMark/>
          </w:tcPr>
          <w:p w14:paraId="7A0A51EB"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DR6</w:t>
            </w:r>
          </w:p>
        </w:tc>
        <w:tc>
          <w:tcPr>
            <w:tcW w:w="3990" w:type="dxa"/>
            <w:tcBorders>
              <w:left w:val="nil"/>
            </w:tcBorders>
            <w:shd w:val="clear" w:color="auto" w:fill="E3E5E8"/>
            <w:tcMar>
              <w:top w:w="60" w:type="dxa"/>
              <w:left w:w="60" w:type="dxa"/>
              <w:bottom w:w="60" w:type="dxa"/>
              <w:right w:w="60" w:type="dxa"/>
            </w:tcMar>
            <w:vAlign w:val="center"/>
            <w:hideMark/>
          </w:tcPr>
          <w:p w14:paraId="78F59DC0"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TCTATGAACAGGTTAGAGGTGT</w:t>
            </w:r>
          </w:p>
        </w:tc>
        <w:tc>
          <w:tcPr>
            <w:tcW w:w="4110" w:type="dxa"/>
            <w:tcBorders>
              <w:left w:val="nil"/>
            </w:tcBorders>
            <w:shd w:val="clear" w:color="auto" w:fill="E3E5E8"/>
            <w:tcMar>
              <w:top w:w="60" w:type="dxa"/>
              <w:left w:w="60" w:type="dxa"/>
              <w:bottom w:w="60" w:type="dxa"/>
              <w:right w:w="60" w:type="dxa"/>
            </w:tcMar>
            <w:vAlign w:val="center"/>
            <w:hideMark/>
          </w:tcPr>
          <w:p w14:paraId="01B1D8D9"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TAAGTAACTTACCCAACACTGT</w:t>
            </w:r>
          </w:p>
        </w:tc>
      </w:tr>
      <w:tr w:rsidR="00012659" w:rsidRPr="00214B75" w14:paraId="3A98106C" w14:textId="77777777" w:rsidTr="001073A5">
        <w:trPr>
          <w:trHeight w:val="210"/>
        </w:trPr>
        <w:tc>
          <w:tcPr>
            <w:tcW w:w="1200" w:type="dxa"/>
            <w:shd w:val="clear" w:color="auto" w:fill="FFFFFF"/>
            <w:tcMar>
              <w:top w:w="60" w:type="dxa"/>
              <w:left w:w="60" w:type="dxa"/>
              <w:bottom w:w="60" w:type="dxa"/>
              <w:right w:w="60" w:type="dxa"/>
            </w:tcMar>
            <w:vAlign w:val="center"/>
            <w:hideMark/>
          </w:tcPr>
          <w:p w14:paraId="7897A7E4"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DR7</w:t>
            </w:r>
          </w:p>
        </w:tc>
        <w:tc>
          <w:tcPr>
            <w:tcW w:w="3990" w:type="dxa"/>
            <w:tcBorders>
              <w:left w:val="nil"/>
            </w:tcBorders>
            <w:shd w:val="clear" w:color="auto" w:fill="FFFFFF"/>
            <w:tcMar>
              <w:top w:w="60" w:type="dxa"/>
              <w:left w:w="60" w:type="dxa"/>
              <w:bottom w:w="60" w:type="dxa"/>
              <w:right w:w="60" w:type="dxa"/>
            </w:tcMar>
            <w:vAlign w:val="center"/>
            <w:hideMark/>
          </w:tcPr>
          <w:p w14:paraId="6D10C206"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TTTGGAGCAAGTAAGTGTTATGAG</w:t>
            </w:r>
          </w:p>
        </w:tc>
        <w:tc>
          <w:tcPr>
            <w:tcW w:w="4110" w:type="dxa"/>
            <w:tcBorders>
              <w:left w:val="nil"/>
            </w:tcBorders>
            <w:shd w:val="clear" w:color="auto" w:fill="FFFFFF"/>
            <w:tcMar>
              <w:top w:w="60" w:type="dxa"/>
              <w:left w:w="60" w:type="dxa"/>
              <w:bottom w:w="60" w:type="dxa"/>
              <w:right w:w="60" w:type="dxa"/>
            </w:tcMar>
            <w:vAlign w:val="center"/>
            <w:hideMark/>
          </w:tcPr>
          <w:p w14:paraId="36F0451C"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GACCAAAGTGTGAAATTGACAC</w:t>
            </w:r>
          </w:p>
        </w:tc>
      </w:tr>
      <w:tr w:rsidR="00012659" w:rsidRPr="00214B75" w14:paraId="3A85BD1A" w14:textId="77777777" w:rsidTr="001073A5">
        <w:trPr>
          <w:trHeight w:val="210"/>
        </w:trPr>
        <w:tc>
          <w:tcPr>
            <w:tcW w:w="1200" w:type="dxa"/>
            <w:shd w:val="clear" w:color="auto" w:fill="DCDEE0"/>
            <w:tcMar>
              <w:top w:w="60" w:type="dxa"/>
              <w:left w:w="60" w:type="dxa"/>
              <w:bottom w:w="60" w:type="dxa"/>
              <w:right w:w="60" w:type="dxa"/>
            </w:tcMar>
            <w:vAlign w:val="center"/>
            <w:hideMark/>
          </w:tcPr>
          <w:p w14:paraId="76BAE37C"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DR8</w:t>
            </w:r>
          </w:p>
        </w:tc>
        <w:tc>
          <w:tcPr>
            <w:tcW w:w="3990" w:type="dxa"/>
            <w:tcBorders>
              <w:left w:val="nil"/>
            </w:tcBorders>
            <w:shd w:val="clear" w:color="auto" w:fill="E3E5E8"/>
            <w:tcMar>
              <w:top w:w="60" w:type="dxa"/>
              <w:left w:w="60" w:type="dxa"/>
              <w:bottom w:w="60" w:type="dxa"/>
              <w:right w:w="60" w:type="dxa"/>
            </w:tcMar>
            <w:vAlign w:val="center"/>
            <w:hideMark/>
          </w:tcPr>
          <w:p w14:paraId="7AB60D98"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CTAACAAACAGACAGACAGAG</w:t>
            </w:r>
          </w:p>
        </w:tc>
        <w:tc>
          <w:tcPr>
            <w:tcW w:w="4110" w:type="dxa"/>
            <w:tcBorders>
              <w:left w:val="nil"/>
            </w:tcBorders>
            <w:shd w:val="clear" w:color="auto" w:fill="E3E5E8"/>
            <w:tcMar>
              <w:top w:w="60" w:type="dxa"/>
              <w:left w:w="60" w:type="dxa"/>
              <w:bottom w:w="60" w:type="dxa"/>
              <w:right w:w="60" w:type="dxa"/>
            </w:tcMar>
            <w:vAlign w:val="center"/>
            <w:hideMark/>
          </w:tcPr>
          <w:p w14:paraId="353482AB"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TAAGGAGCTGATTATTGCTGTTG</w:t>
            </w:r>
          </w:p>
        </w:tc>
      </w:tr>
      <w:tr w:rsidR="00012659" w:rsidRPr="00214B75" w14:paraId="654AD78D" w14:textId="77777777" w:rsidTr="001073A5">
        <w:trPr>
          <w:trHeight w:val="210"/>
        </w:trPr>
        <w:tc>
          <w:tcPr>
            <w:tcW w:w="1200" w:type="dxa"/>
            <w:shd w:val="clear" w:color="auto" w:fill="FFFFFF"/>
            <w:tcMar>
              <w:top w:w="60" w:type="dxa"/>
              <w:left w:w="60" w:type="dxa"/>
              <w:bottom w:w="60" w:type="dxa"/>
              <w:right w:w="60" w:type="dxa"/>
            </w:tcMar>
            <w:vAlign w:val="center"/>
            <w:hideMark/>
          </w:tcPr>
          <w:p w14:paraId="37B46643"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DR10</w:t>
            </w:r>
          </w:p>
        </w:tc>
        <w:tc>
          <w:tcPr>
            <w:tcW w:w="3990" w:type="dxa"/>
            <w:tcBorders>
              <w:left w:val="nil"/>
            </w:tcBorders>
            <w:shd w:val="clear" w:color="auto" w:fill="FFFFFF"/>
            <w:tcMar>
              <w:top w:w="60" w:type="dxa"/>
              <w:left w:w="60" w:type="dxa"/>
              <w:bottom w:w="60" w:type="dxa"/>
              <w:right w:w="60" w:type="dxa"/>
            </w:tcMar>
            <w:vAlign w:val="center"/>
            <w:hideMark/>
          </w:tcPr>
          <w:p w14:paraId="1EC3EDAF"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CCAGGTCACTTGATAGAACTG</w:t>
            </w:r>
          </w:p>
        </w:tc>
        <w:tc>
          <w:tcPr>
            <w:tcW w:w="4110" w:type="dxa"/>
            <w:tcBorders>
              <w:left w:val="nil"/>
            </w:tcBorders>
            <w:shd w:val="clear" w:color="auto" w:fill="FFFFFF"/>
            <w:tcMar>
              <w:top w:w="60" w:type="dxa"/>
              <w:left w:w="60" w:type="dxa"/>
              <w:bottom w:w="60" w:type="dxa"/>
              <w:right w:w="60" w:type="dxa"/>
            </w:tcMar>
            <w:vAlign w:val="center"/>
            <w:hideMark/>
          </w:tcPr>
          <w:p w14:paraId="5D822824"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GTCTGGGTCGTGTTATGTTCAG</w:t>
            </w:r>
          </w:p>
        </w:tc>
      </w:tr>
      <w:tr w:rsidR="00012659" w:rsidRPr="00214B75" w14:paraId="02C41C7A" w14:textId="77777777" w:rsidTr="001073A5">
        <w:trPr>
          <w:trHeight w:val="210"/>
        </w:trPr>
        <w:tc>
          <w:tcPr>
            <w:tcW w:w="1200" w:type="dxa"/>
            <w:shd w:val="clear" w:color="auto" w:fill="DCDEE0"/>
            <w:tcMar>
              <w:top w:w="60" w:type="dxa"/>
              <w:left w:w="60" w:type="dxa"/>
              <w:bottom w:w="60" w:type="dxa"/>
              <w:right w:w="60" w:type="dxa"/>
            </w:tcMar>
            <w:vAlign w:val="center"/>
            <w:hideMark/>
          </w:tcPr>
          <w:p w14:paraId="033C1A56"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DR11</w:t>
            </w:r>
          </w:p>
        </w:tc>
        <w:tc>
          <w:tcPr>
            <w:tcW w:w="3990" w:type="dxa"/>
            <w:tcBorders>
              <w:left w:val="nil"/>
            </w:tcBorders>
            <w:shd w:val="clear" w:color="auto" w:fill="E3E5E8"/>
            <w:tcMar>
              <w:top w:w="60" w:type="dxa"/>
              <w:left w:w="60" w:type="dxa"/>
              <w:bottom w:w="60" w:type="dxa"/>
              <w:right w:w="60" w:type="dxa"/>
            </w:tcMar>
            <w:vAlign w:val="center"/>
            <w:hideMark/>
          </w:tcPr>
          <w:p w14:paraId="33CB0E1D"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TAACAGAGCTGAAGCAGTTAGAG</w:t>
            </w:r>
          </w:p>
        </w:tc>
        <w:tc>
          <w:tcPr>
            <w:tcW w:w="4110" w:type="dxa"/>
            <w:tcBorders>
              <w:left w:val="nil"/>
            </w:tcBorders>
            <w:shd w:val="clear" w:color="auto" w:fill="E3E5E8"/>
            <w:tcMar>
              <w:top w:w="60" w:type="dxa"/>
              <w:left w:w="60" w:type="dxa"/>
              <w:bottom w:w="60" w:type="dxa"/>
              <w:right w:w="60" w:type="dxa"/>
            </w:tcMar>
            <w:vAlign w:val="center"/>
            <w:hideMark/>
          </w:tcPr>
          <w:p w14:paraId="0FE94336"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ATTCCTCTCCAACTGCTCTACTG</w:t>
            </w:r>
          </w:p>
        </w:tc>
      </w:tr>
      <w:tr w:rsidR="00012659" w:rsidRPr="00214B75" w14:paraId="6D7F2BE9" w14:textId="77777777" w:rsidTr="001073A5">
        <w:trPr>
          <w:trHeight w:val="210"/>
        </w:trPr>
        <w:tc>
          <w:tcPr>
            <w:tcW w:w="1200" w:type="dxa"/>
            <w:shd w:val="clear" w:color="auto" w:fill="FFFFFF"/>
            <w:tcMar>
              <w:top w:w="60" w:type="dxa"/>
              <w:left w:w="60" w:type="dxa"/>
              <w:bottom w:w="60" w:type="dxa"/>
              <w:right w:w="60" w:type="dxa"/>
            </w:tcMar>
            <w:vAlign w:val="center"/>
            <w:hideMark/>
          </w:tcPr>
          <w:p w14:paraId="38852E17"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DR12</w:t>
            </w:r>
          </w:p>
        </w:tc>
        <w:tc>
          <w:tcPr>
            <w:tcW w:w="3990" w:type="dxa"/>
            <w:tcBorders>
              <w:left w:val="nil"/>
            </w:tcBorders>
            <w:shd w:val="clear" w:color="auto" w:fill="FFFFFF"/>
            <w:tcMar>
              <w:top w:w="60" w:type="dxa"/>
              <w:left w:w="60" w:type="dxa"/>
              <w:bottom w:w="60" w:type="dxa"/>
              <w:right w:w="60" w:type="dxa"/>
            </w:tcMar>
            <w:vAlign w:val="center"/>
            <w:hideMark/>
          </w:tcPr>
          <w:p w14:paraId="684603EB"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GTGATAGCTACATCTTTCCTACT</w:t>
            </w:r>
          </w:p>
        </w:tc>
        <w:tc>
          <w:tcPr>
            <w:tcW w:w="4110" w:type="dxa"/>
            <w:tcBorders>
              <w:left w:val="nil"/>
            </w:tcBorders>
            <w:shd w:val="clear" w:color="auto" w:fill="FFFFFF"/>
            <w:tcMar>
              <w:top w:w="60" w:type="dxa"/>
              <w:left w:w="60" w:type="dxa"/>
              <w:bottom w:w="60" w:type="dxa"/>
              <w:right w:w="60" w:type="dxa"/>
            </w:tcMar>
            <w:vAlign w:val="center"/>
            <w:hideMark/>
          </w:tcPr>
          <w:p w14:paraId="61113DDD"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ATAGTTTCTCTCTGAGTGTAACTG</w:t>
            </w:r>
          </w:p>
        </w:tc>
      </w:tr>
      <w:tr w:rsidR="00012659" w:rsidRPr="00214B75" w14:paraId="767832BD" w14:textId="77777777" w:rsidTr="001073A5">
        <w:trPr>
          <w:trHeight w:val="210"/>
        </w:trPr>
        <w:tc>
          <w:tcPr>
            <w:tcW w:w="1200" w:type="dxa"/>
            <w:shd w:val="clear" w:color="auto" w:fill="DCDEE0"/>
            <w:tcMar>
              <w:top w:w="60" w:type="dxa"/>
              <w:left w:w="60" w:type="dxa"/>
              <w:bottom w:w="60" w:type="dxa"/>
              <w:right w:w="60" w:type="dxa"/>
            </w:tcMar>
            <w:vAlign w:val="center"/>
            <w:hideMark/>
          </w:tcPr>
          <w:p w14:paraId="42C487AD"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DR14</w:t>
            </w:r>
          </w:p>
        </w:tc>
        <w:tc>
          <w:tcPr>
            <w:tcW w:w="3990" w:type="dxa"/>
            <w:tcBorders>
              <w:left w:val="nil"/>
            </w:tcBorders>
            <w:shd w:val="clear" w:color="auto" w:fill="E3E5E8"/>
            <w:tcMar>
              <w:top w:w="60" w:type="dxa"/>
              <w:left w:w="60" w:type="dxa"/>
              <w:bottom w:w="60" w:type="dxa"/>
              <w:right w:w="60" w:type="dxa"/>
            </w:tcMar>
            <w:vAlign w:val="center"/>
            <w:hideMark/>
          </w:tcPr>
          <w:p w14:paraId="0895BF68"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ACCAGCTGTGTAGTGTTCAG</w:t>
            </w:r>
          </w:p>
        </w:tc>
        <w:tc>
          <w:tcPr>
            <w:tcW w:w="4110" w:type="dxa"/>
            <w:tcBorders>
              <w:left w:val="nil"/>
            </w:tcBorders>
            <w:shd w:val="clear" w:color="auto" w:fill="E3E5E8"/>
            <w:tcMar>
              <w:top w:w="60" w:type="dxa"/>
              <w:left w:w="60" w:type="dxa"/>
              <w:bottom w:w="60" w:type="dxa"/>
              <w:right w:w="60" w:type="dxa"/>
            </w:tcMar>
            <w:vAlign w:val="center"/>
            <w:hideMark/>
          </w:tcPr>
          <w:p w14:paraId="73DCBE29"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GAGAAATATCAGGGTAGTCTTTG</w:t>
            </w:r>
          </w:p>
        </w:tc>
      </w:tr>
      <w:tr w:rsidR="00012659" w:rsidRPr="00214B75" w14:paraId="0F11F6B7" w14:textId="77777777" w:rsidTr="001073A5">
        <w:trPr>
          <w:trHeight w:val="210"/>
        </w:trPr>
        <w:tc>
          <w:tcPr>
            <w:tcW w:w="1200" w:type="dxa"/>
            <w:shd w:val="clear" w:color="auto" w:fill="FFFFFF"/>
            <w:tcMar>
              <w:top w:w="60" w:type="dxa"/>
              <w:left w:w="60" w:type="dxa"/>
              <w:bottom w:w="60" w:type="dxa"/>
              <w:right w:w="60" w:type="dxa"/>
            </w:tcMar>
            <w:vAlign w:val="center"/>
            <w:hideMark/>
          </w:tcPr>
          <w:p w14:paraId="7C3F62A2"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DR15</w:t>
            </w:r>
          </w:p>
        </w:tc>
        <w:tc>
          <w:tcPr>
            <w:tcW w:w="3990" w:type="dxa"/>
            <w:tcBorders>
              <w:left w:val="nil"/>
            </w:tcBorders>
            <w:shd w:val="clear" w:color="auto" w:fill="FFFFFF"/>
            <w:tcMar>
              <w:top w:w="60" w:type="dxa"/>
              <w:left w:w="60" w:type="dxa"/>
              <w:bottom w:w="60" w:type="dxa"/>
              <w:right w:w="60" w:type="dxa"/>
            </w:tcMar>
            <w:vAlign w:val="center"/>
            <w:hideMark/>
          </w:tcPr>
          <w:p w14:paraId="26B7E94C"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GCCAAGTTTCCACCATGTTTG</w:t>
            </w:r>
          </w:p>
        </w:tc>
        <w:tc>
          <w:tcPr>
            <w:tcW w:w="4110" w:type="dxa"/>
            <w:tcBorders>
              <w:left w:val="nil"/>
            </w:tcBorders>
            <w:shd w:val="clear" w:color="auto" w:fill="FFFFFF"/>
            <w:tcMar>
              <w:top w:w="60" w:type="dxa"/>
              <w:left w:w="60" w:type="dxa"/>
              <w:bottom w:w="60" w:type="dxa"/>
              <w:right w:w="60" w:type="dxa"/>
            </w:tcMar>
            <w:vAlign w:val="center"/>
            <w:hideMark/>
          </w:tcPr>
          <w:p w14:paraId="787DD99B"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CTTAAAACTGGCACAATGAATTCAG</w:t>
            </w:r>
          </w:p>
        </w:tc>
      </w:tr>
      <w:tr w:rsidR="00012659" w:rsidRPr="00214B75" w14:paraId="1A3A3683" w14:textId="77777777" w:rsidTr="001073A5">
        <w:trPr>
          <w:trHeight w:val="210"/>
        </w:trPr>
        <w:tc>
          <w:tcPr>
            <w:tcW w:w="1200" w:type="dxa"/>
            <w:shd w:val="clear" w:color="auto" w:fill="DCDEE0"/>
            <w:tcMar>
              <w:top w:w="60" w:type="dxa"/>
              <w:left w:w="60" w:type="dxa"/>
              <w:bottom w:w="60" w:type="dxa"/>
              <w:right w:w="60" w:type="dxa"/>
            </w:tcMar>
            <w:vAlign w:val="center"/>
            <w:hideMark/>
          </w:tcPr>
          <w:p w14:paraId="3F327112"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DR16</w:t>
            </w:r>
          </w:p>
        </w:tc>
        <w:tc>
          <w:tcPr>
            <w:tcW w:w="3990" w:type="dxa"/>
            <w:tcBorders>
              <w:left w:val="nil"/>
            </w:tcBorders>
            <w:shd w:val="clear" w:color="auto" w:fill="E3E5E8"/>
            <w:tcMar>
              <w:top w:w="60" w:type="dxa"/>
              <w:left w:w="60" w:type="dxa"/>
              <w:bottom w:w="60" w:type="dxa"/>
              <w:right w:w="60" w:type="dxa"/>
            </w:tcMar>
            <w:vAlign w:val="center"/>
            <w:hideMark/>
          </w:tcPr>
          <w:p w14:paraId="0D2887EC"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CTGTAATATGGTATGTCATCTG</w:t>
            </w:r>
          </w:p>
        </w:tc>
        <w:tc>
          <w:tcPr>
            <w:tcW w:w="4110" w:type="dxa"/>
            <w:tcBorders>
              <w:left w:val="nil"/>
            </w:tcBorders>
            <w:shd w:val="clear" w:color="auto" w:fill="E3E5E8"/>
            <w:tcMar>
              <w:top w:w="60" w:type="dxa"/>
              <w:left w:w="60" w:type="dxa"/>
              <w:bottom w:w="60" w:type="dxa"/>
              <w:right w:w="60" w:type="dxa"/>
            </w:tcMar>
            <w:vAlign w:val="center"/>
            <w:hideMark/>
          </w:tcPr>
          <w:p w14:paraId="66F32E0A"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GATAAAGTGACAGACACGTATCTAG</w:t>
            </w:r>
          </w:p>
        </w:tc>
      </w:tr>
      <w:tr w:rsidR="00012659" w:rsidRPr="00214B75" w14:paraId="66EAEEBA" w14:textId="77777777" w:rsidTr="001073A5">
        <w:trPr>
          <w:trHeight w:val="210"/>
        </w:trPr>
        <w:tc>
          <w:tcPr>
            <w:tcW w:w="1200" w:type="dxa"/>
            <w:shd w:val="clear" w:color="auto" w:fill="FFFFFF"/>
            <w:tcMar>
              <w:top w:w="60" w:type="dxa"/>
              <w:left w:w="60" w:type="dxa"/>
              <w:bottom w:w="60" w:type="dxa"/>
              <w:right w:w="60" w:type="dxa"/>
            </w:tcMar>
            <w:vAlign w:val="center"/>
            <w:hideMark/>
          </w:tcPr>
          <w:p w14:paraId="464A0340"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DR17</w:t>
            </w:r>
          </w:p>
        </w:tc>
        <w:tc>
          <w:tcPr>
            <w:tcW w:w="3990" w:type="dxa"/>
            <w:tcBorders>
              <w:left w:val="nil"/>
            </w:tcBorders>
            <w:shd w:val="clear" w:color="auto" w:fill="FFFFFF"/>
            <w:tcMar>
              <w:top w:w="60" w:type="dxa"/>
              <w:left w:w="60" w:type="dxa"/>
              <w:bottom w:w="60" w:type="dxa"/>
              <w:right w:w="60" w:type="dxa"/>
            </w:tcMar>
            <w:vAlign w:val="center"/>
            <w:hideMark/>
          </w:tcPr>
          <w:p w14:paraId="206B88EA"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TCTACTGTAACTCAGACTGTAG</w:t>
            </w:r>
          </w:p>
        </w:tc>
        <w:tc>
          <w:tcPr>
            <w:tcW w:w="4110" w:type="dxa"/>
            <w:tcBorders>
              <w:left w:val="nil"/>
            </w:tcBorders>
            <w:shd w:val="clear" w:color="auto" w:fill="FFFFFF"/>
            <w:tcMar>
              <w:top w:w="60" w:type="dxa"/>
              <w:left w:w="60" w:type="dxa"/>
              <w:bottom w:w="60" w:type="dxa"/>
              <w:right w:w="60" w:type="dxa"/>
            </w:tcMar>
            <w:vAlign w:val="center"/>
            <w:hideMark/>
          </w:tcPr>
          <w:p w14:paraId="58704A9B"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TGCACAAATGACTGTCTGCAAAC</w:t>
            </w:r>
          </w:p>
        </w:tc>
      </w:tr>
      <w:tr w:rsidR="00012659" w:rsidRPr="00214B75" w14:paraId="06BD4432" w14:textId="77777777" w:rsidTr="001073A5">
        <w:trPr>
          <w:trHeight w:val="210"/>
        </w:trPr>
        <w:tc>
          <w:tcPr>
            <w:tcW w:w="1200" w:type="dxa"/>
            <w:shd w:val="clear" w:color="auto" w:fill="DCDEE0"/>
            <w:tcMar>
              <w:top w:w="60" w:type="dxa"/>
              <w:left w:w="60" w:type="dxa"/>
              <w:bottom w:w="60" w:type="dxa"/>
              <w:right w:w="60" w:type="dxa"/>
            </w:tcMar>
            <w:vAlign w:val="center"/>
            <w:hideMark/>
          </w:tcPr>
          <w:p w14:paraId="5DD54E47"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DR18</w:t>
            </w:r>
          </w:p>
        </w:tc>
        <w:tc>
          <w:tcPr>
            <w:tcW w:w="3990" w:type="dxa"/>
            <w:tcBorders>
              <w:left w:val="nil"/>
            </w:tcBorders>
            <w:shd w:val="clear" w:color="auto" w:fill="E3E5E8"/>
            <w:tcMar>
              <w:top w:w="60" w:type="dxa"/>
              <w:left w:w="60" w:type="dxa"/>
              <w:bottom w:w="60" w:type="dxa"/>
              <w:right w:w="60" w:type="dxa"/>
            </w:tcMar>
            <w:vAlign w:val="center"/>
            <w:hideMark/>
          </w:tcPr>
          <w:p w14:paraId="5B28EB88"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AGATAGCACAACAGCAGAAATGATG</w:t>
            </w:r>
          </w:p>
        </w:tc>
        <w:tc>
          <w:tcPr>
            <w:tcW w:w="4110" w:type="dxa"/>
            <w:tcBorders>
              <w:left w:val="nil"/>
            </w:tcBorders>
            <w:shd w:val="clear" w:color="auto" w:fill="E3E5E8"/>
            <w:tcMar>
              <w:top w:w="60" w:type="dxa"/>
              <w:left w:w="60" w:type="dxa"/>
              <w:bottom w:w="60" w:type="dxa"/>
              <w:right w:w="60" w:type="dxa"/>
            </w:tcMar>
            <w:vAlign w:val="center"/>
            <w:hideMark/>
          </w:tcPr>
          <w:p w14:paraId="4BE0B645"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ATGAATGTGCATGACTGCAATGAAG</w:t>
            </w:r>
          </w:p>
        </w:tc>
      </w:tr>
      <w:tr w:rsidR="00012659" w:rsidRPr="00214B75" w14:paraId="28C8C457" w14:textId="77777777" w:rsidTr="001073A5">
        <w:trPr>
          <w:trHeight w:val="210"/>
        </w:trPr>
        <w:tc>
          <w:tcPr>
            <w:tcW w:w="1200" w:type="dxa"/>
            <w:shd w:val="clear" w:color="auto" w:fill="FFFFFF"/>
            <w:tcMar>
              <w:top w:w="60" w:type="dxa"/>
              <w:left w:w="60" w:type="dxa"/>
              <w:bottom w:w="60" w:type="dxa"/>
              <w:right w:w="60" w:type="dxa"/>
            </w:tcMar>
            <w:vAlign w:val="center"/>
            <w:hideMark/>
          </w:tcPr>
          <w:p w14:paraId="25EDDE73"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DR19</w:t>
            </w:r>
          </w:p>
        </w:tc>
        <w:tc>
          <w:tcPr>
            <w:tcW w:w="3990" w:type="dxa"/>
            <w:tcBorders>
              <w:left w:val="nil"/>
            </w:tcBorders>
            <w:shd w:val="clear" w:color="auto" w:fill="FFFFFF"/>
            <w:tcMar>
              <w:top w:w="60" w:type="dxa"/>
              <w:left w:w="60" w:type="dxa"/>
              <w:bottom w:w="60" w:type="dxa"/>
              <w:right w:w="60" w:type="dxa"/>
            </w:tcMar>
            <w:vAlign w:val="center"/>
            <w:hideMark/>
          </w:tcPr>
          <w:p w14:paraId="317BA2AB"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AGGTGGAGATACATATGTGAAG</w:t>
            </w:r>
          </w:p>
        </w:tc>
        <w:tc>
          <w:tcPr>
            <w:tcW w:w="4110" w:type="dxa"/>
            <w:tcBorders>
              <w:left w:val="nil"/>
            </w:tcBorders>
            <w:shd w:val="clear" w:color="auto" w:fill="FFFFFF"/>
            <w:tcMar>
              <w:top w:w="60" w:type="dxa"/>
              <w:left w:w="60" w:type="dxa"/>
              <w:bottom w:w="60" w:type="dxa"/>
              <w:right w:w="60" w:type="dxa"/>
            </w:tcMar>
            <w:vAlign w:val="center"/>
            <w:hideMark/>
          </w:tcPr>
          <w:p w14:paraId="6F1C3922"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TAGGCTTTGCAGTGTTTGTCTG</w:t>
            </w:r>
          </w:p>
        </w:tc>
      </w:tr>
      <w:tr w:rsidR="00012659" w:rsidRPr="00214B75" w14:paraId="5070C73E" w14:textId="77777777" w:rsidTr="001073A5">
        <w:trPr>
          <w:trHeight w:val="210"/>
        </w:trPr>
        <w:tc>
          <w:tcPr>
            <w:tcW w:w="1200" w:type="dxa"/>
            <w:tcBorders>
              <w:bottom w:val="nil"/>
            </w:tcBorders>
            <w:shd w:val="clear" w:color="auto" w:fill="DCDEE0"/>
            <w:tcMar>
              <w:top w:w="60" w:type="dxa"/>
              <w:left w:w="60" w:type="dxa"/>
              <w:bottom w:w="60" w:type="dxa"/>
              <w:right w:w="60" w:type="dxa"/>
            </w:tcMar>
            <w:vAlign w:val="center"/>
            <w:hideMark/>
          </w:tcPr>
          <w:p w14:paraId="3921022A" w14:textId="77777777" w:rsidR="00012659" w:rsidRPr="00214B75" w:rsidRDefault="00012659" w:rsidP="001073A5">
            <w:pPr>
              <w:spacing w:line="480" w:lineRule="auto"/>
              <w:rPr>
                <w:rFonts w:ascii="Times" w:hAnsi="Times"/>
                <w:lang w:eastAsia="ja-JP"/>
              </w:rPr>
            </w:pPr>
            <w:r w:rsidRPr="00214B75">
              <w:rPr>
                <w:rFonts w:ascii="Arial" w:hAnsi="Arial" w:cs="Arial"/>
                <w:b/>
                <w:bCs/>
                <w:color w:val="000000"/>
                <w:sz w:val="17"/>
                <w:szCs w:val="17"/>
                <w:lang w:eastAsia="ja-JP"/>
              </w:rPr>
              <w:t>DR20</w:t>
            </w:r>
          </w:p>
        </w:tc>
        <w:tc>
          <w:tcPr>
            <w:tcW w:w="3990" w:type="dxa"/>
            <w:tcBorders>
              <w:left w:val="nil"/>
              <w:bottom w:val="nil"/>
            </w:tcBorders>
            <w:shd w:val="clear" w:color="auto" w:fill="E3E5E8"/>
            <w:tcMar>
              <w:top w:w="60" w:type="dxa"/>
              <w:left w:w="60" w:type="dxa"/>
              <w:bottom w:w="60" w:type="dxa"/>
              <w:right w:w="60" w:type="dxa"/>
            </w:tcMar>
            <w:vAlign w:val="center"/>
            <w:hideMark/>
          </w:tcPr>
          <w:p w14:paraId="425CE6D1"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CTTGAACACTTACAGAGTCAGAG</w:t>
            </w:r>
          </w:p>
        </w:tc>
        <w:tc>
          <w:tcPr>
            <w:tcW w:w="4110" w:type="dxa"/>
            <w:tcBorders>
              <w:left w:val="nil"/>
            </w:tcBorders>
            <w:shd w:val="clear" w:color="auto" w:fill="E3E5E8"/>
            <w:tcMar>
              <w:top w:w="60" w:type="dxa"/>
              <w:left w:w="60" w:type="dxa"/>
              <w:bottom w:w="60" w:type="dxa"/>
              <w:right w:w="60" w:type="dxa"/>
            </w:tcMar>
            <w:vAlign w:val="center"/>
            <w:hideMark/>
          </w:tcPr>
          <w:p w14:paraId="010FA670" w14:textId="77777777" w:rsidR="00012659" w:rsidRPr="00214B75" w:rsidRDefault="00012659" w:rsidP="001073A5">
            <w:pPr>
              <w:spacing w:line="480" w:lineRule="auto"/>
              <w:rPr>
                <w:rFonts w:ascii="Times" w:hAnsi="Times"/>
                <w:lang w:eastAsia="ja-JP"/>
              </w:rPr>
            </w:pPr>
            <w:r w:rsidRPr="00214B75">
              <w:rPr>
                <w:rFonts w:ascii="Arial" w:hAnsi="Arial" w:cs="Arial"/>
                <w:color w:val="000000"/>
                <w:sz w:val="17"/>
                <w:szCs w:val="17"/>
                <w:lang w:eastAsia="ja-JP"/>
              </w:rPr>
              <w:t>CAGTATTTACATGCTCCAGATAGC</w:t>
            </w:r>
          </w:p>
        </w:tc>
      </w:tr>
    </w:tbl>
    <w:p w14:paraId="119863FA" w14:textId="77777777" w:rsidR="00012659" w:rsidRPr="00214B75" w:rsidRDefault="00012659" w:rsidP="00012659">
      <w:pPr>
        <w:pStyle w:val="SMcaption"/>
        <w:spacing w:line="480" w:lineRule="auto"/>
        <w:rPr>
          <w:sz w:val="16"/>
          <w:szCs w:val="16"/>
        </w:rPr>
      </w:pPr>
    </w:p>
    <w:p w14:paraId="1BBD4F70" w14:textId="77777777" w:rsidR="00CB0E09" w:rsidRPr="00214B75" w:rsidRDefault="00CB0E09" w:rsidP="00D67506">
      <w:pPr>
        <w:pStyle w:val="Acknowledgement"/>
        <w:spacing w:line="360" w:lineRule="auto"/>
        <w:ind w:left="0" w:firstLine="0"/>
        <w:rPr>
          <w:lang w:eastAsia="ja-JP"/>
        </w:rPr>
      </w:pPr>
    </w:p>
    <w:p w14:paraId="23226536" w14:textId="71BA7290" w:rsidR="00CB0E09" w:rsidRPr="00B22517" w:rsidRDefault="00CB0E09" w:rsidP="0091532D">
      <w:pPr>
        <w:pStyle w:val="EndNoteBibliography"/>
        <w:spacing w:line="360" w:lineRule="auto"/>
        <w:rPr>
          <w:sz w:val="28"/>
          <w:szCs w:val="28"/>
        </w:rPr>
      </w:pPr>
      <w:r w:rsidRPr="00214B75">
        <w:rPr>
          <w:rFonts w:ascii="Times" w:hAnsi="Times" w:cs="Gill Sans"/>
          <w:b/>
          <w:sz w:val="28"/>
          <w:szCs w:val="28"/>
        </w:rPr>
        <w:t>References</w:t>
      </w:r>
    </w:p>
    <w:p w14:paraId="6624A47F" w14:textId="77777777" w:rsidR="00872592" w:rsidRPr="00872592" w:rsidRDefault="00CB0E09" w:rsidP="00872592">
      <w:pPr>
        <w:pStyle w:val="EndNoteBibliography"/>
        <w:ind w:left="720" w:hanging="720"/>
        <w:rPr>
          <w:noProof/>
        </w:rPr>
      </w:pPr>
      <w:r>
        <w:rPr>
          <w:noProof/>
        </w:rPr>
        <w:fldChar w:fldCharType="begin"/>
      </w:r>
      <w:r>
        <w:rPr>
          <w:noProof/>
        </w:rPr>
        <w:instrText xml:space="preserve"> ADDIN EN.REFLIST </w:instrText>
      </w:r>
      <w:r>
        <w:rPr>
          <w:noProof/>
        </w:rPr>
        <w:fldChar w:fldCharType="separate"/>
      </w:r>
      <w:r w:rsidR="00872592" w:rsidRPr="00872592">
        <w:rPr>
          <w:noProof/>
        </w:rPr>
        <w:t>1.</w:t>
      </w:r>
      <w:r w:rsidR="00872592" w:rsidRPr="00872592">
        <w:rPr>
          <w:noProof/>
        </w:rPr>
        <w:tab/>
        <w:t xml:space="preserve">Kofler R, Orozco-terWengel P, De Maio N, Pandey RV, Nolte V, Futschik A, Kosiol C, Schlotterer C: </w:t>
      </w:r>
      <w:r w:rsidR="00872592" w:rsidRPr="00872592">
        <w:rPr>
          <w:b/>
          <w:noProof/>
        </w:rPr>
        <w:t>PoPoolation: a toolbox for population genetic analysis of next generation sequencing data from pooled individuals</w:t>
      </w:r>
      <w:r w:rsidR="00872592" w:rsidRPr="00872592">
        <w:rPr>
          <w:noProof/>
        </w:rPr>
        <w:t xml:space="preserve">. </w:t>
      </w:r>
      <w:r w:rsidR="00872592" w:rsidRPr="00872592">
        <w:rPr>
          <w:i/>
          <w:noProof/>
        </w:rPr>
        <w:t xml:space="preserve">PLoS One </w:t>
      </w:r>
      <w:r w:rsidR="00872592" w:rsidRPr="00872592">
        <w:rPr>
          <w:noProof/>
        </w:rPr>
        <w:t xml:space="preserve">2011, </w:t>
      </w:r>
      <w:r w:rsidR="00872592" w:rsidRPr="00872592">
        <w:rPr>
          <w:b/>
          <w:noProof/>
        </w:rPr>
        <w:t>6</w:t>
      </w:r>
      <w:r w:rsidR="00872592" w:rsidRPr="00872592">
        <w:rPr>
          <w:noProof/>
        </w:rPr>
        <w:t>(1):e15925.</w:t>
      </w:r>
    </w:p>
    <w:p w14:paraId="249AEFCA" w14:textId="77777777" w:rsidR="00872592" w:rsidRPr="00872592" w:rsidRDefault="00872592" w:rsidP="00872592">
      <w:pPr>
        <w:pStyle w:val="EndNoteBibliography"/>
        <w:ind w:left="720" w:hanging="720"/>
        <w:rPr>
          <w:noProof/>
        </w:rPr>
      </w:pPr>
      <w:r w:rsidRPr="00872592">
        <w:rPr>
          <w:noProof/>
        </w:rPr>
        <w:t>2.</w:t>
      </w:r>
      <w:r w:rsidRPr="00872592">
        <w:rPr>
          <w:noProof/>
        </w:rPr>
        <w:tab/>
        <w:t xml:space="preserve">Boitard S, Schlotterer C, Nolte V, Pandey RV, Futschik A: </w:t>
      </w:r>
      <w:r w:rsidRPr="00872592">
        <w:rPr>
          <w:b/>
          <w:noProof/>
        </w:rPr>
        <w:t>Detecting selective sweeps from pooled next-generation sequencing samples</w:t>
      </w:r>
      <w:r w:rsidRPr="00872592">
        <w:rPr>
          <w:noProof/>
        </w:rPr>
        <w:t xml:space="preserve">. </w:t>
      </w:r>
      <w:r w:rsidRPr="00872592">
        <w:rPr>
          <w:i/>
          <w:noProof/>
        </w:rPr>
        <w:t xml:space="preserve">Mol Biol Evol </w:t>
      </w:r>
      <w:r w:rsidRPr="00872592">
        <w:rPr>
          <w:noProof/>
        </w:rPr>
        <w:t xml:space="preserve">2012, </w:t>
      </w:r>
      <w:r w:rsidRPr="00872592">
        <w:rPr>
          <w:b/>
          <w:noProof/>
        </w:rPr>
        <w:t>29</w:t>
      </w:r>
      <w:r w:rsidRPr="00872592">
        <w:rPr>
          <w:noProof/>
        </w:rPr>
        <w:t>(9):2177-2186.</w:t>
      </w:r>
    </w:p>
    <w:p w14:paraId="2CC9819D" w14:textId="77777777" w:rsidR="00872592" w:rsidRPr="00872592" w:rsidRDefault="00872592" w:rsidP="00872592">
      <w:pPr>
        <w:pStyle w:val="EndNoteBibliography"/>
        <w:ind w:left="720" w:hanging="720"/>
        <w:rPr>
          <w:noProof/>
        </w:rPr>
      </w:pPr>
      <w:r w:rsidRPr="00872592">
        <w:rPr>
          <w:noProof/>
        </w:rPr>
        <w:t>3.</w:t>
      </w:r>
      <w:r w:rsidRPr="00872592">
        <w:rPr>
          <w:noProof/>
        </w:rPr>
        <w:tab/>
        <w:t xml:space="preserve">Tajima F: </w:t>
      </w:r>
      <w:r w:rsidRPr="00872592">
        <w:rPr>
          <w:b/>
          <w:noProof/>
        </w:rPr>
        <w:t>Evolutionary relationship of DNA sequences in finite populations</w:t>
      </w:r>
      <w:r w:rsidRPr="00872592">
        <w:rPr>
          <w:noProof/>
        </w:rPr>
        <w:t xml:space="preserve">. </w:t>
      </w:r>
      <w:r w:rsidRPr="00872592">
        <w:rPr>
          <w:i/>
          <w:noProof/>
        </w:rPr>
        <w:t xml:space="preserve">Genetics </w:t>
      </w:r>
      <w:r w:rsidRPr="00872592">
        <w:rPr>
          <w:noProof/>
        </w:rPr>
        <w:t xml:space="preserve">1983, </w:t>
      </w:r>
      <w:r w:rsidRPr="00872592">
        <w:rPr>
          <w:b/>
          <w:noProof/>
        </w:rPr>
        <w:t>105</w:t>
      </w:r>
      <w:r w:rsidRPr="00872592">
        <w:rPr>
          <w:noProof/>
        </w:rPr>
        <w:t>(2):437-460.</w:t>
      </w:r>
    </w:p>
    <w:p w14:paraId="073318ED" w14:textId="77777777" w:rsidR="00872592" w:rsidRPr="00872592" w:rsidRDefault="00872592" w:rsidP="00872592">
      <w:pPr>
        <w:pStyle w:val="EndNoteBibliography"/>
        <w:ind w:left="720" w:hanging="720"/>
        <w:rPr>
          <w:noProof/>
        </w:rPr>
      </w:pPr>
      <w:r w:rsidRPr="00872592">
        <w:rPr>
          <w:noProof/>
        </w:rPr>
        <w:t>4.</w:t>
      </w:r>
      <w:r w:rsidRPr="00872592">
        <w:rPr>
          <w:noProof/>
        </w:rPr>
        <w:tab/>
        <w:t xml:space="preserve">Watterson G: </w:t>
      </w:r>
      <w:r w:rsidRPr="00872592">
        <w:rPr>
          <w:b/>
          <w:noProof/>
        </w:rPr>
        <w:t>On the number of segregating sites in genetical models without recombination</w:t>
      </w:r>
      <w:r w:rsidRPr="00872592">
        <w:rPr>
          <w:noProof/>
        </w:rPr>
        <w:t xml:space="preserve">. </w:t>
      </w:r>
      <w:r w:rsidRPr="00872592">
        <w:rPr>
          <w:i/>
          <w:noProof/>
        </w:rPr>
        <w:t xml:space="preserve">Theoretical population biology </w:t>
      </w:r>
      <w:r w:rsidRPr="00872592">
        <w:rPr>
          <w:noProof/>
        </w:rPr>
        <w:t xml:space="preserve">1975, </w:t>
      </w:r>
      <w:r w:rsidRPr="00872592">
        <w:rPr>
          <w:b/>
          <w:noProof/>
        </w:rPr>
        <w:t>7</w:t>
      </w:r>
      <w:r w:rsidRPr="00872592">
        <w:rPr>
          <w:noProof/>
        </w:rPr>
        <w:t>(2):256-276.</w:t>
      </w:r>
    </w:p>
    <w:p w14:paraId="1B460589" w14:textId="77777777" w:rsidR="00872592" w:rsidRPr="00872592" w:rsidRDefault="00872592" w:rsidP="00872592">
      <w:pPr>
        <w:pStyle w:val="EndNoteBibliography"/>
        <w:ind w:left="720" w:hanging="720"/>
        <w:rPr>
          <w:noProof/>
        </w:rPr>
      </w:pPr>
      <w:r w:rsidRPr="00872592">
        <w:rPr>
          <w:noProof/>
        </w:rPr>
        <w:lastRenderedPageBreak/>
        <w:t>5.</w:t>
      </w:r>
      <w:r w:rsidRPr="00872592">
        <w:rPr>
          <w:noProof/>
        </w:rPr>
        <w:tab/>
        <w:t xml:space="preserve">Tajima F: </w:t>
      </w:r>
      <w:r w:rsidRPr="00872592">
        <w:rPr>
          <w:b/>
          <w:noProof/>
        </w:rPr>
        <w:t>Statistical method for testing the neutral mutation hypothesis by DNA polymorphism</w:t>
      </w:r>
      <w:r w:rsidRPr="00872592">
        <w:rPr>
          <w:noProof/>
        </w:rPr>
        <w:t xml:space="preserve">. </w:t>
      </w:r>
      <w:r w:rsidRPr="00872592">
        <w:rPr>
          <w:i/>
          <w:noProof/>
        </w:rPr>
        <w:t xml:space="preserve">Genetics </w:t>
      </w:r>
      <w:r w:rsidRPr="00872592">
        <w:rPr>
          <w:noProof/>
        </w:rPr>
        <w:t xml:space="preserve">1989, </w:t>
      </w:r>
      <w:r w:rsidRPr="00872592">
        <w:rPr>
          <w:b/>
          <w:noProof/>
        </w:rPr>
        <w:t>123</w:t>
      </w:r>
      <w:r w:rsidRPr="00872592">
        <w:rPr>
          <w:noProof/>
        </w:rPr>
        <w:t>(3):585-595.</w:t>
      </w:r>
    </w:p>
    <w:p w14:paraId="6823FC76" w14:textId="77777777" w:rsidR="00872592" w:rsidRPr="00872592" w:rsidRDefault="00872592" w:rsidP="00872592">
      <w:pPr>
        <w:pStyle w:val="EndNoteBibliography"/>
        <w:ind w:left="720" w:hanging="720"/>
        <w:rPr>
          <w:noProof/>
        </w:rPr>
      </w:pPr>
      <w:r w:rsidRPr="00872592">
        <w:rPr>
          <w:noProof/>
        </w:rPr>
        <w:t>6.</w:t>
      </w:r>
      <w:r w:rsidRPr="00872592">
        <w:rPr>
          <w:noProof/>
        </w:rPr>
        <w:tab/>
        <w:t xml:space="preserve">Nagl S, Tichy H, Mayer WE, Takezaki N, Takahata N, Klein J: </w:t>
      </w:r>
      <w:r w:rsidRPr="00872592">
        <w:rPr>
          <w:b/>
          <w:noProof/>
        </w:rPr>
        <w:t>The origin and age of haplochromine fishes in Lake Victoria, East Africa</w:t>
      </w:r>
      <w:r w:rsidRPr="00872592">
        <w:rPr>
          <w:noProof/>
        </w:rPr>
        <w:t xml:space="preserve">. </w:t>
      </w:r>
      <w:r w:rsidRPr="00872592">
        <w:rPr>
          <w:i/>
          <w:noProof/>
        </w:rPr>
        <w:t xml:space="preserve">Proceedings of the Royal Society of London B: Biological Sciences </w:t>
      </w:r>
      <w:r w:rsidRPr="00872592">
        <w:rPr>
          <w:noProof/>
        </w:rPr>
        <w:t xml:space="preserve">2000, </w:t>
      </w:r>
      <w:r w:rsidRPr="00872592">
        <w:rPr>
          <w:b/>
          <w:noProof/>
        </w:rPr>
        <w:t>267</w:t>
      </w:r>
      <w:r w:rsidRPr="00872592">
        <w:rPr>
          <w:noProof/>
        </w:rPr>
        <w:t>(1447):1049-1061.</w:t>
      </w:r>
    </w:p>
    <w:p w14:paraId="5B316215" w14:textId="77777777" w:rsidR="00872592" w:rsidRPr="00872592" w:rsidRDefault="00872592" w:rsidP="00872592">
      <w:pPr>
        <w:pStyle w:val="EndNoteBibliography"/>
        <w:ind w:left="720" w:hanging="720"/>
        <w:rPr>
          <w:noProof/>
        </w:rPr>
      </w:pPr>
      <w:r w:rsidRPr="00872592">
        <w:rPr>
          <w:noProof/>
        </w:rPr>
        <w:t>7.</w:t>
      </w:r>
      <w:r w:rsidRPr="00872592">
        <w:rPr>
          <w:noProof/>
        </w:rPr>
        <w:tab/>
        <w:t xml:space="preserve">Gutenkunst RN, Hernandez RD, Williamson SH, Bustamante CD: </w:t>
      </w:r>
      <w:r w:rsidRPr="00872592">
        <w:rPr>
          <w:b/>
          <w:noProof/>
        </w:rPr>
        <w:t>Inferring the joint demographic history of multiple populations from multidimensional SNP frequency data</w:t>
      </w:r>
      <w:r w:rsidRPr="00872592">
        <w:rPr>
          <w:noProof/>
        </w:rPr>
        <w:t xml:space="preserve">. </w:t>
      </w:r>
      <w:r w:rsidRPr="00872592">
        <w:rPr>
          <w:i/>
          <w:noProof/>
        </w:rPr>
        <w:t xml:space="preserve">PLoS Genet </w:t>
      </w:r>
      <w:r w:rsidRPr="00872592">
        <w:rPr>
          <w:noProof/>
        </w:rPr>
        <w:t xml:space="preserve">2009, </w:t>
      </w:r>
      <w:r w:rsidRPr="00872592">
        <w:rPr>
          <w:b/>
          <w:noProof/>
        </w:rPr>
        <w:t>5</w:t>
      </w:r>
      <w:r w:rsidRPr="00872592">
        <w:rPr>
          <w:noProof/>
        </w:rPr>
        <w:t>(10):e1000695.</w:t>
      </w:r>
    </w:p>
    <w:p w14:paraId="5C3106F5" w14:textId="77777777" w:rsidR="00872592" w:rsidRPr="00872592" w:rsidRDefault="00872592" w:rsidP="00872592">
      <w:pPr>
        <w:pStyle w:val="EndNoteBibliography"/>
        <w:ind w:left="720" w:hanging="720"/>
        <w:rPr>
          <w:noProof/>
        </w:rPr>
      </w:pPr>
      <w:r w:rsidRPr="00872592">
        <w:rPr>
          <w:noProof/>
        </w:rPr>
        <w:t>8.</w:t>
      </w:r>
      <w:r w:rsidRPr="00872592">
        <w:rPr>
          <w:noProof/>
        </w:rPr>
        <w:tab/>
        <w:t xml:space="preserve">Recknagel H, Elmer KR, Meyer A: </w:t>
      </w:r>
      <w:r w:rsidRPr="00872592">
        <w:rPr>
          <w:b/>
          <w:noProof/>
        </w:rPr>
        <w:t>A hybrid genetic linkage map of two ecologically and morphologically divergent Midas cichlid fishes (Amphilophus spp.) obtained by massively parallel DNA sequencing (ddRADSeq)</w:t>
      </w:r>
      <w:r w:rsidRPr="00872592">
        <w:rPr>
          <w:noProof/>
        </w:rPr>
        <w:t xml:space="preserve">. </w:t>
      </w:r>
      <w:r w:rsidRPr="00872592">
        <w:rPr>
          <w:i/>
          <w:noProof/>
        </w:rPr>
        <w:t xml:space="preserve">G3 (Bethesda) </w:t>
      </w:r>
      <w:r w:rsidRPr="00872592">
        <w:rPr>
          <w:noProof/>
        </w:rPr>
        <w:t xml:space="preserve">2013, </w:t>
      </w:r>
      <w:r w:rsidRPr="00872592">
        <w:rPr>
          <w:b/>
          <w:noProof/>
        </w:rPr>
        <w:t>3</w:t>
      </w:r>
      <w:r w:rsidRPr="00872592">
        <w:rPr>
          <w:noProof/>
        </w:rPr>
        <w:t>(1):65-74.</w:t>
      </w:r>
    </w:p>
    <w:p w14:paraId="35B1E5BA" w14:textId="77777777" w:rsidR="00872592" w:rsidRPr="00872592" w:rsidRDefault="00872592" w:rsidP="00872592">
      <w:pPr>
        <w:pStyle w:val="EndNoteBibliography"/>
        <w:ind w:left="720" w:hanging="720"/>
        <w:rPr>
          <w:noProof/>
        </w:rPr>
      </w:pPr>
      <w:r w:rsidRPr="00872592">
        <w:rPr>
          <w:noProof/>
        </w:rPr>
        <w:t>9.</w:t>
      </w:r>
      <w:r w:rsidRPr="00872592">
        <w:rPr>
          <w:noProof/>
        </w:rPr>
        <w:tab/>
        <w:t xml:space="preserve">Slatkin M, Hudson RR: </w:t>
      </w:r>
      <w:r w:rsidRPr="00872592">
        <w:rPr>
          <w:b/>
          <w:noProof/>
        </w:rPr>
        <w:t>Pairwise comparisons of mitochondrial DNA sequences in stable and exponentially growing populations</w:t>
      </w:r>
      <w:r w:rsidRPr="00872592">
        <w:rPr>
          <w:noProof/>
        </w:rPr>
        <w:t xml:space="preserve">. </w:t>
      </w:r>
      <w:r w:rsidRPr="00872592">
        <w:rPr>
          <w:i/>
          <w:noProof/>
        </w:rPr>
        <w:t xml:space="preserve">Genetics </w:t>
      </w:r>
      <w:r w:rsidRPr="00872592">
        <w:rPr>
          <w:noProof/>
        </w:rPr>
        <w:t xml:space="preserve">1991, </w:t>
      </w:r>
      <w:r w:rsidRPr="00872592">
        <w:rPr>
          <w:b/>
          <w:noProof/>
        </w:rPr>
        <w:t>129</w:t>
      </w:r>
      <w:r w:rsidRPr="00872592">
        <w:rPr>
          <w:noProof/>
        </w:rPr>
        <w:t>(2):555-562.</w:t>
      </w:r>
    </w:p>
    <w:p w14:paraId="5C8C01CB" w14:textId="77777777" w:rsidR="00872592" w:rsidRPr="00872592" w:rsidRDefault="00872592" w:rsidP="00872592">
      <w:pPr>
        <w:pStyle w:val="EndNoteBibliography"/>
        <w:ind w:left="720" w:hanging="720"/>
        <w:rPr>
          <w:noProof/>
        </w:rPr>
      </w:pPr>
      <w:r w:rsidRPr="00872592">
        <w:rPr>
          <w:noProof/>
        </w:rPr>
        <w:t>10.</w:t>
      </w:r>
      <w:r w:rsidRPr="00872592">
        <w:rPr>
          <w:noProof/>
        </w:rPr>
        <w:tab/>
        <w:t xml:space="preserve">Hein J, Schierup M, Wiuf C: </w:t>
      </w:r>
      <w:r w:rsidRPr="00872592">
        <w:rPr>
          <w:b/>
          <w:noProof/>
        </w:rPr>
        <w:t>Gene genealogies, variation and evolution: a primer in coalescent theory</w:t>
      </w:r>
      <w:r w:rsidRPr="00872592">
        <w:rPr>
          <w:noProof/>
        </w:rPr>
        <w:t>: Oxford University Press, USA; 2004.</w:t>
      </w:r>
    </w:p>
    <w:p w14:paraId="4F54FD22" w14:textId="77777777" w:rsidR="00872592" w:rsidRPr="00872592" w:rsidRDefault="00872592" w:rsidP="00872592">
      <w:pPr>
        <w:pStyle w:val="EndNoteBibliography"/>
        <w:ind w:left="720" w:hanging="720"/>
        <w:rPr>
          <w:noProof/>
        </w:rPr>
      </w:pPr>
      <w:r w:rsidRPr="00872592">
        <w:rPr>
          <w:noProof/>
        </w:rPr>
        <w:t>11.</w:t>
      </w:r>
      <w:r w:rsidRPr="00872592">
        <w:rPr>
          <w:noProof/>
        </w:rPr>
        <w:tab/>
        <w:t xml:space="preserve">Altschul SF, Gish W, Miller W, Myers EW, Lipman DJ: </w:t>
      </w:r>
      <w:r w:rsidRPr="00872592">
        <w:rPr>
          <w:b/>
          <w:noProof/>
        </w:rPr>
        <w:t>Basic local alignment search tool</w:t>
      </w:r>
      <w:r w:rsidRPr="00872592">
        <w:rPr>
          <w:noProof/>
        </w:rPr>
        <w:t xml:space="preserve">. </w:t>
      </w:r>
      <w:r w:rsidRPr="00872592">
        <w:rPr>
          <w:i/>
          <w:noProof/>
        </w:rPr>
        <w:t xml:space="preserve">Journal of molecular biology </w:t>
      </w:r>
      <w:r w:rsidRPr="00872592">
        <w:rPr>
          <w:noProof/>
        </w:rPr>
        <w:t xml:space="preserve">1990, </w:t>
      </w:r>
      <w:r w:rsidRPr="00872592">
        <w:rPr>
          <w:b/>
          <w:noProof/>
        </w:rPr>
        <w:t>215</w:t>
      </w:r>
      <w:r w:rsidRPr="00872592">
        <w:rPr>
          <w:noProof/>
        </w:rPr>
        <w:t>(3):403-410.</w:t>
      </w:r>
    </w:p>
    <w:p w14:paraId="2305E725" w14:textId="77777777" w:rsidR="00872592" w:rsidRPr="00872592" w:rsidRDefault="00872592" w:rsidP="00872592">
      <w:pPr>
        <w:pStyle w:val="EndNoteBibliography"/>
        <w:ind w:left="720" w:hanging="720"/>
        <w:rPr>
          <w:noProof/>
        </w:rPr>
      </w:pPr>
      <w:r w:rsidRPr="00872592">
        <w:rPr>
          <w:noProof/>
        </w:rPr>
        <w:t>12.</w:t>
      </w:r>
      <w:r w:rsidRPr="00872592">
        <w:rPr>
          <w:noProof/>
        </w:rPr>
        <w:tab/>
        <w:t xml:space="preserve">Huang DW, Sherman BT, Lempicki RA: </w:t>
      </w:r>
      <w:r w:rsidRPr="00872592">
        <w:rPr>
          <w:b/>
          <w:noProof/>
        </w:rPr>
        <w:t>Systematic and integrative analysis of large gene lists using DAVID bioinformatics resources</w:t>
      </w:r>
      <w:r w:rsidRPr="00872592">
        <w:rPr>
          <w:noProof/>
        </w:rPr>
        <w:t xml:space="preserve">. </w:t>
      </w:r>
      <w:r w:rsidRPr="00872592">
        <w:rPr>
          <w:i/>
          <w:noProof/>
        </w:rPr>
        <w:t xml:space="preserve">Nature protocols </w:t>
      </w:r>
      <w:r w:rsidRPr="00872592">
        <w:rPr>
          <w:noProof/>
        </w:rPr>
        <w:t xml:space="preserve">2009, </w:t>
      </w:r>
      <w:r w:rsidRPr="00872592">
        <w:rPr>
          <w:b/>
          <w:noProof/>
        </w:rPr>
        <w:t>4</w:t>
      </w:r>
      <w:r w:rsidRPr="00872592">
        <w:rPr>
          <w:noProof/>
        </w:rPr>
        <w:t>(1):44-57.</w:t>
      </w:r>
    </w:p>
    <w:p w14:paraId="5B3A6225" w14:textId="77777777" w:rsidR="00872592" w:rsidRPr="00872592" w:rsidRDefault="00872592" w:rsidP="00872592">
      <w:pPr>
        <w:pStyle w:val="EndNoteBibliography"/>
        <w:ind w:left="720" w:hanging="720"/>
        <w:rPr>
          <w:noProof/>
        </w:rPr>
      </w:pPr>
      <w:r w:rsidRPr="00872592">
        <w:rPr>
          <w:noProof/>
        </w:rPr>
        <w:t>13.</w:t>
      </w:r>
      <w:r w:rsidRPr="00872592">
        <w:rPr>
          <w:noProof/>
        </w:rPr>
        <w:tab/>
        <w:t xml:space="preserve">Conesa A, Götz S, García-Gómez JM, Terol J, Talón M, Robles M: </w:t>
      </w:r>
      <w:r w:rsidRPr="00872592">
        <w:rPr>
          <w:b/>
          <w:noProof/>
        </w:rPr>
        <w:t>Blast2GO: a universal tool for annotation, visualization and analysis in functional genomics research</w:t>
      </w:r>
      <w:r w:rsidRPr="00872592">
        <w:rPr>
          <w:noProof/>
        </w:rPr>
        <w:t xml:space="preserve">. </w:t>
      </w:r>
      <w:r w:rsidRPr="00872592">
        <w:rPr>
          <w:i/>
          <w:noProof/>
        </w:rPr>
        <w:t xml:space="preserve">Bioinformatics </w:t>
      </w:r>
      <w:r w:rsidRPr="00872592">
        <w:rPr>
          <w:noProof/>
        </w:rPr>
        <w:t xml:space="preserve">2005, </w:t>
      </w:r>
      <w:r w:rsidRPr="00872592">
        <w:rPr>
          <w:b/>
          <w:noProof/>
        </w:rPr>
        <w:t>21</w:t>
      </w:r>
      <w:r w:rsidRPr="00872592">
        <w:rPr>
          <w:noProof/>
        </w:rPr>
        <w:t>(18):3674-3676.</w:t>
      </w:r>
    </w:p>
    <w:p w14:paraId="3D63776D" w14:textId="348130D0" w:rsidR="00B22517" w:rsidRDefault="00CB0E09" w:rsidP="00865228">
      <w:pPr>
        <w:pStyle w:val="EndNoteBibliography"/>
        <w:spacing w:line="360" w:lineRule="auto"/>
        <w:ind w:left="426" w:hangingChars="213" w:hanging="426"/>
        <w:rPr>
          <w:noProof/>
        </w:rPr>
      </w:pPr>
      <w:r>
        <w:rPr>
          <w:noProof/>
        </w:rPr>
        <w:fldChar w:fldCharType="end"/>
      </w:r>
    </w:p>
    <w:sectPr w:rsidR="00B22517" w:rsidSect="00257D2E">
      <w:footerReference w:type="even" r:id="rId25"/>
      <w:footerReference w:type="default" r:id="rId26"/>
      <w:headerReference w:type="first" r:id="rId27"/>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7A6AD" w14:textId="77777777" w:rsidR="001D46C9" w:rsidRDefault="001D46C9" w:rsidP="00D73714">
      <w:r>
        <w:separator/>
      </w:r>
    </w:p>
  </w:endnote>
  <w:endnote w:type="continuationSeparator" w:id="0">
    <w:p w14:paraId="55DBE9ED" w14:textId="77777777" w:rsidR="001D46C9" w:rsidRDefault="001D46C9" w:rsidP="00D7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BlissRegular">
    <w:altName w:val="Arial"/>
    <w:panose1 w:val="020B0604020202020204"/>
    <w:charset w:val="00"/>
    <w:family w:val="roman"/>
    <w:notTrueType/>
    <w:pitch w:val="variable"/>
    <w:sig w:usb0="00000003" w:usb1="00000000" w:usb2="00000000" w:usb3="00000000" w:csb0="00000001" w:csb1="00000000"/>
  </w:font>
  <w:font w:name="BlissMedium">
    <w:altName w:val="Angsana New"/>
    <w:panose1 w:val="020B0604020202020204"/>
    <w:charset w:val="00"/>
    <w:family w:val="roman"/>
    <w:notTrueType/>
    <w:pitch w:val="variable"/>
    <w:sig w:usb0="00000003" w:usb1="00000000" w:usb2="00000000" w:usb3="00000000" w:csb0="00000001" w:csb1="00000000"/>
  </w:font>
  <w:font w:name="BlissBold">
    <w:altName w:val="Angsana New"/>
    <w:panose1 w:val="020B0604020202020204"/>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Times">
    <w:altName w:val="Times Roman"/>
    <w:panose1 w:val="02000500000000000000"/>
    <w:charset w:val="00"/>
    <w:family w:val="auto"/>
    <w:pitch w:val="variable"/>
    <w:sig w:usb0="00000003" w:usb1="00000000" w:usb2="00000000" w:usb3="00000000" w:csb0="00000007" w:csb1="00000000"/>
  </w:font>
  <w:font w:name="ヒラギノ角ゴ Pro W3">
    <w:panose1 w:val="020B0300000000000000"/>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28072" w14:textId="77777777" w:rsidR="00BD2855" w:rsidRDefault="00BD2855" w:rsidP="00BD0DC9">
    <w:pPr>
      <w:pStyle w:val="af"/>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0D2FC483" w14:textId="77777777" w:rsidR="00BD2855" w:rsidRDefault="00BD2855">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D097D" w14:textId="43304E1B" w:rsidR="00BD2855" w:rsidRDefault="00BD2855" w:rsidP="00BD0DC9">
    <w:pPr>
      <w:pStyle w:val="af"/>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125131">
      <w:rPr>
        <w:rStyle w:val="af6"/>
        <w:noProof/>
      </w:rPr>
      <w:t>4</w:t>
    </w:r>
    <w:r>
      <w:rPr>
        <w:rStyle w:val="af6"/>
      </w:rPr>
      <w:fldChar w:fldCharType="end"/>
    </w:r>
  </w:p>
  <w:p w14:paraId="632126DE" w14:textId="77777777" w:rsidR="00BD2855" w:rsidRDefault="00BD285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1A621" w14:textId="77777777" w:rsidR="001D46C9" w:rsidRDefault="001D46C9" w:rsidP="00D73714">
      <w:r>
        <w:separator/>
      </w:r>
    </w:p>
  </w:footnote>
  <w:footnote w:type="continuationSeparator" w:id="0">
    <w:p w14:paraId="7FA1E6D3" w14:textId="77777777" w:rsidR="001D46C9" w:rsidRDefault="001D46C9" w:rsidP="00D73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C5967" w14:textId="7600C6C4" w:rsidR="00BD2855" w:rsidRPr="00204015" w:rsidRDefault="00BD2855" w:rsidP="00D73714">
    <w:pPr>
      <w:pStyle w:val="af2"/>
    </w:pPr>
    <w:r>
      <w:tab/>
    </w:r>
  </w:p>
  <w:p w14:paraId="33EE7A38" w14:textId="77777777" w:rsidR="00BD2855" w:rsidRDefault="00BD2855" w:rsidP="00D7371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BFC66A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AD8964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2C0C1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9E081D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94A60A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C6EC71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4F2D99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38038A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F785F6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D70F2A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8F443B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trackRevisions/>
  <w:defaultTabStop w:val="720"/>
  <w:drawingGridHorizontalSpacing w:val="100"/>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Evolutionary Bi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f5fp9f80rs5derr24vzxxcx0dt25rp9sfr&quot;&gt;My EndNote Library&lt;record-ids&gt;&lt;item&gt;200&lt;/item&gt;&lt;item&gt;201&lt;/item&gt;&lt;item&gt;203&lt;/item&gt;&lt;item&gt;204&lt;/item&gt;&lt;item&gt;209&lt;/item&gt;&lt;item&gt;210&lt;/item&gt;&lt;item&gt;233&lt;/item&gt;&lt;item&gt;234&lt;/item&gt;&lt;item&gt;235&lt;/item&gt;&lt;item&gt;236&lt;/item&gt;&lt;item&gt;238&lt;/item&gt;&lt;item&gt;239&lt;/item&gt;&lt;item&gt;299&lt;/item&gt;&lt;/record-ids&gt;&lt;/item&gt;&lt;/Libraries&gt;"/>
  </w:docVars>
  <w:rsids>
    <w:rsidRoot w:val="0064261D"/>
    <w:rsid w:val="00002765"/>
    <w:rsid w:val="00003119"/>
    <w:rsid w:val="00004E30"/>
    <w:rsid w:val="000065A5"/>
    <w:rsid w:val="0001085A"/>
    <w:rsid w:val="00012659"/>
    <w:rsid w:val="00012934"/>
    <w:rsid w:val="000154FE"/>
    <w:rsid w:val="00020022"/>
    <w:rsid w:val="000208A1"/>
    <w:rsid w:val="00026CCD"/>
    <w:rsid w:val="00027C77"/>
    <w:rsid w:val="00030ABD"/>
    <w:rsid w:val="00031264"/>
    <w:rsid w:val="0003527C"/>
    <w:rsid w:val="000352AB"/>
    <w:rsid w:val="00035654"/>
    <w:rsid w:val="00036654"/>
    <w:rsid w:val="00040957"/>
    <w:rsid w:val="000413F5"/>
    <w:rsid w:val="00044AB4"/>
    <w:rsid w:val="00044C10"/>
    <w:rsid w:val="00046F7F"/>
    <w:rsid w:val="000477E4"/>
    <w:rsid w:val="00053009"/>
    <w:rsid w:val="000562CC"/>
    <w:rsid w:val="00057070"/>
    <w:rsid w:val="00063D01"/>
    <w:rsid w:val="00067A20"/>
    <w:rsid w:val="000721EB"/>
    <w:rsid w:val="00074D30"/>
    <w:rsid w:val="00075A0F"/>
    <w:rsid w:val="00075EEA"/>
    <w:rsid w:val="00076041"/>
    <w:rsid w:val="00083330"/>
    <w:rsid w:val="0008647A"/>
    <w:rsid w:val="0008743D"/>
    <w:rsid w:val="00087C4D"/>
    <w:rsid w:val="00090301"/>
    <w:rsid w:val="0009142A"/>
    <w:rsid w:val="0009196E"/>
    <w:rsid w:val="00092FCA"/>
    <w:rsid w:val="00093468"/>
    <w:rsid w:val="000977E2"/>
    <w:rsid w:val="00097A5A"/>
    <w:rsid w:val="000A16A6"/>
    <w:rsid w:val="000B1361"/>
    <w:rsid w:val="000B18B6"/>
    <w:rsid w:val="000B1AF5"/>
    <w:rsid w:val="000B2E7E"/>
    <w:rsid w:val="000B37B8"/>
    <w:rsid w:val="000B4DE3"/>
    <w:rsid w:val="000B5320"/>
    <w:rsid w:val="000C20E5"/>
    <w:rsid w:val="000C548A"/>
    <w:rsid w:val="000C7AE7"/>
    <w:rsid w:val="000D3570"/>
    <w:rsid w:val="000D691F"/>
    <w:rsid w:val="000D7897"/>
    <w:rsid w:val="000E075A"/>
    <w:rsid w:val="000E16A3"/>
    <w:rsid w:val="000E1F36"/>
    <w:rsid w:val="000E3CD0"/>
    <w:rsid w:val="000E59AA"/>
    <w:rsid w:val="000F0312"/>
    <w:rsid w:val="00100351"/>
    <w:rsid w:val="0010150E"/>
    <w:rsid w:val="00103310"/>
    <w:rsid w:val="00103B56"/>
    <w:rsid w:val="00104AE5"/>
    <w:rsid w:val="00106DC3"/>
    <w:rsid w:val="001073A5"/>
    <w:rsid w:val="00111D35"/>
    <w:rsid w:val="00112E81"/>
    <w:rsid w:val="00116B49"/>
    <w:rsid w:val="00124453"/>
    <w:rsid w:val="00125131"/>
    <w:rsid w:val="00126357"/>
    <w:rsid w:val="00126AA1"/>
    <w:rsid w:val="0013090B"/>
    <w:rsid w:val="00133096"/>
    <w:rsid w:val="0013388F"/>
    <w:rsid w:val="0014023C"/>
    <w:rsid w:val="001407AC"/>
    <w:rsid w:val="00140FD0"/>
    <w:rsid w:val="001411E6"/>
    <w:rsid w:val="00143E52"/>
    <w:rsid w:val="00144225"/>
    <w:rsid w:val="00145014"/>
    <w:rsid w:val="00145E0B"/>
    <w:rsid w:val="00146C63"/>
    <w:rsid w:val="00146E12"/>
    <w:rsid w:val="00147748"/>
    <w:rsid w:val="00151CAF"/>
    <w:rsid w:val="001553DA"/>
    <w:rsid w:val="0015549E"/>
    <w:rsid w:val="001575D2"/>
    <w:rsid w:val="00157D51"/>
    <w:rsid w:val="00160D74"/>
    <w:rsid w:val="0016127A"/>
    <w:rsid w:val="00163FCB"/>
    <w:rsid w:val="00164A77"/>
    <w:rsid w:val="00166572"/>
    <w:rsid w:val="00166CAF"/>
    <w:rsid w:val="00167454"/>
    <w:rsid w:val="00167BFF"/>
    <w:rsid w:val="00173E77"/>
    <w:rsid w:val="00177355"/>
    <w:rsid w:val="001773FD"/>
    <w:rsid w:val="001814C2"/>
    <w:rsid w:val="001816A9"/>
    <w:rsid w:val="00182156"/>
    <w:rsid w:val="00182801"/>
    <w:rsid w:val="0018349C"/>
    <w:rsid w:val="00183FFF"/>
    <w:rsid w:val="00185939"/>
    <w:rsid w:val="00186785"/>
    <w:rsid w:val="0019262F"/>
    <w:rsid w:val="00194CB7"/>
    <w:rsid w:val="00196472"/>
    <w:rsid w:val="00197472"/>
    <w:rsid w:val="001A05C7"/>
    <w:rsid w:val="001A31BB"/>
    <w:rsid w:val="001A3B0B"/>
    <w:rsid w:val="001A7824"/>
    <w:rsid w:val="001B268D"/>
    <w:rsid w:val="001B30F8"/>
    <w:rsid w:val="001B3863"/>
    <w:rsid w:val="001B48F4"/>
    <w:rsid w:val="001B60EA"/>
    <w:rsid w:val="001B6A14"/>
    <w:rsid w:val="001B752F"/>
    <w:rsid w:val="001B765B"/>
    <w:rsid w:val="001B7CCF"/>
    <w:rsid w:val="001B7E7C"/>
    <w:rsid w:val="001C0109"/>
    <w:rsid w:val="001C1D03"/>
    <w:rsid w:val="001C2F47"/>
    <w:rsid w:val="001D1AD5"/>
    <w:rsid w:val="001D3AF1"/>
    <w:rsid w:val="001D46C9"/>
    <w:rsid w:val="001D507B"/>
    <w:rsid w:val="001D694E"/>
    <w:rsid w:val="001E3334"/>
    <w:rsid w:val="001E3C3E"/>
    <w:rsid w:val="001E569D"/>
    <w:rsid w:val="001F1E5C"/>
    <w:rsid w:val="001F3D02"/>
    <w:rsid w:val="001F68AA"/>
    <w:rsid w:val="001F6F47"/>
    <w:rsid w:val="00202FF7"/>
    <w:rsid w:val="00203694"/>
    <w:rsid w:val="0020478D"/>
    <w:rsid w:val="00206E71"/>
    <w:rsid w:val="00210987"/>
    <w:rsid w:val="00211D6C"/>
    <w:rsid w:val="0021265B"/>
    <w:rsid w:val="00213D67"/>
    <w:rsid w:val="00214B75"/>
    <w:rsid w:val="00214CAC"/>
    <w:rsid w:val="00224AD1"/>
    <w:rsid w:val="002278DE"/>
    <w:rsid w:val="00227A2F"/>
    <w:rsid w:val="00227CF4"/>
    <w:rsid w:val="002300BD"/>
    <w:rsid w:val="0023213C"/>
    <w:rsid w:val="002359D3"/>
    <w:rsid w:val="002363CE"/>
    <w:rsid w:val="002369B4"/>
    <w:rsid w:val="0024093C"/>
    <w:rsid w:val="00240BB2"/>
    <w:rsid w:val="002431CC"/>
    <w:rsid w:val="002431F9"/>
    <w:rsid w:val="00243FFF"/>
    <w:rsid w:val="00251BF2"/>
    <w:rsid w:val="00254D10"/>
    <w:rsid w:val="00257D2E"/>
    <w:rsid w:val="00257EF3"/>
    <w:rsid w:val="00260432"/>
    <w:rsid w:val="00261712"/>
    <w:rsid w:val="00262CC3"/>
    <w:rsid w:val="00266BA4"/>
    <w:rsid w:val="00271DCE"/>
    <w:rsid w:val="0027419E"/>
    <w:rsid w:val="00277D9A"/>
    <w:rsid w:val="00277F51"/>
    <w:rsid w:val="002839DA"/>
    <w:rsid w:val="00287228"/>
    <w:rsid w:val="00287738"/>
    <w:rsid w:val="00287C5E"/>
    <w:rsid w:val="00291218"/>
    <w:rsid w:val="00294D12"/>
    <w:rsid w:val="002973FE"/>
    <w:rsid w:val="00297E67"/>
    <w:rsid w:val="002A06D8"/>
    <w:rsid w:val="002A2EFC"/>
    <w:rsid w:val="002A336C"/>
    <w:rsid w:val="002A7E05"/>
    <w:rsid w:val="002B1600"/>
    <w:rsid w:val="002B7A2C"/>
    <w:rsid w:val="002C02E8"/>
    <w:rsid w:val="002C1435"/>
    <w:rsid w:val="002C14E8"/>
    <w:rsid w:val="002C1726"/>
    <w:rsid w:val="002C18CC"/>
    <w:rsid w:val="002C6600"/>
    <w:rsid w:val="002C7EFF"/>
    <w:rsid w:val="002D2CCA"/>
    <w:rsid w:val="002D36F4"/>
    <w:rsid w:val="002D52D5"/>
    <w:rsid w:val="002D6DFA"/>
    <w:rsid w:val="002E13DA"/>
    <w:rsid w:val="002E1E86"/>
    <w:rsid w:val="002E4B8D"/>
    <w:rsid w:val="002E570C"/>
    <w:rsid w:val="002F1B49"/>
    <w:rsid w:val="002F1C14"/>
    <w:rsid w:val="002F2727"/>
    <w:rsid w:val="002F2BDB"/>
    <w:rsid w:val="002F36B6"/>
    <w:rsid w:val="002F3EE2"/>
    <w:rsid w:val="002F55A8"/>
    <w:rsid w:val="003011F9"/>
    <w:rsid w:val="00301F2C"/>
    <w:rsid w:val="00302B62"/>
    <w:rsid w:val="00302D1C"/>
    <w:rsid w:val="00305783"/>
    <w:rsid w:val="00307AD4"/>
    <w:rsid w:val="00311C70"/>
    <w:rsid w:val="00314C51"/>
    <w:rsid w:val="00321D67"/>
    <w:rsid w:val="003232B4"/>
    <w:rsid w:val="0032456F"/>
    <w:rsid w:val="00324DB3"/>
    <w:rsid w:val="003254C1"/>
    <w:rsid w:val="00325524"/>
    <w:rsid w:val="00325F07"/>
    <w:rsid w:val="003272FE"/>
    <w:rsid w:val="00330202"/>
    <w:rsid w:val="00335C15"/>
    <w:rsid w:val="00336847"/>
    <w:rsid w:val="00341C72"/>
    <w:rsid w:val="00341DE2"/>
    <w:rsid w:val="00342540"/>
    <w:rsid w:val="003456F6"/>
    <w:rsid w:val="00345752"/>
    <w:rsid w:val="0034701E"/>
    <w:rsid w:val="003476BE"/>
    <w:rsid w:val="00347EB6"/>
    <w:rsid w:val="00351F3B"/>
    <w:rsid w:val="003557C0"/>
    <w:rsid w:val="00356C2E"/>
    <w:rsid w:val="0036187F"/>
    <w:rsid w:val="00361F3B"/>
    <w:rsid w:val="00365BBF"/>
    <w:rsid w:val="0037136D"/>
    <w:rsid w:val="00371C79"/>
    <w:rsid w:val="00373918"/>
    <w:rsid w:val="00375E4A"/>
    <w:rsid w:val="00380DF2"/>
    <w:rsid w:val="00381269"/>
    <w:rsid w:val="0038139F"/>
    <w:rsid w:val="00381902"/>
    <w:rsid w:val="0038406A"/>
    <w:rsid w:val="0038443C"/>
    <w:rsid w:val="00386961"/>
    <w:rsid w:val="003876C8"/>
    <w:rsid w:val="003903C7"/>
    <w:rsid w:val="003918D7"/>
    <w:rsid w:val="003A0567"/>
    <w:rsid w:val="003A1E86"/>
    <w:rsid w:val="003B0499"/>
    <w:rsid w:val="003B0531"/>
    <w:rsid w:val="003B59D5"/>
    <w:rsid w:val="003B6DA6"/>
    <w:rsid w:val="003B74E6"/>
    <w:rsid w:val="003B7BA2"/>
    <w:rsid w:val="003C0627"/>
    <w:rsid w:val="003C5343"/>
    <w:rsid w:val="003C562E"/>
    <w:rsid w:val="003C5AD7"/>
    <w:rsid w:val="003C7A9C"/>
    <w:rsid w:val="003D3992"/>
    <w:rsid w:val="003E31BB"/>
    <w:rsid w:val="003E5823"/>
    <w:rsid w:val="003F092E"/>
    <w:rsid w:val="003F17BD"/>
    <w:rsid w:val="003F1D16"/>
    <w:rsid w:val="003F1F61"/>
    <w:rsid w:val="003F458B"/>
    <w:rsid w:val="0040011E"/>
    <w:rsid w:val="00400810"/>
    <w:rsid w:val="00403AEC"/>
    <w:rsid w:val="00405670"/>
    <w:rsid w:val="004072B8"/>
    <w:rsid w:val="00410216"/>
    <w:rsid w:val="00411123"/>
    <w:rsid w:val="0041213C"/>
    <w:rsid w:val="00412983"/>
    <w:rsid w:val="0041790E"/>
    <w:rsid w:val="00422469"/>
    <w:rsid w:val="0042434B"/>
    <w:rsid w:val="0042445E"/>
    <w:rsid w:val="004247B4"/>
    <w:rsid w:val="004250B8"/>
    <w:rsid w:val="00425B9A"/>
    <w:rsid w:val="00427C7B"/>
    <w:rsid w:val="0043059D"/>
    <w:rsid w:val="00431296"/>
    <w:rsid w:val="00431F20"/>
    <w:rsid w:val="00432CC5"/>
    <w:rsid w:val="00433629"/>
    <w:rsid w:val="00434BCA"/>
    <w:rsid w:val="0043531C"/>
    <w:rsid w:val="00437EA5"/>
    <w:rsid w:val="00443632"/>
    <w:rsid w:val="00447B20"/>
    <w:rsid w:val="004520EE"/>
    <w:rsid w:val="00453574"/>
    <w:rsid w:val="004547D7"/>
    <w:rsid w:val="004574F4"/>
    <w:rsid w:val="00462646"/>
    <w:rsid w:val="004647CE"/>
    <w:rsid w:val="004670F0"/>
    <w:rsid w:val="004675EE"/>
    <w:rsid w:val="00477381"/>
    <w:rsid w:val="00477FE0"/>
    <w:rsid w:val="00480181"/>
    <w:rsid w:val="0048069D"/>
    <w:rsid w:val="00480B3B"/>
    <w:rsid w:val="00482F4F"/>
    <w:rsid w:val="00483AE3"/>
    <w:rsid w:val="004870EB"/>
    <w:rsid w:val="00490E2D"/>
    <w:rsid w:val="00494E0B"/>
    <w:rsid w:val="004963CE"/>
    <w:rsid w:val="00496D58"/>
    <w:rsid w:val="004973F0"/>
    <w:rsid w:val="00497609"/>
    <w:rsid w:val="004A0141"/>
    <w:rsid w:val="004A580B"/>
    <w:rsid w:val="004B03D3"/>
    <w:rsid w:val="004B3AFC"/>
    <w:rsid w:val="004B77F2"/>
    <w:rsid w:val="004B7F41"/>
    <w:rsid w:val="004C1C0A"/>
    <w:rsid w:val="004C312C"/>
    <w:rsid w:val="004C5596"/>
    <w:rsid w:val="004C63C6"/>
    <w:rsid w:val="004D0FEB"/>
    <w:rsid w:val="004D1B1E"/>
    <w:rsid w:val="004D361A"/>
    <w:rsid w:val="004D5DB2"/>
    <w:rsid w:val="004E0150"/>
    <w:rsid w:val="004E292F"/>
    <w:rsid w:val="004E3B39"/>
    <w:rsid w:val="004E3D05"/>
    <w:rsid w:val="004E3F95"/>
    <w:rsid w:val="004E63AA"/>
    <w:rsid w:val="004E6CD4"/>
    <w:rsid w:val="004E6DC4"/>
    <w:rsid w:val="004E7FBC"/>
    <w:rsid w:val="004F17E2"/>
    <w:rsid w:val="004F3155"/>
    <w:rsid w:val="004F4AC7"/>
    <w:rsid w:val="004F64E5"/>
    <w:rsid w:val="004F6D50"/>
    <w:rsid w:val="004F71E2"/>
    <w:rsid w:val="004F7546"/>
    <w:rsid w:val="004F7D31"/>
    <w:rsid w:val="0050039C"/>
    <w:rsid w:val="005014B9"/>
    <w:rsid w:val="00506CBA"/>
    <w:rsid w:val="0051241D"/>
    <w:rsid w:val="005126AC"/>
    <w:rsid w:val="005134DC"/>
    <w:rsid w:val="00513D32"/>
    <w:rsid w:val="00513EE2"/>
    <w:rsid w:val="00515D0E"/>
    <w:rsid w:val="005204C1"/>
    <w:rsid w:val="0052198C"/>
    <w:rsid w:val="00522127"/>
    <w:rsid w:val="005226EB"/>
    <w:rsid w:val="00523258"/>
    <w:rsid w:val="00524A14"/>
    <w:rsid w:val="00526571"/>
    <w:rsid w:val="00526C5E"/>
    <w:rsid w:val="0053066C"/>
    <w:rsid w:val="00531531"/>
    <w:rsid w:val="00532511"/>
    <w:rsid w:val="005332C1"/>
    <w:rsid w:val="00533476"/>
    <w:rsid w:val="005347C8"/>
    <w:rsid w:val="005377F3"/>
    <w:rsid w:val="005411B2"/>
    <w:rsid w:val="00542EF1"/>
    <w:rsid w:val="00543382"/>
    <w:rsid w:val="00545328"/>
    <w:rsid w:val="005479C8"/>
    <w:rsid w:val="005504DE"/>
    <w:rsid w:val="00550D68"/>
    <w:rsid w:val="00553782"/>
    <w:rsid w:val="005573A5"/>
    <w:rsid w:val="005607B6"/>
    <w:rsid w:val="0056395D"/>
    <w:rsid w:val="005639F6"/>
    <w:rsid w:val="00565881"/>
    <w:rsid w:val="00567453"/>
    <w:rsid w:val="005677B0"/>
    <w:rsid w:val="00567C74"/>
    <w:rsid w:val="0057179E"/>
    <w:rsid w:val="005725A8"/>
    <w:rsid w:val="00574B8D"/>
    <w:rsid w:val="00575FBA"/>
    <w:rsid w:val="005805E7"/>
    <w:rsid w:val="00580C36"/>
    <w:rsid w:val="0058239D"/>
    <w:rsid w:val="00593CB0"/>
    <w:rsid w:val="00594091"/>
    <w:rsid w:val="005A28FE"/>
    <w:rsid w:val="005A49D7"/>
    <w:rsid w:val="005A546F"/>
    <w:rsid w:val="005A6D8C"/>
    <w:rsid w:val="005A74F3"/>
    <w:rsid w:val="005B0F2B"/>
    <w:rsid w:val="005B2EA8"/>
    <w:rsid w:val="005B6E93"/>
    <w:rsid w:val="005C09CE"/>
    <w:rsid w:val="005C52A2"/>
    <w:rsid w:val="005C5964"/>
    <w:rsid w:val="005C5ACB"/>
    <w:rsid w:val="005C62A4"/>
    <w:rsid w:val="005C793A"/>
    <w:rsid w:val="005D05DD"/>
    <w:rsid w:val="005D1A60"/>
    <w:rsid w:val="005D3206"/>
    <w:rsid w:val="005D7799"/>
    <w:rsid w:val="005E0B6F"/>
    <w:rsid w:val="005E0E75"/>
    <w:rsid w:val="005E2511"/>
    <w:rsid w:val="005E3B19"/>
    <w:rsid w:val="005E4596"/>
    <w:rsid w:val="005E490F"/>
    <w:rsid w:val="005E4A21"/>
    <w:rsid w:val="005E65C8"/>
    <w:rsid w:val="005E6ED0"/>
    <w:rsid w:val="005E7EF6"/>
    <w:rsid w:val="005F17E1"/>
    <w:rsid w:val="005F18CA"/>
    <w:rsid w:val="005F4538"/>
    <w:rsid w:val="005F6AAB"/>
    <w:rsid w:val="005F701D"/>
    <w:rsid w:val="006021B0"/>
    <w:rsid w:val="00604097"/>
    <w:rsid w:val="00604750"/>
    <w:rsid w:val="00604FF9"/>
    <w:rsid w:val="0060569B"/>
    <w:rsid w:val="00605B61"/>
    <w:rsid w:val="006061AF"/>
    <w:rsid w:val="00606DB7"/>
    <w:rsid w:val="00610E5E"/>
    <w:rsid w:val="00613881"/>
    <w:rsid w:val="006144FF"/>
    <w:rsid w:val="0061548D"/>
    <w:rsid w:val="00616673"/>
    <w:rsid w:val="0061691D"/>
    <w:rsid w:val="00616E18"/>
    <w:rsid w:val="00620899"/>
    <w:rsid w:val="00625874"/>
    <w:rsid w:val="006262F0"/>
    <w:rsid w:val="00626BD3"/>
    <w:rsid w:val="00627578"/>
    <w:rsid w:val="0063137F"/>
    <w:rsid w:val="006316CA"/>
    <w:rsid w:val="006331C2"/>
    <w:rsid w:val="00633D1E"/>
    <w:rsid w:val="00635CB0"/>
    <w:rsid w:val="006371B1"/>
    <w:rsid w:val="006406B1"/>
    <w:rsid w:val="0064261D"/>
    <w:rsid w:val="00642C0E"/>
    <w:rsid w:val="00643DF2"/>
    <w:rsid w:val="006444DB"/>
    <w:rsid w:val="0064663F"/>
    <w:rsid w:val="00657140"/>
    <w:rsid w:val="00660F00"/>
    <w:rsid w:val="00661492"/>
    <w:rsid w:val="006621C9"/>
    <w:rsid w:val="0066283B"/>
    <w:rsid w:val="006700A0"/>
    <w:rsid w:val="00671D8C"/>
    <w:rsid w:val="006737B7"/>
    <w:rsid w:val="0067413D"/>
    <w:rsid w:val="0067417F"/>
    <w:rsid w:val="00677063"/>
    <w:rsid w:val="00682627"/>
    <w:rsid w:val="0068293F"/>
    <w:rsid w:val="006833EA"/>
    <w:rsid w:val="00691333"/>
    <w:rsid w:val="0069296F"/>
    <w:rsid w:val="00697CA2"/>
    <w:rsid w:val="006A0F8E"/>
    <w:rsid w:val="006A2645"/>
    <w:rsid w:val="006A3211"/>
    <w:rsid w:val="006A5D8E"/>
    <w:rsid w:val="006A7883"/>
    <w:rsid w:val="006A7D14"/>
    <w:rsid w:val="006B28E6"/>
    <w:rsid w:val="006B33C2"/>
    <w:rsid w:val="006B454B"/>
    <w:rsid w:val="006B6642"/>
    <w:rsid w:val="006C0784"/>
    <w:rsid w:val="006C082D"/>
    <w:rsid w:val="006C0FF0"/>
    <w:rsid w:val="006C49F8"/>
    <w:rsid w:val="006C4C45"/>
    <w:rsid w:val="006C5A28"/>
    <w:rsid w:val="006C7BE3"/>
    <w:rsid w:val="006D1244"/>
    <w:rsid w:val="006D5229"/>
    <w:rsid w:val="006D5673"/>
    <w:rsid w:val="006D667F"/>
    <w:rsid w:val="006D66E0"/>
    <w:rsid w:val="006D7969"/>
    <w:rsid w:val="006E3485"/>
    <w:rsid w:val="006E43A1"/>
    <w:rsid w:val="006E466D"/>
    <w:rsid w:val="006E5193"/>
    <w:rsid w:val="006E51A3"/>
    <w:rsid w:val="006E6B51"/>
    <w:rsid w:val="006F15D9"/>
    <w:rsid w:val="006F170B"/>
    <w:rsid w:val="006F2466"/>
    <w:rsid w:val="006F31F3"/>
    <w:rsid w:val="006F4E02"/>
    <w:rsid w:val="006F5053"/>
    <w:rsid w:val="006F5B12"/>
    <w:rsid w:val="0070108A"/>
    <w:rsid w:val="007014E2"/>
    <w:rsid w:val="00701F0F"/>
    <w:rsid w:val="0070333F"/>
    <w:rsid w:val="00703821"/>
    <w:rsid w:val="007053B1"/>
    <w:rsid w:val="007072FF"/>
    <w:rsid w:val="00713098"/>
    <w:rsid w:val="007131D4"/>
    <w:rsid w:val="00713EC7"/>
    <w:rsid w:val="00717931"/>
    <w:rsid w:val="0072189F"/>
    <w:rsid w:val="00723321"/>
    <w:rsid w:val="00724F4D"/>
    <w:rsid w:val="00724F58"/>
    <w:rsid w:val="007270EB"/>
    <w:rsid w:val="007312C2"/>
    <w:rsid w:val="00731747"/>
    <w:rsid w:val="007350D2"/>
    <w:rsid w:val="007426C5"/>
    <w:rsid w:val="00742F2C"/>
    <w:rsid w:val="007433B5"/>
    <w:rsid w:val="00745C19"/>
    <w:rsid w:val="007460DA"/>
    <w:rsid w:val="0074771C"/>
    <w:rsid w:val="0075228A"/>
    <w:rsid w:val="00755819"/>
    <w:rsid w:val="00757578"/>
    <w:rsid w:val="00761B70"/>
    <w:rsid w:val="007622D1"/>
    <w:rsid w:val="00764679"/>
    <w:rsid w:val="00764BCC"/>
    <w:rsid w:val="007662B3"/>
    <w:rsid w:val="00766ACB"/>
    <w:rsid w:val="00766E61"/>
    <w:rsid w:val="0077241C"/>
    <w:rsid w:val="00772A49"/>
    <w:rsid w:val="00773B53"/>
    <w:rsid w:val="00781D29"/>
    <w:rsid w:val="00783971"/>
    <w:rsid w:val="00784283"/>
    <w:rsid w:val="007848A6"/>
    <w:rsid w:val="0079035F"/>
    <w:rsid w:val="00790B4E"/>
    <w:rsid w:val="00794A7B"/>
    <w:rsid w:val="00795451"/>
    <w:rsid w:val="00795974"/>
    <w:rsid w:val="00795FCB"/>
    <w:rsid w:val="007962B5"/>
    <w:rsid w:val="007A0351"/>
    <w:rsid w:val="007A2A2B"/>
    <w:rsid w:val="007B3099"/>
    <w:rsid w:val="007B30C4"/>
    <w:rsid w:val="007B7F02"/>
    <w:rsid w:val="007C1831"/>
    <w:rsid w:val="007C25B0"/>
    <w:rsid w:val="007C2C7A"/>
    <w:rsid w:val="007C428B"/>
    <w:rsid w:val="007C5185"/>
    <w:rsid w:val="007D029F"/>
    <w:rsid w:val="007D22D3"/>
    <w:rsid w:val="007D4A5A"/>
    <w:rsid w:val="007D5824"/>
    <w:rsid w:val="007D69E1"/>
    <w:rsid w:val="007D79E7"/>
    <w:rsid w:val="007E1299"/>
    <w:rsid w:val="007E3C83"/>
    <w:rsid w:val="007E43F4"/>
    <w:rsid w:val="007E4F0F"/>
    <w:rsid w:val="007E6C1C"/>
    <w:rsid w:val="007F05C8"/>
    <w:rsid w:val="007F0919"/>
    <w:rsid w:val="007F0F79"/>
    <w:rsid w:val="007F1326"/>
    <w:rsid w:val="007F15B2"/>
    <w:rsid w:val="007F24D6"/>
    <w:rsid w:val="007F4D22"/>
    <w:rsid w:val="007F6FDF"/>
    <w:rsid w:val="007F7287"/>
    <w:rsid w:val="00802DE7"/>
    <w:rsid w:val="008049D2"/>
    <w:rsid w:val="00804A84"/>
    <w:rsid w:val="00804C05"/>
    <w:rsid w:val="00806203"/>
    <w:rsid w:val="008064EE"/>
    <w:rsid w:val="0080669E"/>
    <w:rsid w:val="00810FC6"/>
    <w:rsid w:val="00812703"/>
    <w:rsid w:val="00814703"/>
    <w:rsid w:val="00816683"/>
    <w:rsid w:val="00816C4D"/>
    <w:rsid w:val="00821FD6"/>
    <w:rsid w:val="0082227E"/>
    <w:rsid w:val="0082359D"/>
    <w:rsid w:val="0082793C"/>
    <w:rsid w:val="00830020"/>
    <w:rsid w:val="00833561"/>
    <w:rsid w:val="00833B73"/>
    <w:rsid w:val="00834DF2"/>
    <w:rsid w:val="008375BF"/>
    <w:rsid w:val="00840B3B"/>
    <w:rsid w:val="0084186A"/>
    <w:rsid w:val="00841C83"/>
    <w:rsid w:val="00842934"/>
    <w:rsid w:val="00842D87"/>
    <w:rsid w:val="0084780B"/>
    <w:rsid w:val="008549BC"/>
    <w:rsid w:val="00861327"/>
    <w:rsid w:val="00863F4C"/>
    <w:rsid w:val="008640A0"/>
    <w:rsid w:val="00864D93"/>
    <w:rsid w:val="00865228"/>
    <w:rsid w:val="00866F4E"/>
    <w:rsid w:val="00867A96"/>
    <w:rsid w:val="00867F68"/>
    <w:rsid w:val="0087232C"/>
    <w:rsid w:val="00872592"/>
    <w:rsid w:val="008728A4"/>
    <w:rsid w:val="00872B98"/>
    <w:rsid w:val="00873F10"/>
    <w:rsid w:val="0087584F"/>
    <w:rsid w:val="008807CC"/>
    <w:rsid w:val="00887056"/>
    <w:rsid w:val="00887467"/>
    <w:rsid w:val="00887580"/>
    <w:rsid w:val="00887CCB"/>
    <w:rsid w:val="008901DB"/>
    <w:rsid w:val="0089077D"/>
    <w:rsid w:val="00890F11"/>
    <w:rsid w:val="00894D69"/>
    <w:rsid w:val="008A1A8E"/>
    <w:rsid w:val="008A60BA"/>
    <w:rsid w:val="008B281B"/>
    <w:rsid w:val="008B30C9"/>
    <w:rsid w:val="008B335B"/>
    <w:rsid w:val="008B39F4"/>
    <w:rsid w:val="008B4724"/>
    <w:rsid w:val="008B49A5"/>
    <w:rsid w:val="008B7761"/>
    <w:rsid w:val="008B7A1E"/>
    <w:rsid w:val="008C09B2"/>
    <w:rsid w:val="008C26CA"/>
    <w:rsid w:val="008C3688"/>
    <w:rsid w:val="008C3D75"/>
    <w:rsid w:val="008C5427"/>
    <w:rsid w:val="008D3E70"/>
    <w:rsid w:val="008D5810"/>
    <w:rsid w:val="008D5B81"/>
    <w:rsid w:val="008E15A5"/>
    <w:rsid w:val="008E170B"/>
    <w:rsid w:val="008E2590"/>
    <w:rsid w:val="008E2746"/>
    <w:rsid w:val="008E3BDC"/>
    <w:rsid w:val="008E50AE"/>
    <w:rsid w:val="008F0D59"/>
    <w:rsid w:val="008F60BD"/>
    <w:rsid w:val="008F695E"/>
    <w:rsid w:val="008F7700"/>
    <w:rsid w:val="008F773F"/>
    <w:rsid w:val="00901EB0"/>
    <w:rsid w:val="009028D7"/>
    <w:rsid w:val="00903B60"/>
    <w:rsid w:val="0090444B"/>
    <w:rsid w:val="00905FE4"/>
    <w:rsid w:val="009109A8"/>
    <w:rsid w:val="0091254D"/>
    <w:rsid w:val="0091532D"/>
    <w:rsid w:val="00915EE1"/>
    <w:rsid w:val="00916B9A"/>
    <w:rsid w:val="00917569"/>
    <w:rsid w:val="0091767F"/>
    <w:rsid w:val="009216E9"/>
    <w:rsid w:val="00923EBF"/>
    <w:rsid w:val="00927108"/>
    <w:rsid w:val="009275DD"/>
    <w:rsid w:val="00931F4B"/>
    <w:rsid w:val="00936C0F"/>
    <w:rsid w:val="00936FB0"/>
    <w:rsid w:val="00940732"/>
    <w:rsid w:val="009445AA"/>
    <w:rsid w:val="0094558B"/>
    <w:rsid w:val="00945D3F"/>
    <w:rsid w:val="00950705"/>
    <w:rsid w:val="00950D1B"/>
    <w:rsid w:val="00951450"/>
    <w:rsid w:val="0095169A"/>
    <w:rsid w:val="00951979"/>
    <w:rsid w:val="009526AB"/>
    <w:rsid w:val="00955635"/>
    <w:rsid w:val="009570BB"/>
    <w:rsid w:val="00962328"/>
    <w:rsid w:val="00963772"/>
    <w:rsid w:val="009639FF"/>
    <w:rsid w:val="00963A12"/>
    <w:rsid w:val="0096506E"/>
    <w:rsid w:val="00970E3F"/>
    <w:rsid w:val="00970F36"/>
    <w:rsid w:val="00971B11"/>
    <w:rsid w:val="009726FB"/>
    <w:rsid w:val="00975392"/>
    <w:rsid w:val="00984560"/>
    <w:rsid w:val="00986B04"/>
    <w:rsid w:val="0098709A"/>
    <w:rsid w:val="009876BB"/>
    <w:rsid w:val="00987808"/>
    <w:rsid w:val="00987D4F"/>
    <w:rsid w:val="00991B75"/>
    <w:rsid w:val="00993139"/>
    <w:rsid w:val="00995D84"/>
    <w:rsid w:val="009976C1"/>
    <w:rsid w:val="009A0D3F"/>
    <w:rsid w:val="009A18EB"/>
    <w:rsid w:val="009A2B4E"/>
    <w:rsid w:val="009A3C5A"/>
    <w:rsid w:val="009A51F0"/>
    <w:rsid w:val="009B16D8"/>
    <w:rsid w:val="009B4554"/>
    <w:rsid w:val="009B5178"/>
    <w:rsid w:val="009B7BA0"/>
    <w:rsid w:val="009B7F35"/>
    <w:rsid w:val="009C1C4A"/>
    <w:rsid w:val="009C39C1"/>
    <w:rsid w:val="009C55F3"/>
    <w:rsid w:val="009D0767"/>
    <w:rsid w:val="009D1E1A"/>
    <w:rsid w:val="009D5346"/>
    <w:rsid w:val="009E14E8"/>
    <w:rsid w:val="009E1981"/>
    <w:rsid w:val="009E32EA"/>
    <w:rsid w:val="009E7358"/>
    <w:rsid w:val="009F2871"/>
    <w:rsid w:val="009F3063"/>
    <w:rsid w:val="009F4244"/>
    <w:rsid w:val="009F5320"/>
    <w:rsid w:val="009F5ED3"/>
    <w:rsid w:val="009F61F3"/>
    <w:rsid w:val="00A05D39"/>
    <w:rsid w:val="00A131E9"/>
    <w:rsid w:val="00A13636"/>
    <w:rsid w:val="00A14254"/>
    <w:rsid w:val="00A1748D"/>
    <w:rsid w:val="00A210FF"/>
    <w:rsid w:val="00A22656"/>
    <w:rsid w:val="00A26312"/>
    <w:rsid w:val="00A26671"/>
    <w:rsid w:val="00A2794A"/>
    <w:rsid w:val="00A315E2"/>
    <w:rsid w:val="00A31789"/>
    <w:rsid w:val="00A31DC7"/>
    <w:rsid w:val="00A32154"/>
    <w:rsid w:val="00A35729"/>
    <w:rsid w:val="00A35F8B"/>
    <w:rsid w:val="00A3734A"/>
    <w:rsid w:val="00A37364"/>
    <w:rsid w:val="00A415C1"/>
    <w:rsid w:val="00A427E4"/>
    <w:rsid w:val="00A42934"/>
    <w:rsid w:val="00A452F4"/>
    <w:rsid w:val="00A471A0"/>
    <w:rsid w:val="00A51CA3"/>
    <w:rsid w:val="00A53306"/>
    <w:rsid w:val="00A54320"/>
    <w:rsid w:val="00A56DB8"/>
    <w:rsid w:val="00A61281"/>
    <w:rsid w:val="00A62DDB"/>
    <w:rsid w:val="00A65384"/>
    <w:rsid w:val="00A66275"/>
    <w:rsid w:val="00A714D7"/>
    <w:rsid w:val="00A72D87"/>
    <w:rsid w:val="00A743C9"/>
    <w:rsid w:val="00A746A2"/>
    <w:rsid w:val="00A74D4C"/>
    <w:rsid w:val="00A75BD9"/>
    <w:rsid w:val="00A76126"/>
    <w:rsid w:val="00A81829"/>
    <w:rsid w:val="00A81FB2"/>
    <w:rsid w:val="00A84710"/>
    <w:rsid w:val="00A85D40"/>
    <w:rsid w:val="00A85DF5"/>
    <w:rsid w:val="00A8749A"/>
    <w:rsid w:val="00A9290A"/>
    <w:rsid w:val="00A92AE1"/>
    <w:rsid w:val="00A96F4C"/>
    <w:rsid w:val="00A97A2A"/>
    <w:rsid w:val="00AA1CF0"/>
    <w:rsid w:val="00AA2294"/>
    <w:rsid w:val="00AA583A"/>
    <w:rsid w:val="00AA5F7E"/>
    <w:rsid w:val="00AA6D8F"/>
    <w:rsid w:val="00AA6E44"/>
    <w:rsid w:val="00AB2046"/>
    <w:rsid w:val="00AB4BCA"/>
    <w:rsid w:val="00AB616F"/>
    <w:rsid w:val="00AB6FF0"/>
    <w:rsid w:val="00AC23EA"/>
    <w:rsid w:val="00AC75D9"/>
    <w:rsid w:val="00AD0B7D"/>
    <w:rsid w:val="00AD1CA8"/>
    <w:rsid w:val="00AD2517"/>
    <w:rsid w:val="00AD2C96"/>
    <w:rsid w:val="00AD2F18"/>
    <w:rsid w:val="00AD4A44"/>
    <w:rsid w:val="00AD6383"/>
    <w:rsid w:val="00AE0E05"/>
    <w:rsid w:val="00AE3554"/>
    <w:rsid w:val="00AE3889"/>
    <w:rsid w:val="00AE7B1D"/>
    <w:rsid w:val="00AF0760"/>
    <w:rsid w:val="00AF1DE7"/>
    <w:rsid w:val="00AF336B"/>
    <w:rsid w:val="00AF52F8"/>
    <w:rsid w:val="00AF5F66"/>
    <w:rsid w:val="00AF62A9"/>
    <w:rsid w:val="00B00EC7"/>
    <w:rsid w:val="00B02CC9"/>
    <w:rsid w:val="00B05C3C"/>
    <w:rsid w:val="00B0676C"/>
    <w:rsid w:val="00B0682B"/>
    <w:rsid w:val="00B06F76"/>
    <w:rsid w:val="00B1014E"/>
    <w:rsid w:val="00B11116"/>
    <w:rsid w:val="00B11898"/>
    <w:rsid w:val="00B11ED1"/>
    <w:rsid w:val="00B11F8F"/>
    <w:rsid w:val="00B15A6E"/>
    <w:rsid w:val="00B15F35"/>
    <w:rsid w:val="00B22517"/>
    <w:rsid w:val="00B2399B"/>
    <w:rsid w:val="00B251F1"/>
    <w:rsid w:val="00B256D6"/>
    <w:rsid w:val="00B25858"/>
    <w:rsid w:val="00B3186E"/>
    <w:rsid w:val="00B319D8"/>
    <w:rsid w:val="00B3315B"/>
    <w:rsid w:val="00B33657"/>
    <w:rsid w:val="00B36F53"/>
    <w:rsid w:val="00B3733E"/>
    <w:rsid w:val="00B37FC2"/>
    <w:rsid w:val="00B403C8"/>
    <w:rsid w:val="00B40CDE"/>
    <w:rsid w:val="00B4287F"/>
    <w:rsid w:val="00B445BD"/>
    <w:rsid w:val="00B459C7"/>
    <w:rsid w:val="00B45D64"/>
    <w:rsid w:val="00B47242"/>
    <w:rsid w:val="00B5001B"/>
    <w:rsid w:val="00B55C80"/>
    <w:rsid w:val="00B56508"/>
    <w:rsid w:val="00B5731E"/>
    <w:rsid w:val="00B600D1"/>
    <w:rsid w:val="00B60CA1"/>
    <w:rsid w:val="00B616EB"/>
    <w:rsid w:val="00B7061D"/>
    <w:rsid w:val="00B73FB1"/>
    <w:rsid w:val="00B7412D"/>
    <w:rsid w:val="00B74B71"/>
    <w:rsid w:val="00B75343"/>
    <w:rsid w:val="00B76656"/>
    <w:rsid w:val="00B80FFD"/>
    <w:rsid w:val="00B813C9"/>
    <w:rsid w:val="00B866BE"/>
    <w:rsid w:val="00B916F5"/>
    <w:rsid w:val="00B917A2"/>
    <w:rsid w:val="00B91C3B"/>
    <w:rsid w:val="00B91FD5"/>
    <w:rsid w:val="00B94CB9"/>
    <w:rsid w:val="00B9586D"/>
    <w:rsid w:val="00BA0528"/>
    <w:rsid w:val="00BA320B"/>
    <w:rsid w:val="00BA66F6"/>
    <w:rsid w:val="00BB0861"/>
    <w:rsid w:val="00BB0D4B"/>
    <w:rsid w:val="00BB3947"/>
    <w:rsid w:val="00BB44B2"/>
    <w:rsid w:val="00BB4AF0"/>
    <w:rsid w:val="00BC0915"/>
    <w:rsid w:val="00BC15E4"/>
    <w:rsid w:val="00BC2593"/>
    <w:rsid w:val="00BC4C92"/>
    <w:rsid w:val="00BC6098"/>
    <w:rsid w:val="00BC647F"/>
    <w:rsid w:val="00BD04A7"/>
    <w:rsid w:val="00BD0DC9"/>
    <w:rsid w:val="00BD2089"/>
    <w:rsid w:val="00BD2855"/>
    <w:rsid w:val="00BD4850"/>
    <w:rsid w:val="00BD62C8"/>
    <w:rsid w:val="00BD72DC"/>
    <w:rsid w:val="00BE44FB"/>
    <w:rsid w:val="00BF0D45"/>
    <w:rsid w:val="00BF211C"/>
    <w:rsid w:val="00BF3205"/>
    <w:rsid w:val="00BF5ACD"/>
    <w:rsid w:val="00C01840"/>
    <w:rsid w:val="00C024F0"/>
    <w:rsid w:val="00C06356"/>
    <w:rsid w:val="00C10F4A"/>
    <w:rsid w:val="00C12240"/>
    <w:rsid w:val="00C13E81"/>
    <w:rsid w:val="00C252F5"/>
    <w:rsid w:val="00C2604B"/>
    <w:rsid w:val="00C26FC7"/>
    <w:rsid w:val="00C33592"/>
    <w:rsid w:val="00C36877"/>
    <w:rsid w:val="00C40852"/>
    <w:rsid w:val="00C41B04"/>
    <w:rsid w:val="00C4335B"/>
    <w:rsid w:val="00C438E9"/>
    <w:rsid w:val="00C43B05"/>
    <w:rsid w:val="00C448FF"/>
    <w:rsid w:val="00C454E8"/>
    <w:rsid w:val="00C45CEC"/>
    <w:rsid w:val="00C46A0E"/>
    <w:rsid w:val="00C46FCB"/>
    <w:rsid w:val="00C478FE"/>
    <w:rsid w:val="00C47EB4"/>
    <w:rsid w:val="00C54B6D"/>
    <w:rsid w:val="00C550BF"/>
    <w:rsid w:val="00C62125"/>
    <w:rsid w:val="00C62CF3"/>
    <w:rsid w:val="00C62D3E"/>
    <w:rsid w:val="00C6333B"/>
    <w:rsid w:val="00C67F55"/>
    <w:rsid w:val="00C70E73"/>
    <w:rsid w:val="00C7178F"/>
    <w:rsid w:val="00C71DCC"/>
    <w:rsid w:val="00C7397C"/>
    <w:rsid w:val="00C763BC"/>
    <w:rsid w:val="00C76D9D"/>
    <w:rsid w:val="00C77037"/>
    <w:rsid w:val="00C817C5"/>
    <w:rsid w:val="00C81A19"/>
    <w:rsid w:val="00C81A98"/>
    <w:rsid w:val="00C81CC8"/>
    <w:rsid w:val="00C82F0B"/>
    <w:rsid w:val="00C83683"/>
    <w:rsid w:val="00C843C8"/>
    <w:rsid w:val="00C85216"/>
    <w:rsid w:val="00C86E03"/>
    <w:rsid w:val="00C9253A"/>
    <w:rsid w:val="00C93662"/>
    <w:rsid w:val="00C97564"/>
    <w:rsid w:val="00C97FEE"/>
    <w:rsid w:val="00CA2B87"/>
    <w:rsid w:val="00CA3B96"/>
    <w:rsid w:val="00CA40F5"/>
    <w:rsid w:val="00CA550E"/>
    <w:rsid w:val="00CA6A9B"/>
    <w:rsid w:val="00CA7FC4"/>
    <w:rsid w:val="00CB0E09"/>
    <w:rsid w:val="00CB0FCE"/>
    <w:rsid w:val="00CB1013"/>
    <w:rsid w:val="00CB27FF"/>
    <w:rsid w:val="00CB471C"/>
    <w:rsid w:val="00CB4B3D"/>
    <w:rsid w:val="00CC09D1"/>
    <w:rsid w:val="00CC2CB9"/>
    <w:rsid w:val="00CC7526"/>
    <w:rsid w:val="00CD5366"/>
    <w:rsid w:val="00CD64E3"/>
    <w:rsid w:val="00CE0D85"/>
    <w:rsid w:val="00CE3325"/>
    <w:rsid w:val="00CE617A"/>
    <w:rsid w:val="00CE6EF6"/>
    <w:rsid w:val="00CE7EBB"/>
    <w:rsid w:val="00CF258F"/>
    <w:rsid w:val="00CF5D88"/>
    <w:rsid w:val="00CF72EF"/>
    <w:rsid w:val="00CF7D97"/>
    <w:rsid w:val="00D01BAA"/>
    <w:rsid w:val="00D01BCA"/>
    <w:rsid w:val="00D04E61"/>
    <w:rsid w:val="00D077FA"/>
    <w:rsid w:val="00D116EF"/>
    <w:rsid w:val="00D12B63"/>
    <w:rsid w:val="00D13313"/>
    <w:rsid w:val="00D15E8D"/>
    <w:rsid w:val="00D16373"/>
    <w:rsid w:val="00D23B22"/>
    <w:rsid w:val="00D23F90"/>
    <w:rsid w:val="00D2405A"/>
    <w:rsid w:val="00D266A4"/>
    <w:rsid w:val="00D279EC"/>
    <w:rsid w:val="00D301A2"/>
    <w:rsid w:val="00D30B6F"/>
    <w:rsid w:val="00D3176D"/>
    <w:rsid w:val="00D33A0F"/>
    <w:rsid w:val="00D353F8"/>
    <w:rsid w:val="00D3592D"/>
    <w:rsid w:val="00D35C66"/>
    <w:rsid w:val="00D36189"/>
    <w:rsid w:val="00D366A2"/>
    <w:rsid w:val="00D36EDE"/>
    <w:rsid w:val="00D40875"/>
    <w:rsid w:val="00D431E6"/>
    <w:rsid w:val="00D43BB1"/>
    <w:rsid w:val="00D43CB1"/>
    <w:rsid w:val="00D43CDB"/>
    <w:rsid w:val="00D5035B"/>
    <w:rsid w:val="00D5088F"/>
    <w:rsid w:val="00D5134D"/>
    <w:rsid w:val="00D51FE1"/>
    <w:rsid w:val="00D52621"/>
    <w:rsid w:val="00D5279B"/>
    <w:rsid w:val="00D52F97"/>
    <w:rsid w:val="00D544AF"/>
    <w:rsid w:val="00D54812"/>
    <w:rsid w:val="00D55773"/>
    <w:rsid w:val="00D57B64"/>
    <w:rsid w:val="00D57C6F"/>
    <w:rsid w:val="00D605D2"/>
    <w:rsid w:val="00D62011"/>
    <w:rsid w:val="00D646EA"/>
    <w:rsid w:val="00D648C6"/>
    <w:rsid w:val="00D67506"/>
    <w:rsid w:val="00D71DCF"/>
    <w:rsid w:val="00D72163"/>
    <w:rsid w:val="00D7296A"/>
    <w:rsid w:val="00D73714"/>
    <w:rsid w:val="00D74329"/>
    <w:rsid w:val="00D7513E"/>
    <w:rsid w:val="00D75419"/>
    <w:rsid w:val="00D779D6"/>
    <w:rsid w:val="00D80606"/>
    <w:rsid w:val="00D81B52"/>
    <w:rsid w:val="00D825EA"/>
    <w:rsid w:val="00D828F6"/>
    <w:rsid w:val="00D849F2"/>
    <w:rsid w:val="00D84FF3"/>
    <w:rsid w:val="00D8549F"/>
    <w:rsid w:val="00D86479"/>
    <w:rsid w:val="00D86E23"/>
    <w:rsid w:val="00D91507"/>
    <w:rsid w:val="00D92DFC"/>
    <w:rsid w:val="00D93B08"/>
    <w:rsid w:val="00D9518B"/>
    <w:rsid w:val="00D9686C"/>
    <w:rsid w:val="00D96B6C"/>
    <w:rsid w:val="00DA0FE6"/>
    <w:rsid w:val="00DA2CFB"/>
    <w:rsid w:val="00DA3000"/>
    <w:rsid w:val="00DB05AF"/>
    <w:rsid w:val="00DB0991"/>
    <w:rsid w:val="00DB0A43"/>
    <w:rsid w:val="00DB312E"/>
    <w:rsid w:val="00DB3BEF"/>
    <w:rsid w:val="00DB411C"/>
    <w:rsid w:val="00DB5742"/>
    <w:rsid w:val="00DB5898"/>
    <w:rsid w:val="00DB7332"/>
    <w:rsid w:val="00DB7465"/>
    <w:rsid w:val="00DC1078"/>
    <w:rsid w:val="00DC1546"/>
    <w:rsid w:val="00DC47D7"/>
    <w:rsid w:val="00DC4E5C"/>
    <w:rsid w:val="00DD08FC"/>
    <w:rsid w:val="00DD3891"/>
    <w:rsid w:val="00DD47F6"/>
    <w:rsid w:val="00DD48D3"/>
    <w:rsid w:val="00DD4C6B"/>
    <w:rsid w:val="00DD50BC"/>
    <w:rsid w:val="00DD7759"/>
    <w:rsid w:val="00DE123D"/>
    <w:rsid w:val="00DE7FC8"/>
    <w:rsid w:val="00DF05FE"/>
    <w:rsid w:val="00DF1268"/>
    <w:rsid w:val="00DF13D2"/>
    <w:rsid w:val="00DF1786"/>
    <w:rsid w:val="00DF464D"/>
    <w:rsid w:val="00DF4FE2"/>
    <w:rsid w:val="00DF5A90"/>
    <w:rsid w:val="00E007C8"/>
    <w:rsid w:val="00E03229"/>
    <w:rsid w:val="00E04874"/>
    <w:rsid w:val="00E07D31"/>
    <w:rsid w:val="00E107E9"/>
    <w:rsid w:val="00E137DF"/>
    <w:rsid w:val="00E13BD4"/>
    <w:rsid w:val="00E15FCE"/>
    <w:rsid w:val="00E16184"/>
    <w:rsid w:val="00E20085"/>
    <w:rsid w:val="00E2273A"/>
    <w:rsid w:val="00E24AA7"/>
    <w:rsid w:val="00E2525E"/>
    <w:rsid w:val="00E257D7"/>
    <w:rsid w:val="00E32A2A"/>
    <w:rsid w:val="00E33207"/>
    <w:rsid w:val="00E3440F"/>
    <w:rsid w:val="00E4352B"/>
    <w:rsid w:val="00E47B19"/>
    <w:rsid w:val="00E52422"/>
    <w:rsid w:val="00E52FEB"/>
    <w:rsid w:val="00E55585"/>
    <w:rsid w:val="00E565BF"/>
    <w:rsid w:val="00E57428"/>
    <w:rsid w:val="00E57DD4"/>
    <w:rsid w:val="00E60E51"/>
    <w:rsid w:val="00E6468A"/>
    <w:rsid w:val="00E64EB2"/>
    <w:rsid w:val="00E657B2"/>
    <w:rsid w:val="00E66951"/>
    <w:rsid w:val="00E66A6C"/>
    <w:rsid w:val="00E700E7"/>
    <w:rsid w:val="00E70377"/>
    <w:rsid w:val="00E72365"/>
    <w:rsid w:val="00E73A4A"/>
    <w:rsid w:val="00E73BE0"/>
    <w:rsid w:val="00E73BF0"/>
    <w:rsid w:val="00E76AE1"/>
    <w:rsid w:val="00E76C15"/>
    <w:rsid w:val="00E77617"/>
    <w:rsid w:val="00E80D91"/>
    <w:rsid w:val="00E85384"/>
    <w:rsid w:val="00E8689D"/>
    <w:rsid w:val="00E87F96"/>
    <w:rsid w:val="00E92D97"/>
    <w:rsid w:val="00EA0653"/>
    <w:rsid w:val="00EA135A"/>
    <w:rsid w:val="00EA1E94"/>
    <w:rsid w:val="00EA22AE"/>
    <w:rsid w:val="00EA329B"/>
    <w:rsid w:val="00EA6311"/>
    <w:rsid w:val="00EB189F"/>
    <w:rsid w:val="00EB19E2"/>
    <w:rsid w:val="00EB2D0D"/>
    <w:rsid w:val="00EB3496"/>
    <w:rsid w:val="00EC014A"/>
    <w:rsid w:val="00EC2DC0"/>
    <w:rsid w:val="00EC55A6"/>
    <w:rsid w:val="00ED1A7C"/>
    <w:rsid w:val="00ED3055"/>
    <w:rsid w:val="00ED3DBE"/>
    <w:rsid w:val="00ED4761"/>
    <w:rsid w:val="00ED4A2B"/>
    <w:rsid w:val="00ED574C"/>
    <w:rsid w:val="00EE1565"/>
    <w:rsid w:val="00EE1D99"/>
    <w:rsid w:val="00EE44FB"/>
    <w:rsid w:val="00EE4DB2"/>
    <w:rsid w:val="00EE50CC"/>
    <w:rsid w:val="00EE59E7"/>
    <w:rsid w:val="00EE6D68"/>
    <w:rsid w:val="00EE6FC1"/>
    <w:rsid w:val="00EE767F"/>
    <w:rsid w:val="00EF46FC"/>
    <w:rsid w:val="00EF4B20"/>
    <w:rsid w:val="00EF65CA"/>
    <w:rsid w:val="00EF7E3C"/>
    <w:rsid w:val="00F0157A"/>
    <w:rsid w:val="00F0188E"/>
    <w:rsid w:val="00F03A87"/>
    <w:rsid w:val="00F061DB"/>
    <w:rsid w:val="00F06C62"/>
    <w:rsid w:val="00F119CD"/>
    <w:rsid w:val="00F124BC"/>
    <w:rsid w:val="00F13DB9"/>
    <w:rsid w:val="00F145AE"/>
    <w:rsid w:val="00F147EE"/>
    <w:rsid w:val="00F172ED"/>
    <w:rsid w:val="00F21AFA"/>
    <w:rsid w:val="00F2399E"/>
    <w:rsid w:val="00F2796E"/>
    <w:rsid w:val="00F301D5"/>
    <w:rsid w:val="00F33CE6"/>
    <w:rsid w:val="00F33E43"/>
    <w:rsid w:val="00F3402F"/>
    <w:rsid w:val="00F35022"/>
    <w:rsid w:val="00F35B2C"/>
    <w:rsid w:val="00F36222"/>
    <w:rsid w:val="00F37714"/>
    <w:rsid w:val="00F41E39"/>
    <w:rsid w:val="00F42E22"/>
    <w:rsid w:val="00F44BF2"/>
    <w:rsid w:val="00F4658A"/>
    <w:rsid w:val="00F46620"/>
    <w:rsid w:val="00F46BAD"/>
    <w:rsid w:val="00F50BE0"/>
    <w:rsid w:val="00F51E7F"/>
    <w:rsid w:val="00F5316C"/>
    <w:rsid w:val="00F550B1"/>
    <w:rsid w:val="00F5620C"/>
    <w:rsid w:val="00F567D5"/>
    <w:rsid w:val="00F57872"/>
    <w:rsid w:val="00F5799F"/>
    <w:rsid w:val="00F57E33"/>
    <w:rsid w:val="00F6145E"/>
    <w:rsid w:val="00F64236"/>
    <w:rsid w:val="00F65BB8"/>
    <w:rsid w:val="00F70822"/>
    <w:rsid w:val="00F740C0"/>
    <w:rsid w:val="00F74CC2"/>
    <w:rsid w:val="00F76D1F"/>
    <w:rsid w:val="00F82670"/>
    <w:rsid w:val="00F846EB"/>
    <w:rsid w:val="00F84914"/>
    <w:rsid w:val="00F854B5"/>
    <w:rsid w:val="00F854C3"/>
    <w:rsid w:val="00F85731"/>
    <w:rsid w:val="00F85DA5"/>
    <w:rsid w:val="00F90A82"/>
    <w:rsid w:val="00F92205"/>
    <w:rsid w:val="00FA023A"/>
    <w:rsid w:val="00FA0AE6"/>
    <w:rsid w:val="00FA1FDD"/>
    <w:rsid w:val="00FA2A8D"/>
    <w:rsid w:val="00FA2F6D"/>
    <w:rsid w:val="00FA523A"/>
    <w:rsid w:val="00FA59F0"/>
    <w:rsid w:val="00FB267A"/>
    <w:rsid w:val="00FB4B15"/>
    <w:rsid w:val="00FB59B6"/>
    <w:rsid w:val="00FB6F9D"/>
    <w:rsid w:val="00FB7001"/>
    <w:rsid w:val="00FC0758"/>
    <w:rsid w:val="00FC1567"/>
    <w:rsid w:val="00FC6427"/>
    <w:rsid w:val="00FD2A4B"/>
    <w:rsid w:val="00FD4157"/>
    <w:rsid w:val="00FD5094"/>
    <w:rsid w:val="00FD6D00"/>
    <w:rsid w:val="00FE01A5"/>
    <w:rsid w:val="00FE2903"/>
    <w:rsid w:val="00FE417B"/>
    <w:rsid w:val="00FE5255"/>
    <w:rsid w:val="00FE6DC2"/>
    <w:rsid w:val="00FF25C1"/>
    <w:rsid w:val="00FF2A01"/>
    <w:rsid w:val="00FF4502"/>
    <w:rsid w:val="00FF6E6C"/>
    <w:rsid w:val="00FF7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B497C4A"/>
  <w15:docId w15:val="{E9C28079-6A77-334A-A41D-347ADF80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0"/>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7FC8"/>
  </w:style>
  <w:style w:type="paragraph" w:styleId="1">
    <w:name w:val="heading 1"/>
    <w:basedOn w:val="a"/>
    <w:next w:val="a"/>
    <w:link w:val="10"/>
    <w:uiPriority w:val="9"/>
    <w:qFormat/>
    <w:rsid w:val="009F61F3"/>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a0"/>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a4"/>
    <w:semiHidden/>
    <w:rsid w:val="009A3899"/>
    <w:rPr>
      <w:rFonts w:ascii="Lucida Grande" w:eastAsia="Times New Roman" w:hAnsi="Lucida Grande"/>
      <w:sz w:val="18"/>
      <w:szCs w:val="18"/>
    </w:rPr>
  </w:style>
  <w:style w:type="character" w:customStyle="1" w:styleId="a4">
    <w:name w:val="吹き出し (文字)"/>
    <w:basedOn w:val="a0"/>
    <w:link w:val="a3"/>
    <w:semiHidden/>
    <w:rsid w:val="009A3899"/>
    <w:rPr>
      <w:rFonts w:ascii="Lucida Grande" w:eastAsia="Times New Roman" w:hAnsi="Lucida Grande"/>
      <w:sz w:val="18"/>
      <w:szCs w:val="18"/>
    </w:rPr>
  </w:style>
  <w:style w:type="character" w:customStyle="1" w:styleId="bibarticle">
    <w:name w:val="bib_article"/>
    <w:basedOn w:val="a0"/>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a0"/>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a5">
    <w:name w:val="annotation reference"/>
    <w:basedOn w:val="a0"/>
    <w:rsid w:val="009A3899"/>
    <w:rPr>
      <w:sz w:val="18"/>
      <w:szCs w:val="18"/>
    </w:rPr>
  </w:style>
  <w:style w:type="paragraph" w:styleId="a6">
    <w:name w:val="annotation text"/>
    <w:basedOn w:val="a"/>
    <w:link w:val="a7"/>
    <w:semiHidden/>
    <w:rsid w:val="009A3899"/>
    <w:rPr>
      <w:rFonts w:eastAsia="Times New Roman"/>
    </w:rPr>
  </w:style>
  <w:style w:type="character" w:customStyle="1" w:styleId="a7">
    <w:name w:val="コメント文字列 (文字)"/>
    <w:basedOn w:val="a0"/>
    <w:link w:val="a6"/>
    <w:semiHidden/>
    <w:rsid w:val="009A3899"/>
    <w:rPr>
      <w:rFonts w:ascii="Times New Roman" w:eastAsia="Times New Roman" w:hAnsi="Times New Roman"/>
      <w:sz w:val="20"/>
      <w:szCs w:val="20"/>
    </w:rPr>
  </w:style>
  <w:style w:type="paragraph" w:styleId="a8">
    <w:name w:val="annotation subject"/>
    <w:basedOn w:val="a6"/>
    <w:next w:val="a6"/>
    <w:link w:val="a9"/>
    <w:uiPriority w:val="99"/>
    <w:semiHidden/>
    <w:unhideWhenUsed/>
    <w:rsid w:val="009A3899"/>
    <w:rPr>
      <w:b/>
      <w:bCs/>
    </w:rPr>
  </w:style>
  <w:style w:type="character" w:customStyle="1" w:styleId="a9">
    <w:name w:val="コメント内容 (文字)"/>
    <w:basedOn w:val="a7"/>
    <w:link w:val="a8"/>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a0"/>
    <w:rsid w:val="009A3899"/>
    <w:rPr>
      <w:sz w:val="24"/>
      <w:szCs w:val="24"/>
      <w:bdr w:val="none" w:sz="0" w:space="0" w:color="auto"/>
      <w:shd w:val="clear" w:color="auto" w:fill="CCFFCC"/>
    </w:rPr>
  </w:style>
  <w:style w:type="character" w:customStyle="1" w:styleId="ContractSponsor">
    <w:name w:val="Contract Sponsor"/>
    <w:basedOn w:val="a0"/>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a">
    <w:name w:val="Emphasis"/>
    <w:basedOn w:val="a0"/>
    <w:uiPriority w:val="20"/>
    <w:qFormat/>
    <w:rsid w:val="009A3899"/>
    <w:rPr>
      <w:i/>
      <w:iCs/>
    </w:rPr>
  </w:style>
  <w:style w:type="character" w:styleId="ab">
    <w:name w:val="endnote reference"/>
    <w:basedOn w:val="a0"/>
    <w:semiHidden/>
    <w:rsid w:val="009A3899"/>
    <w:rPr>
      <w:vertAlign w:val="superscript"/>
    </w:rPr>
  </w:style>
  <w:style w:type="paragraph" w:styleId="ac">
    <w:name w:val="endnote text"/>
    <w:basedOn w:val="a"/>
    <w:link w:val="ad"/>
    <w:semiHidden/>
    <w:rsid w:val="009A3899"/>
    <w:rPr>
      <w:rFonts w:ascii="Cambria" w:eastAsia="Cambria" w:hAnsi="Cambria"/>
    </w:rPr>
  </w:style>
  <w:style w:type="character" w:customStyle="1" w:styleId="ad">
    <w:name w:val="文末脚注文字列 (文字)"/>
    <w:basedOn w:val="a0"/>
    <w:link w:val="ac"/>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e">
    <w:name w:val="FollowedHyperlink"/>
    <w:basedOn w:val="a0"/>
    <w:rsid w:val="009A3899"/>
    <w:rPr>
      <w:color w:val="800080"/>
      <w:u w:val="single"/>
    </w:rPr>
  </w:style>
  <w:style w:type="paragraph" w:styleId="af">
    <w:name w:val="footer"/>
    <w:basedOn w:val="a"/>
    <w:link w:val="af0"/>
    <w:rsid w:val="009A3899"/>
    <w:pPr>
      <w:tabs>
        <w:tab w:val="center" w:pos="4320"/>
        <w:tab w:val="right" w:pos="8640"/>
      </w:tabs>
    </w:pPr>
    <w:rPr>
      <w:rFonts w:eastAsia="Times New Roman"/>
    </w:rPr>
  </w:style>
  <w:style w:type="character" w:customStyle="1" w:styleId="af0">
    <w:name w:val="フッター (文字)"/>
    <w:basedOn w:val="a0"/>
    <w:link w:val="af"/>
    <w:rsid w:val="009A3899"/>
    <w:rPr>
      <w:rFonts w:ascii="Times New Roman" w:eastAsia="Times New Roman" w:hAnsi="Times New Roman"/>
      <w:sz w:val="20"/>
      <w:szCs w:val="20"/>
    </w:rPr>
  </w:style>
  <w:style w:type="character" w:styleId="af1">
    <w:name w:val="footnote reference"/>
    <w:basedOn w:val="a0"/>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f2">
    <w:name w:val="header"/>
    <w:basedOn w:val="a"/>
    <w:link w:val="af3"/>
    <w:rsid w:val="009A3899"/>
    <w:pPr>
      <w:tabs>
        <w:tab w:val="center" w:pos="4320"/>
        <w:tab w:val="right" w:pos="8640"/>
      </w:tabs>
    </w:pPr>
    <w:rPr>
      <w:rFonts w:eastAsia="Times New Roman"/>
    </w:rPr>
  </w:style>
  <w:style w:type="character" w:customStyle="1" w:styleId="af3">
    <w:name w:val="ヘッダー (文字)"/>
    <w:basedOn w:val="a0"/>
    <w:link w:val="af2"/>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basedOn w:val="a0"/>
    <w:rsid w:val="009A3899"/>
    <w:rPr>
      <w:i/>
      <w:iCs/>
    </w:rPr>
  </w:style>
  <w:style w:type="character" w:styleId="HTML1">
    <w:name w:val="HTML Code"/>
    <w:basedOn w:val="a0"/>
    <w:rsid w:val="009A3899"/>
    <w:rPr>
      <w:rFonts w:ascii="Courier New" w:hAnsi="Courier New" w:cs="Courier New"/>
      <w:sz w:val="20"/>
      <w:szCs w:val="20"/>
    </w:rPr>
  </w:style>
  <w:style w:type="character" w:styleId="HTML2">
    <w:name w:val="HTML Definition"/>
    <w:basedOn w:val="a0"/>
    <w:rsid w:val="009A3899"/>
    <w:rPr>
      <w:i/>
      <w:iCs/>
    </w:rPr>
  </w:style>
  <w:style w:type="character" w:styleId="HTML3">
    <w:name w:val="HTML Keyboard"/>
    <w:basedOn w:val="a0"/>
    <w:rsid w:val="009A3899"/>
    <w:rPr>
      <w:rFonts w:ascii="Courier New" w:hAnsi="Courier New" w:cs="Courier New"/>
      <w:sz w:val="20"/>
      <w:szCs w:val="20"/>
    </w:rPr>
  </w:style>
  <w:style w:type="paragraph" w:styleId="HTML4">
    <w:name w:val="HTML Preformatted"/>
    <w:basedOn w:val="a"/>
    <w:link w:val="HTML5"/>
    <w:rsid w:val="009A3899"/>
    <w:rPr>
      <w:rFonts w:ascii="Consolas" w:eastAsia="Times New Roman" w:hAnsi="Consolas"/>
    </w:rPr>
  </w:style>
  <w:style w:type="character" w:customStyle="1" w:styleId="HTML5">
    <w:name w:val="HTML 書式付き (文字)"/>
    <w:basedOn w:val="a0"/>
    <w:link w:val="HTML4"/>
    <w:rsid w:val="009A3899"/>
    <w:rPr>
      <w:rFonts w:ascii="Consolas" w:eastAsia="Times New Roman" w:hAnsi="Consolas"/>
      <w:sz w:val="20"/>
      <w:szCs w:val="20"/>
    </w:rPr>
  </w:style>
  <w:style w:type="character" w:styleId="HTML6">
    <w:name w:val="HTML Sample"/>
    <w:basedOn w:val="a0"/>
    <w:rsid w:val="009A3899"/>
    <w:rPr>
      <w:rFonts w:ascii="Courier New" w:hAnsi="Courier New" w:cs="Courier New"/>
    </w:rPr>
  </w:style>
  <w:style w:type="character" w:styleId="HTML7">
    <w:name w:val="HTML Typewriter"/>
    <w:basedOn w:val="a0"/>
    <w:rsid w:val="009A3899"/>
    <w:rPr>
      <w:rFonts w:ascii="Courier New" w:hAnsi="Courier New" w:cs="Courier New"/>
      <w:sz w:val="20"/>
      <w:szCs w:val="20"/>
    </w:rPr>
  </w:style>
  <w:style w:type="character" w:styleId="HTML8">
    <w:name w:val="HTML Variable"/>
    <w:basedOn w:val="a0"/>
    <w:rsid w:val="009A3899"/>
    <w:rPr>
      <w:i/>
      <w:iCs/>
    </w:rPr>
  </w:style>
  <w:style w:type="character" w:styleId="af4">
    <w:name w:val="Hyperlink"/>
    <w:basedOn w:val="a0"/>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5">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6">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7">
    <w:name w:val="Strong"/>
    <w:basedOn w:val="a0"/>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basedOn w:val="a0"/>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paragraph" w:customStyle="1" w:styleId="EndNoteBibliographyTitle">
    <w:name w:val="EndNote Bibliography Title"/>
    <w:basedOn w:val="a"/>
    <w:rsid w:val="00CC2CB9"/>
    <w:pPr>
      <w:jc w:val="center"/>
    </w:pPr>
  </w:style>
  <w:style w:type="paragraph" w:customStyle="1" w:styleId="EndNoteBibliography">
    <w:name w:val="EndNote Bibliography"/>
    <w:basedOn w:val="a"/>
    <w:rsid w:val="00CC2CB9"/>
  </w:style>
  <w:style w:type="paragraph" w:customStyle="1" w:styleId="SMHeading">
    <w:name w:val="SM Heading"/>
    <w:basedOn w:val="1"/>
    <w:qFormat/>
    <w:rsid w:val="009F61F3"/>
    <w:pPr>
      <w:spacing w:before="240" w:after="60"/>
    </w:pPr>
    <w:rPr>
      <w:rFonts w:ascii="Times New Roman" w:eastAsiaTheme="minorEastAsia" w:hAnsi="Times New Roman" w:cs="Times New Roman"/>
      <w:b/>
      <w:bCs/>
      <w:kern w:val="32"/>
      <w:sz w:val="24"/>
      <w:szCs w:val="24"/>
    </w:rPr>
  </w:style>
  <w:style w:type="paragraph" w:customStyle="1" w:styleId="SMSubheading">
    <w:name w:val="SM Subheading"/>
    <w:basedOn w:val="a"/>
    <w:qFormat/>
    <w:rsid w:val="009F61F3"/>
    <w:rPr>
      <w:sz w:val="24"/>
      <w:u w:val="words"/>
    </w:rPr>
  </w:style>
  <w:style w:type="paragraph" w:customStyle="1" w:styleId="SMText">
    <w:name w:val="SM Text"/>
    <w:basedOn w:val="a"/>
    <w:qFormat/>
    <w:rsid w:val="009F61F3"/>
    <w:pPr>
      <w:ind w:firstLine="480"/>
    </w:pPr>
    <w:rPr>
      <w:sz w:val="24"/>
    </w:rPr>
  </w:style>
  <w:style w:type="character" w:customStyle="1" w:styleId="10">
    <w:name w:val="見出し 1 (文字)"/>
    <w:basedOn w:val="a0"/>
    <w:link w:val="1"/>
    <w:uiPriority w:val="9"/>
    <w:rsid w:val="009F61F3"/>
    <w:rPr>
      <w:rFonts w:asciiTheme="majorHAnsi" w:eastAsiaTheme="majorEastAsia" w:hAnsiTheme="majorHAnsi" w:cstheme="majorBidi"/>
      <w:sz w:val="28"/>
      <w:szCs w:val="28"/>
    </w:rPr>
  </w:style>
  <w:style w:type="paragraph" w:customStyle="1" w:styleId="SMcaption">
    <w:name w:val="SM caption"/>
    <w:basedOn w:val="SMText"/>
    <w:qFormat/>
    <w:rsid w:val="00A56DB8"/>
    <w:pPr>
      <w:ind w:firstLine="0"/>
    </w:pPr>
  </w:style>
  <w:style w:type="paragraph" w:styleId="af8">
    <w:name w:val="Revision"/>
    <w:hidden/>
    <w:uiPriority w:val="71"/>
    <w:rsid w:val="00B91C3B"/>
  </w:style>
  <w:style w:type="table" w:styleId="af9">
    <w:name w:val="Table Grid"/>
    <w:basedOn w:val="a1"/>
    <w:uiPriority w:val="59"/>
    <w:rsid w:val="00BB3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Accent 4"/>
    <w:basedOn w:val="a1"/>
    <w:uiPriority w:val="60"/>
    <w:rsid w:val="00A81FB2"/>
    <w:rPr>
      <w:rFonts w:ascii="Century" w:eastAsia="ＭＳ 明朝" w:hAnsi="Century"/>
      <w:color w:val="5F497A" w:themeColor="accent4" w:themeShade="BF"/>
      <w:lang w:eastAsia="ja-JP"/>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9">
    <w:name w:val="Medium Grid 2"/>
    <w:basedOn w:val="a1"/>
    <w:uiPriority w:val="1"/>
    <w:qFormat/>
    <w:rsid w:val="00A81FB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3">
    <w:name w:val="Colorful List Accent 1"/>
    <w:basedOn w:val="a1"/>
    <w:uiPriority w:val="34"/>
    <w:qFormat/>
    <w:rsid w:val="00A81FB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
    <w:name w:val="Light Shading Accent 2"/>
    <w:basedOn w:val="a1"/>
    <w:uiPriority w:val="30"/>
    <w:qFormat/>
    <w:rsid w:val="00A81FB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7">
    <w:name w:val="Medium List 2 Accent 1"/>
    <w:basedOn w:val="a1"/>
    <w:uiPriority w:val="61"/>
    <w:rsid w:val="00A81FB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30">
    <w:name w:val="Colorful List Accent 6"/>
    <w:basedOn w:val="a1"/>
    <w:uiPriority w:val="63"/>
    <w:rsid w:val="00A81FB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31">
    <w:name w:val="Colorful List Accent 5"/>
    <w:basedOn w:val="a1"/>
    <w:uiPriority w:val="63"/>
    <w:rsid w:val="00E33207"/>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2">
    <w:name w:val="Colorful List"/>
    <w:basedOn w:val="a1"/>
    <w:uiPriority w:val="63"/>
    <w:rsid w:val="00E3320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Light Shading Accent 1"/>
    <w:basedOn w:val="a1"/>
    <w:uiPriority w:val="60"/>
    <w:rsid w:val="00E3320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5">
    <w:name w:val="Light Shading Accent 5"/>
    <w:basedOn w:val="a1"/>
    <w:uiPriority w:val="65"/>
    <w:rsid w:val="00E3320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Web">
    <w:name w:val="Normal (Web)"/>
    <w:basedOn w:val="a"/>
    <w:uiPriority w:val="99"/>
    <w:rsid w:val="0037136D"/>
    <w:rPr>
      <w:sz w:val="24"/>
      <w:szCs w:val="24"/>
    </w:rPr>
  </w:style>
  <w:style w:type="paragraph" w:customStyle="1" w:styleId="BodyText1">
    <w:name w:val="Body Text1"/>
    <w:rsid w:val="006E4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Pr>
      <w:rFonts w:ascii="Times" w:eastAsia="ヒラギノ角ゴ Pro W3" w:hAnsi="Times"/>
      <w:color w:val="000000"/>
      <w:kern w:val="2"/>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543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4589</Words>
  <Characters>26158</Characters>
  <Application>Microsoft Office Word</Application>
  <DocSecurity>0</DocSecurity>
  <Lines>217</Lines>
  <Paragraphs>61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30686</CharactersWithSpaces>
  <SharedDoc>false</SharedDoc>
  <HLinks>
    <vt:vector size="24" baseType="variant">
      <vt:variant>
        <vt:i4>7077934</vt:i4>
      </vt:variant>
      <vt:variant>
        <vt:i4>9</vt:i4>
      </vt:variant>
      <vt:variant>
        <vt:i4>0</vt:i4>
      </vt:variant>
      <vt:variant>
        <vt:i4>5</vt:i4>
      </vt:variant>
      <vt:variant>
        <vt:lpwstr>http://www.sciencemag.org/about/authors/prep/res/refs.xhtml</vt:lpwstr>
      </vt:variant>
      <vt:variant>
        <vt:lpwstr/>
      </vt:variant>
      <vt:variant>
        <vt:i4>5177356</vt:i4>
      </vt:variant>
      <vt:variant>
        <vt:i4>6</vt:i4>
      </vt:variant>
      <vt:variant>
        <vt:i4>0</vt:i4>
      </vt:variant>
      <vt:variant>
        <vt:i4>5</vt:i4>
      </vt:variant>
      <vt:variant>
        <vt:lpwstr>http://www.tug.org/utilities/texconv/textopc.html</vt:lpwstr>
      </vt:variant>
      <vt:variant>
        <vt:lpwstr/>
      </vt:variant>
      <vt:variant>
        <vt:i4>3801121</vt:i4>
      </vt:variant>
      <vt:variant>
        <vt:i4>3</vt:i4>
      </vt:variant>
      <vt:variant>
        <vt:i4>0</vt:i4>
      </vt:variant>
      <vt:variant>
        <vt:i4>5</vt:i4>
      </vt:variant>
      <vt:variant>
        <vt:lpwstr>http://www.sciencemag.org/site/feature/contribinfo/index.xhtml</vt:lpwstr>
      </vt:variant>
      <vt:variant>
        <vt:lpwstr/>
      </vt:variant>
      <vt:variant>
        <vt:i4>7798821</vt:i4>
      </vt:variant>
      <vt:variant>
        <vt:i4>0</vt:i4>
      </vt:variant>
      <vt:variant>
        <vt:i4>0</vt:i4>
      </vt:variant>
      <vt:variant>
        <vt:i4>5</vt:i4>
      </vt:variant>
      <vt:variant>
        <vt:lpwstr>http://www.submit2science.org/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bhanson</dc:creator>
  <cp:lastModifiedBy>寺井洋平</cp:lastModifiedBy>
  <cp:revision>42</cp:revision>
  <cp:lastPrinted>2016-05-02T07:07:00Z</cp:lastPrinted>
  <dcterms:created xsi:type="dcterms:W3CDTF">2017-05-03T13:09:00Z</dcterms:created>
  <dcterms:modified xsi:type="dcterms:W3CDTF">2019-02-05T05:38:00Z</dcterms:modified>
</cp:coreProperties>
</file>