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CD4" w:rsidRDefault="006B2CD4" w:rsidP="006B2CD4">
      <w:pPr>
        <w:widowControl w:val="0"/>
      </w:pPr>
      <w:r>
        <w:rPr>
          <w:b/>
        </w:rPr>
        <w:t xml:space="preserve">Additional file </w:t>
      </w:r>
      <w:r w:rsidR="00DD1DF3">
        <w:rPr>
          <w:b/>
        </w:rPr>
        <w:t>2</w:t>
      </w:r>
      <w:r w:rsidRPr="002E492E">
        <w:rPr>
          <w:b/>
        </w:rPr>
        <w:t xml:space="preserve">. </w:t>
      </w:r>
      <w:r>
        <w:rPr>
          <w:b/>
        </w:rPr>
        <w:t>Graphical representation of results of the three character incompatibility methods for identification of recombinants.</w:t>
      </w:r>
    </w:p>
    <w:p w:rsidR="006B2CD4" w:rsidRPr="00F550E9" w:rsidRDefault="006B2CD4" w:rsidP="006B2CD4">
      <w:pPr>
        <w:widowControl w:val="0"/>
        <w:rPr>
          <w:rFonts w:asciiTheme="minorHAnsi" w:hAnsiTheme="minorHAnsi" w:cstheme="minorHAnsi"/>
        </w:rPr>
      </w:pPr>
    </w:p>
    <w:p w:rsidR="006B2CD4" w:rsidRDefault="006B2CD4" w:rsidP="006B2CD4">
      <w:pPr>
        <w:widowControl w:val="0"/>
        <w:spacing w:line="480" w:lineRule="auto"/>
        <w:rPr>
          <w:rFonts w:asciiTheme="minorHAnsi" w:hAnsiTheme="minorHAnsi" w:cstheme="minorHAnsi"/>
        </w:rPr>
      </w:pPr>
      <w:r>
        <w:rPr>
          <w:rFonts w:asciiTheme="minorHAnsi" w:hAnsiTheme="minorHAnsi" w:cstheme="minorHAnsi"/>
          <w:noProof/>
          <w:lang w:val="de-DE" w:eastAsia="de-DE"/>
        </w:rPr>
        <w:drawing>
          <wp:inline distT="0" distB="0" distL="0" distR="0" wp14:anchorId="3164D15B" wp14:editId="03C0596B">
            <wp:extent cx="3501311" cy="5445457"/>
            <wp:effectExtent l="0" t="0" r="4445" b="317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odac_etal_SSR_S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509739" cy="5458565"/>
                    </a:xfrm>
                    <a:prstGeom prst="rect">
                      <a:avLst/>
                    </a:prstGeom>
                  </pic:spPr>
                </pic:pic>
              </a:graphicData>
            </a:graphic>
          </wp:inline>
        </w:drawing>
      </w:r>
      <w:bookmarkStart w:id="0" w:name="_GoBack"/>
      <w:bookmarkEnd w:id="0"/>
    </w:p>
    <w:p w:rsidR="006B2CD4" w:rsidRDefault="0093715B" w:rsidP="006B2CD4">
      <w:pPr>
        <w:widowControl w:val="0"/>
        <w:rPr>
          <w:rFonts w:asciiTheme="minorHAnsi" w:hAnsiTheme="minorHAnsi" w:cstheme="minorHAnsi"/>
        </w:rPr>
      </w:pPr>
      <w:r>
        <w:rPr>
          <w:b/>
        </w:rPr>
        <w:t>Additional file 2</w:t>
      </w:r>
      <w:r>
        <w:rPr>
          <w:b/>
        </w:rPr>
        <w:t xml:space="preserve"> </w:t>
      </w:r>
      <w:r w:rsidR="006B2CD4" w:rsidRPr="001E443E">
        <w:rPr>
          <w:b/>
          <w:bCs/>
        </w:rPr>
        <w:t>Fig</w:t>
      </w:r>
      <w:r w:rsidR="006B2CD4">
        <w:rPr>
          <w:b/>
          <w:bCs/>
        </w:rPr>
        <w:t>ure.</w:t>
      </w:r>
      <w:r w:rsidR="006B2CD4" w:rsidRPr="00F550E9">
        <w:rPr>
          <w:rFonts w:asciiTheme="minorHAnsi" w:hAnsiTheme="minorHAnsi" w:cstheme="minorHAnsi"/>
        </w:rPr>
        <w:t xml:space="preserve"> </w:t>
      </w:r>
      <w:sdt>
        <w:sdtPr>
          <w:rPr>
            <w:rFonts w:asciiTheme="minorHAnsi" w:hAnsiTheme="minorHAnsi" w:cstheme="minorHAnsi"/>
          </w:rPr>
          <w:alias w:val="Insert short legend here"/>
          <w:tag w:val="Insert short legend here"/>
          <w:id w:val="-782580415"/>
          <w:placeholder>
            <w:docPart w:val="AAE83F99565C4A1BAD8B4C1E156603B3"/>
          </w:placeholder>
        </w:sdtPr>
        <w:sdtEndPr/>
        <w:sdtContent>
          <w:r w:rsidR="006B2CD4" w:rsidRPr="009042AD">
            <w:rPr>
              <w:lang w:val="en-GB"/>
            </w:rPr>
            <w:t>Distinguishing clonal versus recombinant genetic variation (SSR data) in progeny arrays. (a)-(c) T-progeny analyses, (d)-(f) V-progeny analyses, (g)-(</w:t>
          </w:r>
          <w:proofErr w:type="spellStart"/>
          <w:r w:rsidR="006B2CD4" w:rsidRPr="009042AD">
            <w:rPr>
              <w:lang w:val="en-GB"/>
            </w:rPr>
            <w:t>i</w:t>
          </w:r>
          <w:proofErr w:type="spellEnd"/>
          <w:r w:rsidR="006B2CD4" w:rsidRPr="009042AD">
            <w:rPr>
              <w:lang w:val="en-GB"/>
            </w:rPr>
            <w:t>) I-progeny analyses. (</w:t>
          </w:r>
          <w:proofErr w:type="gramStart"/>
          <w:r w:rsidR="006B2CD4" w:rsidRPr="009042AD">
            <w:rPr>
              <w:lang w:val="en-GB"/>
            </w:rPr>
            <w:t>a</w:t>
          </w:r>
          <w:proofErr w:type="gramEnd"/>
          <w:r w:rsidR="006B2CD4" w:rsidRPr="009042AD">
            <w:rPr>
              <w:lang w:val="en-GB"/>
            </w:rPr>
            <w:t>), (d), (g) Histograms of pairwise distances among genotypes under infinite allele mutation model (IAM). Very low genetic distances close to 0 indicate clonality and higher genetic distances indicate the presence of recombinant genotypes. (b), (e), (h) Recombination networks of the SSR data show mother plants (MP) genotype and its clonal (</w:t>
          </w:r>
          <w:proofErr w:type="spellStart"/>
          <w:r w:rsidR="006B2CD4" w:rsidRPr="009042AD">
            <w:rPr>
              <w:lang w:val="en-GB"/>
            </w:rPr>
            <w:t>gray</w:t>
          </w:r>
          <w:proofErr w:type="spellEnd"/>
          <w:r w:rsidR="006B2CD4" w:rsidRPr="009042AD">
            <w:rPr>
              <w:lang w:val="en-GB"/>
            </w:rPr>
            <w:t xml:space="preserve"> letters) and recombinant (blue letters) F1-progenies. Numbers i</w:t>
          </w:r>
          <w:r w:rsidR="006B2CD4">
            <w:rPr>
              <w:lang w:val="en-GB"/>
            </w:rPr>
            <w:t xml:space="preserve">n </w:t>
          </w:r>
          <w:r w:rsidR="006B2CD4" w:rsidRPr="009042AD">
            <w:rPr>
              <w:lang w:val="en-GB"/>
            </w:rPr>
            <w:t>brackets indicate numbers of genetically identical progenies. Recombinant genotypes were detected in (b) and (e) as they participate on recombination cycles within the recombination networks. The blue highlighted individuals were congruently depicted as recombinants also in character incompatibility analysis in the software PICA. (c), (f), (</w:t>
          </w:r>
          <w:proofErr w:type="spellStart"/>
          <w:r w:rsidR="006B2CD4" w:rsidRPr="009042AD">
            <w:rPr>
              <w:lang w:val="en-GB"/>
            </w:rPr>
            <w:t>i</w:t>
          </w:r>
          <w:proofErr w:type="spellEnd"/>
          <w:r w:rsidR="006B2CD4" w:rsidRPr="009042AD">
            <w:rPr>
              <w:lang w:val="en-GB"/>
            </w:rPr>
            <w:t>) NeighborNet analyses of the SSR data confirm the splitting structure seen in the recombination networks. The highest bootstrap values are given.</w:t>
          </w:r>
          <w:r w:rsidR="006B2CD4">
            <w:rPr>
              <w:lang w:val="en-GB"/>
            </w:rPr>
            <w:t xml:space="preserve"> </w:t>
          </w:r>
        </w:sdtContent>
      </w:sdt>
    </w:p>
    <w:p w:rsidR="006B2CD4" w:rsidRDefault="006B2CD4" w:rsidP="006B2CD4">
      <w:pPr>
        <w:widowControl w:val="0"/>
        <w:rPr>
          <w:rFonts w:asciiTheme="minorHAnsi" w:hAnsiTheme="minorHAnsi" w:cstheme="minorHAnsi"/>
          <w:b/>
          <w:bCs/>
        </w:rPr>
      </w:pPr>
      <w:r>
        <w:rPr>
          <w:rFonts w:asciiTheme="minorHAnsi" w:hAnsiTheme="minorHAnsi" w:cstheme="minorHAnsi"/>
          <w:b/>
          <w:bCs/>
        </w:rPr>
        <w:lastRenderedPageBreak/>
        <w:t xml:space="preserve"> </w:t>
      </w:r>
    </w:p>
    <w:p w:rsidR="006B2CD4" w:rsidRDefault="006B2CD4" w:rsidP="006B2CD4">
      <w:pPr>
        <w:widowControl w:val="0"/>
        <w:rPr>
          <w:rFonts w:asciiTheme="minorHAnsi" w:hAnsiTheme="minorHAnsi" w:cstheme="minorHAnsi"/>
          <w:b/>
          <w:bCs/>
        </w:rPr>
      </w:pPr>
      <w:r>
        <w:rPr>
          <w:rFonts w:asciiTheme="minorHAnsi" w:hAnsiTheme="minorHAnsi" w:cstheme="minorHAnsi"/>
          <w:b/>
          <w:bCs/>
          <w:noProof/>
          <w:lang w:val="de-DE" w:eastAsia="de-DE"/>
        </w:rPr>
        <w:drawing>
          <wp:inline distT="0" distB="0" distL="0" distR="0" wp14:anchorId="05330AAF" wp14:editId="122D8084">
            <wp:extent cx="4353560" cy="2775869"/>
            <wp:effectExtent l="0" t="0" r="889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351754" cy="2774717"/>
                    </a:xfrm>
                    <a:prstGeom prst="rect">
                      <a:avLst/>
                    </a:prstGeom>
                  </pic:spPr>
                </pic:pic>
              </a:graphicData>
            </a:graphic>
          </wp:inline>
        </w:drawing>
      </w:r>
    </w:p>
    <w:p w:rsidR="006B2CD4" w:rsidRDefault="006B2CD4" w:rsidP="006B2CD4">
      <w:pPr>
        <w:widowControl w:val="0"/>
        <w:rPr>
          <w:rFonts w:asciiTheme="minorHAnsi" w:hAnsiTheme="minorHAnsi" w:cstheme="minorHAnsi"/>
          <w:b/>
          <w:bCs/>
        </w:rPr>
      </w:pPr>
    </w:p>
    <w:p w:rsidR="006B2CD4" w:rsidRDefault="006B2CD4" w:rsidP="006B2CD4">
      <w:pPr>
        <w:widowControl w:val="0"/>
        <w:rPr>
          <w:rFonts w:asciiTheme="minorHAnsi" w:hAnsiTheme="minorHAnsi" w:cstheme="minorHAnsi"/>
          <w:b/>
          <w:bCs/>
        </w:rPr>
      </w:pPr>
      <w:proofErr w:type="gramStart"/>
      <w:r w:rsidRPr="001E443E">
        <w:rPr>
          <w:b/>
          <w:bCs/>
        </w:rPr>
        <w:t>continued</w:t>
      </w:r>
      <w:proofErr w:type="gramEnd"/>
      <w:r w:rsidRPr="001E443E">
        <w:rPr>
          <w:b/>
          <w:bCs/>
        </w:rPr>
        <w:t>.</w:t>
      </w:r>
      <w:r>
        <w:rPr>
          <w:rFonts w:asciiTheme="minorHAnsi" w:hAnsiTheme="minorHAnsi" w:cstheme="minorHAnsi"/>
          <w:b/>
          <w:bCs/>
        </w:rPr>
        <w:t xml:space="preserve"> </w:t>
      </w:r>
      <w:r w:rsidRPr="004B3ED6">
        <w:t>Graph of character incompatibility of SSR multilocus genotypes</w:t>
      </w:r>
      <w:r>
        <w:t>, discriminating recombinant and non-recombinant genotypes</w:t>
      </w:r>
      <w:r w:rsidRPr="004B3ED6">
        <w:t xml:space="preserve"> (</w:t>
      </w:r>
      <w:r>
        <w:t>j</w:t>
      </w:r>
      <w:r w:rsidRPr="004B3ED6">
        <w:t>) V-progeny array, (</w:t>
      </w:r>
      <w:r>
        <w:t>k</w:t>
      </w:r>
      <w:r w:rsidRPr="004B3ED6">
        <w:t xml:space="preserve">) T-progeny array. </w:t>
      </w:r>
      <w:proofErr w:type="gramStart"/>
      <w:r>
        <w:t>The I</w:t>
      </w:r>
      <w:proofErr w:type="gramEnd"/>
      <w:r>
        <w:t xml:space="preserve">-progeny array revealed no recombinants. </w:t>
      </w:r>
      <w:r w:rsidRPr="004B3ED6">
        <w:t xml:space="preserve">Dark bars show reduction of matrix incompatibility (MI) upon successive deletion of </w:t>
      </w:r>
      <w:r>
        <w:t xml:space="preserve">recombinant </w:t>
      </w:r>
      <w:r w:rsidRPr="004B3ED6">
        <w:t>genotypes</w:t>
      </w:r>
      <w:r>
        <w:t xml:space="preserve"> contributing to matrix incompatibility</w:t>
      </w:r>
      <w:r w:rsidRPr="004B3ED6">
        <w:t xml:space="preserve">. </w:t>
      </w:r>
      <w:r>
        <w:t>The number of genotypes left in the matrix represents non-recombinant genotypes (SSR variants = M).</w:t>
      </w:r>
    </w:p>
    <w:p w:rsidR="006B2CD4" w:rsidRDefault="006B2CD4" w:rsidP="006B2CD4">
      <w:pPr>
        <w:widowControl w:val="0"/>
        <w:rPr>
          <w:rFonts w:asciiTheme="minorHAnsi" w:hAnsiTheme="minorHAnsi" w:cstheme="minorHAnsi"/>
          <w:b/>
          <w:bCs/>
        </w:rPr>
      </w:pPr>
    </w:p>
    <w:p w:rsidR="006B2CD4" w:rsidRDefault="006B2CD4" w:rsidP="006B2CD4">
      <w:pPr>
        <w:rPr>
          <w:b/>
        </w:rPr>
      </w:pPr>
      <w:r>
        <w:rPr>
          <w:b/>
        </w:rPr>
        <w:br w:type="page"/>
      </w:r>
    </w:p>
    <w:p w:rsidR="00013CA3" w:rsidRDefault="00785721"/>
    <w:sectPr w:rsidR="00013CA3">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CD4"/>
    <w:rsid w:val="00551F69"/>
    <w:rsid w:val="006B2CD4"/>
    <w:rsid w:val="00785721"/>
    <w:rsid w:val="0093715B"/>
    <w:rsid w:val="00DD1DF3"/>
    <w:rsid w:val="00ED1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4480B5-6A59-426D-8033-4216CB9C3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B2CD4"/>
    <w:pPr>
      <w:spacing w:after="0" w:line="240" w:lineRule="auto"/>
    </w:pPr>
    <w:rPr>
      <w:rFonts w:ascii="Times New Roman" w:eastAsiaTheme="minorEastAsia" w:hAnsi="Times New Roman" w:cs="Times New Roman"/>
      <w:sz w:val="24"/>
      <w:szCs w:val="24"/>
      <w:lang w:val="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6B2CD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2CD4"/>
    <w:rPr>
      <w:rFonts w:ascii="Tahoma" w:eastAsiaTheme="minorEastAsia" w:hAnsi="Tahoma" w:cs="Tahoma"/>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AE83F99565C4A1BAD8B4C1E156603B3"/>
        <w:category>
          <w:name w:val="Allgemein"/>
          <w:gallery w:val="placeholder"/>
        </w:category>
        <w:types>
          <w:type w:val="bbPlcHdr"/>
        </w:types>
        <w:behaviors>
          <w:behavior w:val="content"/>
        </w:behaviors>
        <w:guid w:val="{303387FC-862F-4A9F-8923-F4EE5032C4D8}"/>
      </w:docPartPr>
      <w:docPartBody>
        <w:p w:rsidR="002E25D4" w:rsidRDefault="004F4F29" w:rsidP="004F4F29">
          <w:pPr>
            <w:pStyle w:val="AAE83F99565C4A1BAD8B4C1E156603B3"/>
          </w:pPr>
          <w:r w:rsidRPr="00F550E9">
            <w:rPr>
              <w:rStyle w:val="Platzhaltertext"/>
              <w:rFonts w:cstheme="minorHAnsi"/>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F29"/>
    <w:rsid w:val="00082BC8"/>
    <w:rsid w:val="002E25D4"/>
    <w:rsid w:val="004F4F29"/>
    <w:rsid w:val="00B060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F4F29"/>
    <w:rPr>
      <w:color w:val="808080"/>
    </w:rPr>
  </w:style>
  <w:style w:type="paragraph" w:customStyle="1" w:styleId="AAE83F99565C4A1BAD8B4C1E156603B3">
    <w:name w:val="AAE83F99565C4A1BAD8B4C1E156603B3"/>
    <w:rsid w:val="004F4F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235</Words>
  <Characters>1487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ehoeran</dc:creator>
  <cp:lastModifiedBy>lhodac-admin</cp:lastModifiedBy>
  <cp:revision>4</cp:revision>
  <dcterms:created xsi:type="dcterms:W3CDTF">2017-10-13T16:16:00Z</dcterms:created>
  <dcterms:modified xsi:type="dcterms:W3CDTF">2018-03-19T19:13:00Z</dcterms:modified>
</cp:coreProperties>
</file>