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99C" w:rsidRDefault="009C6342">
      <w:pPr>
        <w:spacing w:line="360" w:lineRule="auto"/>
        <w:rPr>
          <w:rFonts w:asciiTheme="minorHAnsi" w:hAnsiTheme="minorHAnsi"/>
        </w:rPr>
      </w:pPr>
      <w:bookmarkStart w:id="0" w:name="_GoBack"/>
      <w:bookmarkEnd w:id="0"/>
      <w:r>
        <w:rPr>
          <w:rFonts w:asciiTheme="minorHAnsi" w:hAnsiTheme="minorHAnsi"/>
          <w:b/>
        </w:rPr>
        <w:t>Appendix 3: Methods: Biogeographic models; example files for BioGeoBEARS analyses</w:t>
      </w:r>
    </w:p>
    <w:p w:rsidR="0088099C" w:rsidRDefault="009C6342">
      <w:pPr>
        <w:spacing w:line="240" w:lineRule="auto"/>
      </w:pPr>
      <w:r>
        <w:rPr>
          <w:rFonts w:asciiTheme="minorHAnsi" w:hAnsiTheme="minorHAnsi"/>
        </w:rPr>
        <w:t xml:space="preserve">Prior to comparing the different biogeographic hypotheses we tested whether an unconstrained model fitted the data better than a) restricting the maximum number of areas at nodes to two; and/or b) implementing an adjacent area matrix. Both a) and b) would be consistent with the present day distributions of the species, which never exceed two, adjacent, areas. </w:t>
      </w:r>
      <w:r w:rsidR="00D769F0">
        <w:rPr>
          <w:rFonts w:asciiTheme="minorHAnsi" w:hAnsiTheme="minorHAnsi"/>
        </w:rPr>
        <w:t>Even distributions widespread across just two adjacent areas are rare</w:t>
      </w:r>
      <w:r w:rsidR="00437C8E" w:rsidRPr="00437C8E">
        <w:rPr>
          <w:rFonts w:asciiTheme="minorHAnsi" w:hAnsiTheme="minorHAnsi"/>
        </w:rPr>
        <w:t xml:space="preserve">, and given the geographic structure in the </w:t>
      </w:r>
      <w:r w:rsidR="00437C8E" w:rsidRPr="00437C8E">
        <w:rPr>
          <w:rFonts w:asciiTheme="minorHAnsi" w:hAnsiTheme="minorHAnsi"/>
          <w:i/>
        </w:rPr>
        <w:t>Erica</w:t>
      </w:r>
      <w:r w:rsidR="00437C8E" w:rsidRPr="00437C8E">
        <w:rPr>
          <w:rFonts w:asciiTheme="minorHAnsi" w:hAnsiTheme="minorHAnsi"/>
        </w:rPr>
        <w:t xml:space="preserve"> phylogeny we would assume that this was the case throu</w:t>
      </w:r>
      <w:r w:rsidR="00437C8E">
        <w:rPr>
          <w:rFonts w:asciiTheme="minorHAnsi" w:hAnsiTheme="minorHAnsi"/>
        </w:rPr>
        <w:t xml:space="preserve">ghout the time of the radiation </w:t>
      </w:r>
      <w:r w:rsidR="00437C8E">
        <w:rPr>
          <w:rFonts w:asciiTheme="minorHAnsi" w:hAnsiTheme="minorHAnsi"/>
        </w:rPr>
        <w:fldChar w:fldCharType="begin" w:fldLock="1"/>
      </w:r>
      <w:r w:rsidR="00437C8E">
        <w:rPr>
          <w:rFonts w:asciiTheme="minorHAnsi" w:hAnsiTheme="minorHAnsi"/>
        </w:rPr>
        <w:instrText>ADDIN CSL_CITATION { "citationItems" : [ { "id" : "ITEM-1", "itemData" : { "DOI" : "10.1186/s12862-016-0764-3", "ISSN" : "1471-2148", "abstract" : "The disproportionate species richness of the world\u2019s biodiversity hotspots could be explained by low extinction (the evolutionary \u201cmuseum\u201d) and/or high speciation (the \u201chot-bed\u201d) models. We test these models using the largest of the species rich plant groups that characterise the botanically diverse Cape Floristic Region (CFR): the genus Erica L. We generate a novel phylogenetic hypothesis informed by nuclear and plastid DNA sequences of c. 60 % of the c. 800 Erica species (of which 690 are endemic to the CFR), and use this to estimate clade ages (using RELTIME; BEAST), net diversification rates (GEIGER), and shifts in rates of diversification in different areas (BAMM; MuSSE).", "author" : [ { "dropping-particle" : "", "family" : "Pirie", "given" : "M. D.", "non-dropping-particle" : "", "parse-names" : false, "suffix" : "" }, { "dropping-particle" : "", "family" : "Oliver", "given" : "E. G. H.", "non-dropping-particle" : "", "parse-names" : false, "suffix" : "" }, { "dropping-particle" : "", "family" : "Mugrabi de Kuppler", "given" : "A.", "non-dropping-particle" : "", "parse-names" : false, "suffix" : "" }, { "dropping-particle" : "", "family" : "Gehrke", "given" : "B.", "non-dropping-particle" : "", "parse-names" : false, "suffix" : "" }, { "dropping-particle" : "", "family" : "Maitre", "given" : "N. C.", "non-dropping-particle" : "Le", "parse-names" : false, "suffix" : "" }, { "dropping-particle" : "", "family" : "Kandziora", "given" : "M.", "non-dropping-particle" : "", "parse-names" : false, "suffix" : "" }, { "dropping-particle" : "", "family" : "Bellstedt", "given" : "D. U.", "non-dropping-particle" : "", "parse-names" : false, "suffix" : "" } ], "container-title" : "BMC Evolutionary Biology", "id" : "ITEM-1", "issue" : "1", "issued" : { "date-parts" : [ [ "2016", "12", "17" ] ] }, "page" : "190", "publisher" : "BMC Evolutionary Biology", "title" : "The biodiversity hotspot as evolutionary hot-bed: spectacular radiation of Erica in the Cape Floristic Region", "type" : "article-journal", "volume" : "16" }, "uris" : [ "http://www.mendeley.com/documents/?uuid=fb5e3bc1-e4cf-4fc0-a8b3-75772ddf5a84" ] } ], "mendeley" : { "formattedCitation" : "(Pirie et al., 2016)", "plainTextFormattedCitation" : "(Pirie et al., 2016)" }, "properties" : { "noteIndex" : 0 }, "schema" : "https://github.com/citation-style-language/schema/raw/master/csl-citation.json" }</w:instrText>
      </w:r>
      <w:r w:rsidR="00437C8E">
        <w:rPr>
          <w:rFonts w:asciiTheme="minorHAnsi" w:hAnsiTheme="minorHAnsi"/>
        </w:rPr>
        <w:fldChar w:fldCharType="separate"/>
      </w:r>
      <w:r w:rsidR="00437C8E" w:rsidRPr="00437C8E">
        <w:rPr>
          <w:rFonts w:asciiTheme="minorHAnsi" w:hAnsiTheme="minorHAnsi"/>
          <w:noProof/>
        </w:rPr>
        <w:t>(Pirie et al., 2016)</w:t>
      </w:r>
      <w:r w:rsidR="00437C8E">
        <w:rPr>
          <w:rFonts w:asciiTheme="minorHAnsi" w:hAnsiTheme="minorHAnsi"/>
        </w:rPr>
        <w:fldChar w:fldCharType="end"/>
      </w:r>
      <w:r w:rsidR="00D769F0">
        <w:rPr>
          <w:rFonts w:asciiTheme="minorHAnsi" w:hAnsiTheme="minorHAnsi"/>
        </w:rPr>
        <w:t xml:space="preserve">. </w:t>
      </w:r>
      <w:r>
        <w:rPr>
          <w:rFonts w:asciiTheme="minorHAnsi" w:hAnsiTheme="minorHAnsi"/>
        </w:rPr>
        <w:t xml:space="preserve">The adjacent area matrix in particular explicitly disallows reconstructions of widespread yet interrupted distributions at ancestral nodes. We would argue that such distributions are unlikely in principle and that dispersal between such areas – if infrequent – would be more appropriately modelled by a process equivalent to jump dispersal than by assuming ongoing gene flow. For DEC+J an adjacent area matrix fit the data better (Results), and we therefore implemented it in subsequent models. Restricting maximum areas to two, by contrast, had a negligible impact on model fit (Results); to increase the speed of the analyses we nevertheless restricted maximum (ancestral) areas to two in subsequent models, thereby assuming that in the past </w:t>
      </w:r>
      <w:r>
        <w:rPr>
          <w:rFonts w:asciiTheme="minorHAnsi" w:hAnsiTheme="minorHAnsi"/>
          <w:i/>
        </w:rPr>
        <w:t>Erica</w:t>
      </w:r>
      <w:r>
        <w:rPr>
          <w:rFonts w:asciiTheme="minorHAnsi" w:hAnsiTheme="minorHAnsi"/>
        </w:rPr>
        <w:t xml:space="preserve"> species also never occurred across more than two regions. For DEC, by contrast, the adjacent area matrix did not improve model fit (and was therefore not further implemented), but restricting ancestral areas to two did (and was). The best fitting model was then used as basis and compared to models implementing the different dispersal hypothesis.</w:t>
      </w:r>
    </w:p>
    <w:p w:rsidR="0088099C" w:rsidRDefault="009C6342">
      <w:pPr>
        <w:spacing w:line="240" w:lineRule="auto"/>
      </w:pPr>
      <w:r>
        <w:rPr>
          <w:rFonts w:asciiTheme="minorHAnsi" w:hAnsiTheme="minorHAnsi"/>
        </w:rPr>
        <w:t>The parameter “w”, which is an exponent for the dispersal multipliers, was fixed to “1”. A free “w” parameter can help to remove some of the subjectivity of dispersal multipliers by optimising the matrix but there are known issues in finding the optimal maximum likelihood using a free “w” parameter (</w:t>
      </w:r>
      <w:hyperlink r:id="rId7" w:anchor="toc20" w:history="1">
        <w:r>
          <w:rPr>
            <w:rStyle w:val="InternetLink"/>
            <w:rFonts w:asciiTheme="minorHAnsi" w:hAnsiTheme="minorHAnsi"/>
          </w:rPr>
          <w:t>phylo.wikidot.com/biogeobears#toc20</w:t>
        </w:r>
      </w:hyperlink>
      <w:r>
        <w:rPr>
          <w:rFonts w:asciiTheme="minorHAnsi" w:hAnsiTheme="minorHAnsi"/>
        </w:rPr>
        <w:t>). We also tried different values for “w” using only the best tree and the most likely dispersal model (Drakensberg melting pot with a multiplier of 0.25 for DEC+J and with a multiplier of 0.075 for DEC) to test the effect. The differences in model fit were negligible (DEC+J) or negative (DEC respectively). We therefore only report results fixing “w” to 1.</w:t>
      </w:r>
    </w:p>
    <w:p w:rsidR="0088099C" w:rsidRDefault="009C6342">
      <w:pPr>
        <w:spacing w:line="240" w:lineRule="auto"/>
      </w:pPr>
      <w:r>
        <w:rPr>
          <w:rFonts w:asciiTheme="minorHAnsi" w:hAnsiTheme="minorHAnsi"/>
        </w:rPr>
        <w:t xml:space="preserve">Mugrabi de Kuppler et al. (2015) inferred reticulation in Europe between ancestors of </w:t>
      </w:r>
      <w:r>
        <w:rPr>
          <w:rFonts w:asciiTheme="minorHAnsi" w:hAnsiTheme="minorHAnsi"/>
          <w:i/>
        </w:rPr>
        <w:t>E. lusitanica</w:t>
      </w:r>
      <w:r>
        <w:rPr>
          <w:rFonts w:asciiTheme="minorHAnsi" w:hAnsiTheme="minorHAnsi"/>
        </w:rPr>
        <w:t xml:space="preserve"> and </w:t>
      </w:r>
      <w:r>
        <w:rPr>
          <w:rFonts w:asciiTheme="minorHAnsi" w:hAnsiTheme="minorHAnsi"/>
          <w:i/>
        </w:rPr>
        <w:t>E. arborea</w:t>
      </w:r>
      <w:r>
        <w:rPr>
          <w:rFonts w:asciiTheme="minorHAnsi" w:hAnsiTheme="minorHAnsi"/>
        </w:rPr>
        <w:t xml:space="preserve"> on the basis of gene tree incongruence. This incongruence led </w:t>
      </w:r>
      <w:r>
        <w:fldChar w:fldCharType="begin" w:fldLock="1"/>
      </w:r>
      <w:r>
        <w:instrText>ADDIN CSL_CITATION { "citationItems" : [ { "id" : "ITEM-1", "itemData" : { "DOI" : "10.1186/s12862-016-0764-3", "ISSN" : "1471-2148", "abstract" : "The disproportionate species richness of the world\u2019s biodiversity hotspots could be explained by low extinction (the evolutionary \u201cmuseum\u201d) and/or high speciation (the \u201chot-bed\u201d) models. We test these models using the largest of the species rich plant groups that characterise the botanically diverse Cape Floristic Region (CFR): the genus Erica L. We generate a novel phylogenetic hypothesis informed by nuclear and plastid DNA sequences of c. 60 % of the c. 800 Erica species (of which 690 are endemic to the CFR), and use this to estimate clade ages (using RELTIME; BEAST), net diversification rates (GEIGER), and shifts in rates of diversification in different areas (BAMM; MuSSE).", "author" : [ { "dropping-particle" : "", "family" : "Pirie", "given" : "M. D.", "non-dropping-particle" : "", "parse-names" : false, "suffix" : "" }, { "dropping-particle" : "", "family" : "Oliver", "given" : "E. G. H.", "non-dropping-particle" : "", "parse-names" : false, "suffix" : "" }, { "dropping-particle" : "", "family" : "Mugrabi de Kuppler", "given" : "A.", "non-dropping-particle" : "", "parse-names" : false, "suffix" : "" }, { "dropping-particle" : "", "family" : "Gehrke", "given" : "B.", "non-dropping-particle" : "", "parse-names" : false, "suffix" : "" }, { "dropping-particle" : "", "family" : "Maitre", "given" : "N. C.", "non-dropping-particle" : "Le", "parse-names" : false, "suffix" : "" }, { "dropping-particle" : "", "family" : "Kandziora", "given" : "M.", "non-dropping-particle" : "", "parse-names" : false, "suffix" : "" }, { "dropping-particle" : "", "family" : "Bellstedt", "given" : "D. U.", "non-dropping-particle" : "", "parse-names" : false, "suffix" : "" } ], "container-title" : "BMC Evolutionary Biology", "id" : "ITEM-1", "issue" : "1", "issued" : { "date-parts" : [ [ "2016", "12", "17" ] ] }, "page" : "190", "publisher" : "BMC Evolutionary Biology", "title" : "The biodiversity hotspot as evolutionary hot-bed: spectacular radiation of Erica in the Cape Floristic Region", "type" : "article-journal", "volume" : "16" }, "uris" : [ "http://www.mendeley.com/documents/?uuid=fb5e3bc1-e4cf-4fc0-a8b3-75772ddf5a84" ] } ], "mendeley" : { "formattedCitation" : "(Pirie et al., 2016)", "manualFormatting" : "Pirie &amp; al. (2016)", "plainTextFormattedCitation" : "(Pirie et al., 2016)", "previouslyFormattedCitation" : "(Pirie et al., 2016)" }, "properties" : { "noteIndex" : 0 }, "schema" : "https://github.com/citation-style-language/schema/raw/master/csl-citation.json" }</w:instrText>
      </w:r>
      <w:r>
        <w:fldChar w:fldCharType="separate"/>
      </w:r>
      <w:bookmarkStart w:id="1" w:name="__Fieldmark__10182_1355720316"/>
      <w:r>
        <w:rPr>
          <w:rFonts w:asciiTheme="minorHAnsi" w:hAnsiTheme="minorHAnsi"/>
          <w:noProof/>
        </w:rPr>
        <w:t>P</w:t>
      </w:r>
      <w:bookmarkStart w:id="2" w:name="__Fieldmark__94538_2901337518"/>
      <w:r>
        <w:rPr>
          <w:rFonts w:asciiTheme="minorHAnsi" w:hAnsiTheme="minorHAnsi"/>
          <w:noProof/>
        </w:rPr>
        <w:t>i</w:t>
      </w:r>
      <w:bookmarkStart w:id="3" w:name="__Fieldmark__23537_2901337518"/>
      <w:r>
        <w:rPr>
          <w:rFonts w:asciiTheme="minorHAnsi" w:hAnsiTheme="minorHAnsi"/>
          <w:noProof/>
        </w:rPr>
        <w:t>r</w:t>
      </w:r>
      <w:bookmarkStart w:id="4" w:name="__Fieldmark__6146_148153584"/>
      <w:r>
        <w:rPr>
          <w:rFonts w:asciiTheme="minorHAnsi" w:hAnsiTheme="minorHAnsi"/>
          <w:noProof/>
        </w:rPr>
        <w:t>i</w:t>
      </w:r>
      <w:bookmarkStart w:id="5" w:name="__Fieldmark__27436_2606946010"/>
      <w:r>
        <w:rPr>
          <w:rFonts w:asciiTheme="minorHAnsi" w:hAnsiTheme="minorHAnsi"/>
          <w:noProof/>
        </w:rPr>
        <w:t>e</w:t>
      </w:r>
      <w:bookmarkStart w:id="6" w:name="__Fieldmark__24452_1032130319"/>
      <w:r>
        <w:rPr>
          <w:rFonts w:asciiTheme="minorHAnsi" w:hAnsiTheme="minorHAnsi"/>
          <w:noProof/>
        </w:rPr>
        <w:t xml:space="preserve"> </w:t>
      </w:r>
      <w:bookmarkStart w:id="7" w:name="__Fieldmark__11311_1032130319"/>
      <w:r>
        <w:rPr>
          <w:rFonts w:asciiTheme="minorHAnsi" w:hAnsiTheme="minorHAnsi"/>
          <w:noProof/>
        </w:rPr>
        <w:t>&amp;</w:t>
      </w:r>
      <w:bookmarkStart w:id="8" w:name="__Fieldmark__39300_4276171936"/>
      <w:r>
        <w:rPr>
          <w:rFonts w:asciiTheme="minorHAnsi" w:hAnsiTheme="minorHAnsi"/>
          <w:noProof/>
        </w:rPr>
        <w:t xml:space="preserve"> </w:t>
      </w:r>
      <w:bookmarkStart w:id="9" w:name="__Fieldmark__24645_4276171936"/>
      <w:r>
        <w:rPr>
          <w:rFonts w:asciiTheme="minorHAnsi" w:hAnsiTheme="minorHAnsi"/>
          <w:noProof/>
        </w:rPr>
        <w:t>a</w:t>
      </w:r>
      <w:bookmarkStart w:id="10" w:name="__Fieldmark__1341_2128649790"/>
      <w:bookmarkStart w:id="11" w:name="__Fieldmark__1504_2046236570"/>
      <w:r>
        <w:rPr>
          <w:rFonts w:asciiTheme="minorHAnsi" w:hAnsiTheme="minorHAnsi"/>
          <w:noProof/>
        </w:rPr>
        <w:t>l</w:t>
      </w:r>
      <w:bookmarkStart w:id="12" w:name="__Fieldmark__29001_1586955725"/>
      <w:r>
        <w:rPr>
          <w:rFonts w:asciiTheme="minorHAnsi" w:hAnsiTheme="minorHAnsi"/>
          <w:noProof/>
        </w:rPr>
        <w:t>.</w:t>
      </w:r>
      <w:bookmarkStart w:id="13" w:name="__Fieldmark__1543_1186401686"/>
      <w:r>
        <w:rPr>
          <w:rFonts w:asciiTheme="minorHAnsi" w:hAnsiTheme="minorHAnsi"/>
          <w:noProof/>
        </w:rPr>
        <w:t xml:space="preserve"> (2016)</w:t>
      </w:r>
      <w:r>
        <w:fldChar w:fldCharType="end"/>
      </w:r>
      <w:bookmarkStart w:id="14" w:name="__Fieldmark__1170_1783702956"/>
      <w:bookmarkStart w:id="15" w:name="__Fieldmark__47654_1783702956"/>
      <w:bookmarkStart w:id="16" w:name="__Fieldmark__1011_685583219"/>
      <w:bookmarkStart w:id="17" w:name="__Fieldmark__16145_193800264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Theme="minorHAnsi" w:hAnsiTheme="minorHAnsi"/>
        </w:rPr>
        <w:t xml:space="preserve"> to exclude </w:t>
      </w:r>
      <w:r>
        <w:rPr>
          <w:rFonts w:asciiTheme="minorHAnsi" w:hAnsiTheme="minorHAnsi"/>
          <w:i/>
        </w:rPr>
        <w:t>E. lusitanica</w:t>
      </w:r>
      <w:r>
        <w:rPr>
          <w:rFonts w:asciiTheme="minorHAnsi" w:hAnsiTheme="minorHAnsi"/>
        </w:rPr>
        <w:t xml:space="preserve"> from the combined analyses of plastid and nuclear DNA sequences used here, whereby the evidence that it presents for a European origin of </w:t>
      </w:r>
      <w:r>
        <w:rPr>
          <w:rFonts w:asciiTheme="minorHAnsi" w:hAnsiTheme="minorHAnsi"/>
          <w:i/>
        </w:rPr>
        <w:t>E. arborea</w:t>
      </w:r>
      <w:r>
        <w:rPr>
          <w:rFonts w:asciiTheme="minorHAnsi" w:hAnsiTheme="minorHAnsi"/>
        </w:rPr>
        <w:t xml:space="preserve"> was inevitably lost from these analyses. We therefore ran the best model coding </w:t>
      </w:r>
      <w:r>
        <w:rPr>
          <w:rFonts w:asciiTheme="minorHAnsi" w:hAnsiTheme="minorHAnsi"/>
          <w:i/>
        </w:rPr>
        <w:t>E. arborea</w:t>
      </w:r>
      <w:r>
        <w:rPr>
          <w:rFonts w:asciiTheme="minorHAnsi" w:hAnsiTheme="minorHAnsi"/>
        </w:rPr>
        <w:t xml:space="preserve"> as European, rather than as widespread between Europe and TA, to test the potential impact on our results of a European ancestral area for the species</w:t>
      </w:r>
      <w:r>
        <w:rPr>
          <w:rFonts w:asciiTheme="minorHAnsi" w:hAnsiTheme="minorHAnsi"/>
          <w:i/>
        </w:rPr>
        <w:t>.</w:t>
      </w:r>
    </w:p>
    <w:p w:rsidR="0088099C" w:rsidRDefault="009C6342">
      <w:pPr>
        <w:spacing w:line="240" w:lineRule="auto"/>
      </w:pPr>
      <w:r>
        <w:rPr>
          <w:rFonts w:asciiTheme="minorHAnsi" w:hAnsiTheme="minorHAnsi"/>
        </w:rPr>
        <w:t xml:space="preserve">We also tested models that solely incorporates distances (either physical or environmental), based on the best model using the initial constraints (adjacency matrix and/or maximum area set to two: DEC+J/DEC respectively). For the pure distance model, we tested distances converted to probabilities, a linear model and exponentially transformed distances (0 to1). To combine both geographical and environmental distances </w:t>
      </w:r>
      <w:r>
        <w:t>in a joint model, instead of a single rate multiplier matrix both niche-based and distance-based matrices were used</w:t>
      </w:r>
      <w:r>
        <w:rPr>
          <w:rFonts w:asciiTheme="minorHAnsi" w:hAnsiTheme="minorHAnsi"/>
        </w:rPr>
        <w:t xml:space="preserve">. </w:t>
      </w:r>
    </w:p>
    <w:p w:rsidR="007832BF" w:rsidRDefault="007832BF">
      <w:pPr>
        <w:spacing w:line="240" w:lineRule="auto"/>
        <w:rPr>
          <w:rFonts w:cs="Calibri"/>
        </w:rPr>
      </w:pPr>
      <w:r>
        <w:rPr>
          <w:rFonts w:cs="Calibri"/>
        </w:rPr>
        <w:t xml:space="preserve">To test for the potential impact of sampling bias given differing proportions of species sampled for the different areas, we conducted a rarefaction analysis by randomly removing tips per region from the best tree to reflect the lowest percentage of sampling in a region (Madagascar: 42 %) and recalculated the models using 10 differently pruned phylogenies (based on the best tree). </w:t>
      </w:r>
    </w:p>
    <w:p w:rsidR="007832BF" w:rsidRDefault="007832BF">
      <w:pPr>
        <w:spacing w:after="0" w:line="240" w:lineRule="auto"/>
        <w:rPr>
          <w:rFonts w:cs="Calibri"/>
        </w:rPr>
      </w:pPr>
      <w:r>
        <w:rPr>
          <w:rFonts w:cs="Calibri"/>
        </w:rPr>
        <w:br w:type="page"/>
      </w:r>
    </w:p>
    <w:p w:rsidR="007832BF" w:rsidRDefault="007832BF">
      <w:pPr>
        <w:spacing w:line="240" w:lineRule="auto"/>
        <w:rPr>
          <w:rFonts w:asciiTheme="minorHAnsi" w:hAnsiTheme="minorHAnsi"/>
          <w:b/>
        </w:rPr>
      </w:pPr>
    </w:p>
    <w:p w:rsidR="0088099C" w:rsidRDefault="009C6342">
      <w:pPr>
        <w:spacing w:line="240" w:lineRule="auto"/>
      </w:pPr>
      <w:r>
        <w:rPr>
          <w:rFonts w:asciiTheme="minorHAnsi" w:hAnsiTheme="minorHAnsi"/>
          <w:b/>
        </w:rPr>
        <w:t>Table S3.1</w:t>
      </w:r>
      <w:r>
        <w:rPr>
          <w:rFonts w:asciiTheme="minorHAnsi" w:hAnsiTheme="minorHAnsi"/>
        </w:rPr>
        <w:t>. Biogeographic models, here shown with 0.00 dispersal multipliers for unlikely dispersal pathways. Abbreviations: E, Europe; D, Drakensberg; T, Tropical Africa; M, Madagascar; C, Cape. Note that for the Stepping Stone, Cape to Cairo and Drakensberg Melting Pot model we used different dispersal multipliers:  0.00, 0.01, 0.05, 0.075, 0.1, 0.25 and 0.5. Here we only show the 0 matrices.</w:t>
      </w:r>
    </w:p>
    <w:tbl>
      <w:tblPr>
        <w:tblStyle w:val="EinfacheTabelle31"/>
        <w:tblW w:w="9010" w:type="dxa"/>
        <w:tblInd w:w="62" w:type="dxa"/>
        <w:tblBorders>
          <w:bottom w:val="single" w:sz="4" w:space="0" w:color="000001"/>
          <w:insideH w:val="single" w:sz="4" w:space="0" w:color="000001"/>
        </w:tblBorders>
        <w:tblLook w:val="04A0" w:firstRow="1" w:lastRow="0" w:firstColumn="1" w:lastColumn="0" w:noHBand="0" w:noVBand="1"/>
      </w:tblPr>
      <w:tblGrid>
        <w:gridCol w:w="1103"/>
        <w:gridCol w:w="613"/>
        <w:gridCol w:w="1467"/>
        <w:gridCol w:w="1426"/>
        <w:gridCol w:w="1467"/>
        <w:gridCol w:w="1467"/>
        <w:gridCol w:w="1467"/>
      </w:tblGrid>
      <w:tr w:rsidR="0088099C" w:rsidTr="0088099C">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1492" w:type="dxa"/>
            <w:tcBorders>
              <w:bottom w:val="single" w:sz="4" w:space="0" w:color="000001"/>
            </w:tcBorders>
            <w:shd w:val="clear" w:color="auto" w:fill="auto"/>
          </w:tcPr>
          <w:p w:rsidR="0088099C" w:rsidRDefault="009C6342">
            <w:pPr>
              <w:spacing w:after="0" w:line="240" w:lineRule="auto"/>
              <w:rPr>
                <w:rFonts w:asciiTheme="minorHAnsi" w:hAnsiTheme="minorHAnsi"/>
                <w:sz w:val="18"/>
              </w:rPr>
            </w:pPr>
            <w:r>
              <w:rPr>
                <w:rFonts w:asciiTheme="minorHAnsi" w:hAnsiTheme="minorHAnsi"/>
                <w:sz w:val="18"/>
                <w:szCs w:val="18"/>
              </w:rPr>
              <w:t>Model</w:t>
            </w:r>
          </w:p>
        </w:tc>
        <w:tc>
          <w:tcPr>
            <w:tcW w:w="580" w:type="dxa"/>
            <w:tcBorders>
              <w:bottom w:val="single" w:sz="4" w:space="0" w:color="000001"/>
            </w:tcBorders>
            <w:shd w:val="clear" w:color="auto" w:fill="auto"/>
          </w:tcPr>
          <w:p w:rsidR="0088099C" w:rsidRDefault="009C6342">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Areas</w:t>
            </w:r>
          </w:p>
        </w:tc>
        <w:tc>
          <w:tcPr>
            <w:tcW w:w="1395" w:type="dxa"/>
            <w:tcBorders>
              <w:bottom w:val="single" w:sz="4" w:space="0" w:color="000001"/>
            </w:tcBorders>
            <w:shd w:val="clear" w:color="auto" w:fill="auto"/>
          </w:tcPr>
          <w:p w:rsidR="0088099C" w:rsidRDefault="009C6342">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E</w:t>
            </w:r>
          </w:p>
        </w:tc>
        <w:tc>
          <w:tcPr>
            <w:tcW w:w="1356" w:type="dxa"/>
            <w:tcBorders>
              <w:bottom w:val="single" w:sz="4" w:space="0" w:color="000001"/>
            </w:tcBorders>
            <w:shd w:val="clear" w:color="auto" w:fill="auto"/>
          </w:tcPr>
          <w:p w:rsidR="0088099C" w:rsidRDefault="009C6342">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T</w:t>
            </w:r>
          </w:p>
        </w:tc>
        <w:tc>
          <w:tcPr>
            <w:tcW w:w="1395" w:type="dxa"/>
            <w:tcBorders>
              <w:bottom w:val="single" w:sz="4" w:space="0" w:color="000001"/>
            </w:tcBorders>
            <w:shd w:val="clear" w:color="auto" w:fill="auto"/>
          </w:tcPr>
          <w:p w:rsidR="0088099C" w:rsidRDefault="009C6342">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M</w:t>
            </w:r>
          </w:p>
        </w:tc>
        <w:tc>
          <w:tcPr>
            <w:tcW w:w="1395" w:type="dxa"/>
            <w:tcBorders>
              <w:bottom w:val="single" w:sz="4" w:space="0" w:color="000001"/>
            </w:tcBorders>
            <w:shd w:val="clear" w:color="auto" w:fill="auto"/>
          </w:tcPr>
          <w:p w:rsidR="0088099C" w:rsidRDefault="009C6342">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D</w:t>
            </w:r>
          </w:p>
        </w:tc>
        <w:tc>
          <w:tcPr>
            <w:tcW w:w="1396" w:type="dxa"/>
            <w:tcBorders>
              <w:bottom w:val="single" w:sz="4" w:space="0" w:color="000001"/>
            </w:tcBorders>
            <w:shd w:val="clear" w:color="auto" w:fill="auto"/>
          </w:tcPr>
          <w:p w:rsidR="0088099C" w:rsidRDefault="009C6342">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C</w:t>
            </w:r>
          </w:p>
        </w:tc>
      </w:tr>
      <w:tr w:rsidR="0088099C" w:rsidTr="0088099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9C6342">
            <w:pPr>
              <w:spacing w:after="0" w:line="240" w:lineRule="auto"/>
              <w:rPr>
                <w:rFonts w:asciiTheme="minorHAnsi" w:hAnsiTheme="minorHAnsi"/>
                <w:b w:val="0"/>
                <w:sz w:val="18"/>
              </w:rPr>
            </w:pPr>
            <w:r>
              <w:rPr>
                <w:rFonts w:asciiTheme="minorHAnsi" w:hAnsiTheme="minorHAnsi"/>
                <w:b w:val="0"/>
                <w:sz w:val="18"/>
                <w:szCs w:val="18"/>
              </w:rPr>
              <w:t>Stepping Stone</w:t>
            </w: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E</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trHeight w:val="27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T</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M</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trHeight w:val="27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D</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r>
      <w:tr w:rsidR="0088099C" w:rsidTr="0088099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C</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r>
      <w:tr w:rsidR="0088099C" w:rsidTr="0088099C">
        <w:trPr>
          <w:trHeight w:val="27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56"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6"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r w:rsidR="0088099C" w:rsidTr="0088099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9C6342">
            <w:pPr>
              <w:spacing w:after="0" w:line="240" w:lineRule="auto"/>
              <w:rPr>
                <w:rFonts w:asciiTheme="minorHAnsi" w:hAnsiTheme="minorHAnsi"/>
                <w:b w:val="0"/>
                <w:sz w:val="18"/>
              </w:rPr>
            </w:pPr>
            <w:r>
              <w:rPr>
                <w:rFonts w:asciiTheme="minorHAnsi" w:hAnsiTheme="minorHAnsi"/>
                <w:b w:val="0"/>
                <w:sz w:val="18"/>
                <w:szCs w:val="18"/>
              </w:rPr>
              <w:t>Cape to Cairo</w:t>
            </w: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E</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T</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M</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D</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C</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56"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6"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9C6342">
            <w:pPr>
              <w:spacing w:after="0" w:line="240" w:lineRule="auto"/>
              <w:rPr>
                <w:rFonts w:asciiTheme="minorHAnsi" w:hAnsiTheme="minorHAnsi"/>
                <w:b w:val="0"/>
                <w:sz w:val="18"/>
              </w:rPr>
            </w:pPr>
            <w:r>
              <w:rPr>
                <w:rFonts w:asciiTheme="minorHAnsi" w:hAnsiTheme="minorHAnsi"/>
                <w:b w:val="0"/>
                <w:sz w:val="18"/>
                <w:szCs w:val="18"/>
              </w:rPr>
              <w:t>Drakensberg melting pot</w:t>
            </w: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E</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T</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M</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D</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C</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56"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c>
          <w:tcPr>
            <w:tcW w:w="1396"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9C6342">
            <w:pPr>
              <w:spacing w:after="0" w:line="240" w:lineRule="auto"/>
              <w:rPr>
                <w:rFonts w:asciiTheme="minorHAnsi" w:hAnsiTheme="minorHAnsi"/>
                <w:b w:val="0"/>
                <w:sz w:val="18"/>
                <w:szCs w:val="18"/>
              </w:rPr>
            </w:pPr>
            <w:r>
              <w:rPr>
                <w:rFonts w:asciiTheme="minorHAnsi" w:hAnsiTheme="minorHAnsi"/>
                <w:b w:val="0"/>
                <w:sz w:val="18"/>
                <w:szCs w:val="18"/>
              </w:rPr>
              <w:t>Geographic distance</w:t>
            </w:r>
          </w:p>
        </w:tc>
        <w:tc>
          <w:tcPr>
            <w:tcW w:w="580" w:type="dxa"/>
            <w:tcBorders>
              <w:top w:val="single" w:sz="4" w:space="0" w:color="000001"/>
              <w:bottom w:val="single" w:sz="4" w:space="0" w:color="000001"/>
            </w:tcBorders>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56" w:type="dxa"/>
            <w:tcBorders>
              <w:top w:val="single" w:sz="4" w:space="0" w:color="000001"/>
              <w:bottom w:val="single" w:sz="4" w:space="0" w:color="000001"/>
            </w:tcBorders>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6" w:type="dxa"/>
            <w:tcBorders>
              <w:top w:val="single" w:sz="4" w:space="0" w:color="000001"/>
              <w:bottom w:val="single" w:sz="4" w:space="0" w:color="000001"/>
            </w:tcBorders>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9C6342">
            <w:pPr>
              <w:spacing w:after="0" w:line="240" w:lineRule="auto"/>
              <w:rPr>
                <w:rFonts w:asciiTheme="minorHAnsi" w:hAnsiTheme="minorHAnsi"/>
                <w:sz w:val="18"/>
                <w:szCs w:val="18"/>
              </w:rPr>
            </w:pPr>
            <w:r>
              <w:rPr>
                <w:rFonts w:asciiTheme="minorHAnsi" w:hAnsiTheme="minorHAnsi"/>
                <w:sz w:val="18"/>
                <w:szCs w:val="18"/>
              </w:rPr>
              <w:t>in m</w:t>
            </w: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E</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2480098</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6411884</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6482646</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6570434</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9C6342">
            <w:pPr>
              <w:spacing w:after="0" w:line="240" w:lineRule="auto"/>
              <w:rPr>
                <w:rFonts w:asciiTheme="minorHAnsi" w:hAnsiTheme="minorHAnsi"/>
                <w:sz w:val="18"/>
                <w:szCs w:val="18"/>
              </w:rPr>
            </w:pPr>
            <w:r>
              <w:rPr>
                <w:rFonts w:asciiTheme="minorHAnsi" w:hAnsiTheme="minorHAnsi"/>
                <w:sz w:val="18"/>
                <w:szCs w:val="18"/>
              </w:rPr>
              <w:t>(reference</w:t>
            </w: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T</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2480098</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1208094</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404243</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1380045</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9C6342">
            <w:pPr>
              <w:spacing w:after="0" w:line="240" w:lineRule="auto"/>
              <w:rPr>
                <w:rFonts w:asciiTheme="minorHAnsi" w:hAnsiTheme="minorHAnsi"/>
                <w:sz w:val="18"/>
                <w:szCs w:val="18"/>
              </w:rPr>
            </w:pPr>
            <w:r>
              <w:rPr>
                <w:rFonts w:asciiTheme="minorHAnsi" w:hAnsiTheme="minorHAnsi"/>
                <w:sz w:val="18"/>
                <w:szCs w:val="18"/>
              </w:rPr>
              <w:t>only)</w:t>
            </w: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M</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6411884</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1208094</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984007</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2059502</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D</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6482646</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404243</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984007</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52129</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C</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6570434</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1380045</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2059502</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52129</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pPr>
            <w:r>
              <w:rPr>
                <w:sz w:val="18"/>
                <w:szCs w:val="18"/>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56"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6"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9C6342">
            <w:pPr>
              <w:spacing w:after="0" w:line="240" w:lineRule="auto"/>
            </w:pPr>
            <w:r>
              <w:rPr>
                <w:rFonts w:asciiTheme="minorHAnsi" w:hAnsiTheme="minorHAnsi"/>
                <w:b w:val="0"/>
                <w:sz w:val="18"/>
                <w:szCs w:val="18"/>
              </w:rPr>
              <w:t xml:space="preserve">as </w:t>
            </w:r>
            <w:r w:rsidR="00985CCA">
              <w:rPr>
                <w:rFonts w:asciiTheme="minorHAnsi" w:hAnsiTheme="minorHAnsi"/>
                <w:b w:val="0"/>
                <w:sz w:val="18"/>
                <w:szCs w:val="18"/>
              </w:rPr>
              <w:t>“</w:t>
            </w:r>
            <w:r>
              <w:rPr>
                <w:rFonts w:asciiTheme="minorHAnsi" w:hAnsiTheme="minorHAnsi"/>
                <w:b w:val="0"/>
                <w:sz w:val="18"/>
                <w:szCs w:val="18"/>
              </w:rPr>
              <w:t>Probability</w:t>
            </w:r>
            <w:r w:rsidR="00985CCA">
              <w:rPr>
                <w:rFonts w:asciiTheme="minorHAnsi" w:hAnsiTheme="minorHAnsi"/>
                <w:b w:val="0"/>
                <w:sz w:val="18"/>
                <w:szCs w:val="18"/>
              </w:rPr>
              <w:t>”</w:t>
            </w: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E</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0.623</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0.025</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0.014</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0.001</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985CCA">
            <w:pPr>
              <w:spacing w:after="0" w:line="240" w:lineRule="auto"/>
              <w:rPr>
                <w:rFonts w:asciiTheme="minorHAnsi" w:hAnsiTheme="minorHAnsi"/>
                <w:sz w:val="18"/>
                <w:szCs w:val="18"/>
              </w:rPr>
            </w:pPr>
            <w:r>
              <w:rPr>
                <w:rFonts w:asciiTheme="minorHAnsi" w:hAnsiTheme="minorHAnsi"/>
                <w:sz w:val="18"/>
                <w:szCs w:val="18"/>
              </w:rPr>
              <w:t>(0-1)</w:t>
            </w: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T</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0.623</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0.816</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0.939</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0.790</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M</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0.025</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0.816</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0.850</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0.687</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D</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0.014</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0.939</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0.85</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1</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Pr>
                <w:rFonts w:asciiTheme="minorHAnsi" w:hAnsiTheme="minorHAnsi"/>
                <w:sz w:val="18"/>
                <w:szCs w:val="18"/>
              </w:rPr>
              <w:t>0.992</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C</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0.001</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0.790</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0.687</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rPr>
            </w:pPr>
            <w:r>
              <w:rPr>
                <w:rFonts w:asciiTheme="minorHAnsi" w:hAnsiTheme="minorHAnsi"/>
                <w:sz w:val="18"/>
                <w:szCs w:val="18"/>
              </w:rPr>
              <w:t>0.992</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sz w:val="18"/>
                <w:szCs w:val="18"/>
              </w:rPr>
              <w:t>1</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56"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5"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1396" w:type="dxa"/>
            <w:tcBorders>
              <w:top w:val="single" w:sz="4" w:space="0" w:color="000001"/>
              <w:bottom w:val="single" w:sz="4" w:space="0" w:color="000001"/>
            </w:tcBorders>
            <w:shd w:val="clear" w:color="auto" w:fill="F2F2F2"/>
          </w:tcPr>
          <w:p w:rsidR="0088099C" w:rsidRDefault="0088099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9C6342">
            <w:pPr>
              <w:spacing w:after="0" w:line="240" w:lineRule="auto"/>
            </w:pPr>
            <w:r>
              <w:rPr>
                <w:rFonts w:asciiTheme="minorHAnsi" w:hAnsiTheme="minorHAnsi"/>
                <w:b w:val="0"/>
                <w:sz w:val="18"/>
                <w:szCs w:val="18"/>
              </w:rPr>
              <w:t>^1 (linear)</w:t>
            </w: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E</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47.5761668169349</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123.000326114063</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124.357766310499</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126.041819332809</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T</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47.5761668169349</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23.1750848855723</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7.75466630858064</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26.4736519020123</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M</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123.000326114063</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23.1750848855723</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18.876383586871</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39.5077979627463</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D</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124.357766310499</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7.75466630858064</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18.876383586871</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C</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126.041819332809</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26.4736519020123</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39.5077979627463</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9C6342">
            <w:pPr>
              <w:spacing w:after="0" w:line="240" w:lineRule="auto"/>
              <w:rPr>
                <w:sz w:val="18"/>
                <w:szCs w:val="18"/>
              </w:rPr>
            </w:pPr>
            <w:r>
              <w:rPr>
                <w:rFonts w:asciiTheme="minorHAnsi" w:hAnsiTheme="minorHAnsi"/>
                <w:b w:val="0"/>
                <w:sz w:val="18"/>
                <w:szCs w:val="18"/>
              </w:rPr>
              <w:t>^-2 (exp)</w:t>
            </w: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eu</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0.00044179531232</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6.60978714623171E-05</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6.46627506021843E-05</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6.29463675606014E-05</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ta</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0.00044179531232</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0.001861904205583</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0.016629292454534</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0.001426830196282</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mad</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6.60978714623171E-05</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0.001861904205583</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0.002806482974289</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0.000640669946055</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dra</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6.46627506021843E-05</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0.016629292454534</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0.002806482974289</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cfr</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6.29463675606014E-05</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0.001426830196282</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0.000640669946055</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9C6342">
            <w:pPr>
              <w:spacing w:after="0" w:line="240" w:lineRule="auto"/>
              <w:rPr>
                <w:sz w:val="18"/>
                <w:szCs w:val="18"/>
              </w:rPr>
            </w:pPr>
            <w:r>
              <w:rPr>
                <w:rFonts w:asciiTheme="minorHAnsi" w:hAnsiTheme="minorHAnsi"/>
                <w:b w:val="0"/>
                <w:sz w:val="18"/>
                <w:szCs w:val="18"/>
              </w:rPr>
              <w:t>^-1 (EXP)</w:t>
            </w: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eu</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0.021018927477866</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0.00813005974531</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0.008041315228381</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0.00793387468773</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ta</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0.021018927477866</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0.043149788013184</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0.128954613932709</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0.037773405939661</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mad</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0.00813005974531</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0.043149788013184</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0.052976249152699</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0.025311458789552</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dra</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0.008041315228381</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0.128954613932709</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0.052976249152699</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cfr</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0.00793387468773</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0.037773405939661</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0.025311458789552</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9C6342">
            <w:pPr>
              <w:spacing w:after="0" w:line="240" w:lineRule="auto"/>
              <w:rPr>
                <w:sz w:val="18"/>
                <w:szCs w:val="18"/>
              </w:rPr>
            </w:pPr>
            <w:r>
              <w:rPr>
                <w:rFonts w:asciiTheme="minorHAnsi" w:hAnsiTheme="minorHAnsi"/>
                <w:b w:val="0"/>
                <w:sz w:val="18"/>
                <w:szCs w:val="18"/>
              </w:rPr>
              <w:t>^-0.5 (EXP)</w:t>
            </w: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eu</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0.380761157100236</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0.300277944470818</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0.299455139918915</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0.298449828847789</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ta</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0.380761157100236</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0.455768878403725</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0.599251626391339</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0.440855777296096</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mad</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0.300277944470818</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0.455768878403725</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0.479755874732202</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0.398868090381487</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dra</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0.299455139918915</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0.599251626391339</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0.479755874732202</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F2F2F2"/>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cfr</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0.298449828847789</w:t>
            </w:r>
          </w:p>
        </w:tc>
        <w:tc>
          <w:tcPr>
            <w:tcW w:w="135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0.440855777296096</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0.398868090381487</w:t>
            </w:r>
          </w:p>
        </w:tc>
        <w:tc>
          <w:tcPr>
            <w:tcW w:w="1395"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1396" w:type="dxa"/>
            <w:tcBorders>
              <w:top w:val="single" w:sz="4" w:space="0" w:color="000001"/>
              <w:bottom w:val="single" w:sz="4" w:space="0" w:color="000001"/>
            </w:tcBorders>
            <w:shd w:val="clear" w:color="auto" w:fill="F2F2F2"/>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356"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395"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396" w:type="dxa"/>
            <w:tcBorders>
              <w:top w:val="single" w:sz="4" w:space="0" w:color="000001"/>
              <w:bottom w:val="single" w:sz="4" w:space="0" w:color="000001"/>
            </w:tcBorders>
            <w:shd w:val="clear" w:color="auto" w:fill="auto"/>
          </w:tcPr>
          <w:p w:rsidR="0088099C" w:rsidRDefault="0088099C">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9C6342">
            <w:pPr>
              <w:spacing w:after="0" w:line="240" w:lineRule="auto"/>
              <w:rPr>
                <w:rFonts w:asciiTheme="minorHAnsi" w:hAnsiTheme="minorHAnsi"/>
                <w:b w:val="0"/>
                <w:sz w:val="18"/>
              </w:rPr>
            </w:pPr>
            <w:r>
              <w:rPr>
                <w:rFonts w:asciiTheme="minorHAnsi" w:hAnsiTheme="minorHAnsi"/>
                <w:b w:val="0"/>
                <w:sz w:val="18"/>
                <w:szCs w:val="18"/>
              </w:rPr>
              <w:t>Niche similarity</w:t>
            </w: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E</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1</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0.274</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0.208</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0.350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0.353</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T</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0.274</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1</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0.298</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bookmarkStart w:id="18" w:name="__DdeLink__62964_2901337518"/>
            <w:bookmarkEnd w:id="18"/>
            <w:r>
              <w:rPr>
                <w:rFonts w:asciiTheme="minorHAnsi" w:hAnsiTheme="minorHAnsi"/>
                <w:sz w:val="18"/>
                <w:szCs w:val="18"/>
              </w:rPr>
              <w:t>0.540</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0.560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M</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0.208</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0.298</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1</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0.543</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0.485</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shd w:val="clear" w:color="auto" w:fill="auto"/>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D</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0.349</w:t>
            </w:r>
          </w:p>
        </w:tc>
        <w:tc>
          <w:tcPr>
            <w:tcW w:w="135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0.540</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0.543</w:t>
            </w:r>
          </w:p>
        </w:tc>
        <w:tc>
          <w:tcPr>
            <w:tcW w:w="1395"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1</w:t>
            </w:r>
          </w:p>
        </w:tc>
        <w:tc>
          <w:tcPr>
            <w:tcW w:w="1396" w:type="dxa"/>
            <w:tcBorders>
              <w:top w:val="single" w:sz="4" w:space="0" w:color="000001"/>
              <w:bottom w:val="single" w:sz="4" w:space="0" w:color="000001"/>
            </w:tcBorders>
            <w:shd w:val="clear" w:color="auto" w:fill="auto"/>
          </w:tcPr>
          <w:p w:rsidR="0088099C" w:rsidRDefault="009C6342">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rFonts w:asciiTheme="minorHAnsi" w:hAnsiTheme="minorHAnsi"/>
                <w:sz w:val="18"/>
                <w:szCs w:val="18"/>
              </w:rPr>
              <w:t>0.710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492" w:type="dxa"/>
            <w:tcBorders>
              <w:top w:val="single" w:sz="4" w:space="0" w:color="000001"/>
              <w:bottom w:val="single" w:sz="4" w:space="0" w:color="000001"/>
              <w:right w:val="single" w:sz="4" w:space="0" w:color="000001"/>
            </w:tcBorders>
          </w:tcPr>
          <w:p w:rsidR="0088099C" w:rsidRDefault="0088099C">
            <w:pPr>
              <w:spacing w:after="0" w:line="240" w:lineRule="auto"/>
              <w:rPr>
                <w:rFonts w:asciiTheme="minorHAnsi" w:hAnsiTheme="minorHAnsi"/>
                <w:sz w:val="18"/>
                <w:szCs w:val="18"/>
              </w:rPr>
            </w:pPr>
          </w:p>
        </w:tc>
        <w:tc>
          <w:tcPr>
            <w:tcW w:w="580"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C</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0.353</w:t>
            </w:r>
          </w:p>
        </w:tc>
        <w:tc>
          <w:tcPr>
            <w:tcW w:w="135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0.560</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0.485</w:t>
            </w:r>
          </w:p>
        </w:tc>
        <w:tc>
          <w:tcPr>
            <w:tcW w:w="1395"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0.710</w:t>
            </w:r>
          </w:p>
        </w:tc>
        <w:tc>
          <w:tcPr>
            <w:tcW w:w="1396" w:type="dxa"/>
            <w:tcBorders>
              <w:top w:val="single" w:sz="4" w:space="0" w:color="000001"/>
              <w:bottom w:val="single" w:sz="4" w:space="0" w:color="000001"/>
            </w:tcBorders>
          </w:tcPr>
          <w:p w:rsidR="0088099C" w:rsidRDefault="009C6342">
            <w:pPr>
              <w:spacing w:after="0" w:line="240" w:lineRule="auto"/>
              <w:cnfStyle w:val="000000100000" w:firstRow="0" w:lastRow="0" w:firstColumn="0" w:lastColumn="0" w:oddVBand="0" w:evenVBand="0" w:oddHBand="1" w:evenHBand="0" w:firstRowFirstColumn="0" w:firstRowLastColumn="0" w:lastRowFirstColumn="0" w:lastRowLastColumn="0"/>
              <w:rPr>
                <w:sz w:val="18"/>
                <w:szCs w:val="18"/>
              </w:rPr>
            </w:pPr>
            <w:r>
              <w:rPr>
                <w:rFonts w:asciiTheme="minorHAnsi" w:hAnsiTheme="minorHAnsi"/>
                <w:sz w:val="18"/>
                <w:szCs w:val="18"/>
              </w:rPr>
              <w:t>1</w:t>
            </w:r>
          </w:p>
        </w:tc>
      </w:tr>
    </w:tbl>
    <w:p w:rsidR="0088099C" w:rsidRDefault="0088099C">
      <w:pPr>
        <w:spacing w:line="240" w:lineRule="auto"/>
        <w:rPr>
          <w:rFonts w:asciiTheme="minorHAnsi" w:hAnsiTheme="minorHAnsi"/>
        </w:rPr>
      </w:pPr>
    </w:p>
    <w:p w:rsidR="0088099C" w:rsidRDefault="009C6342">
      <w:pPr>
        <w:spacing w:line="240" w:lineRule="auto"/>
      </w:pPr>
      <w:r>
        <w:rPr>
          <w:rFonts w:asciiTheme="minorHAnsi" w:hAnsiTheme="minorHAnsi"/>
        </w:rPr>
        <w:t>The standard BioGeoBEARS input script provided by Matzke (</w:t>
      </w:r>
      <w:hyperlink r:id="rId8" w:anchor="toc31" w:history="1">
        <w:r>
          <w:rPr>
            <w:rStyle w:val="Internetverknpfung"/>
            <w:rFonts w:asciiTheme="minorHAnsi" w:hAnsiTheme="minorHAnsi"/>
          </w:rPr>
          <w:t>http://phylo.wikidot.com/biogeobears#toc31</w:t>
        </w:r>
      </w:hyperlink>
      <w:r>
        <w:rPr>
          <w:rFonts w:asciiTheme="minorHAnsi" w:hAnsiTheme="minorHAnsi"/>
        </w:rPr>
        <w:t>) was adjusted for the different models.</w:t>
      </w:r>
    </w:p>
    <w:p w:rsidR="0088099C" w:rsidRDefault="009C6342">
      <w:pPr>
        <w:spacing w:line="240" w:lineRule="auto"/>
      </w:pPr>
      <w:r>
        <w:rPr>
          <w:rFonts w:asciiTheme="minorHAnsi" w:hAnsiTheme="minorHAnsi"/>
        </w:rPr>
        <w:t>The script file for the Biogeographical Stochastic Mapping provided by Matzke (</w:t>
      </w:r>
      <w:hyperlink r:id="rId9" w:anchor="toc12" w:history="1">
        <w:r>
          <w:rPr>
            <w:rStyle w:val="Internetverknpfung"/>
            <w:rFonts w:asciiTheme="minorHAnsi" w:hAnsiTheme="minorHAnsi"/>
          </w:rPr>
          <w:t>http://phylo.wikidot.com/biogeographical-stochastic-mapping-example-script#toc12</w:t>
        </w:r>
      </w:hyperlink>
      <w:r>
        <w:rPr>
          <w:rFonts w:asciiTheme="minorHAnsi" w:hAnsiTheme="minorHAnsi"/>
        </w:rPr>
        <w:t>) was adjusted to our best inferred model (the Drakensberg melting pot model with a manual dispersal multplier of 0.25 on the best tree).</w:t>
      </w:r>
    </w:p>
    <w:p w:rsidR="0088099C" w:rsidRDefault="009C6342">
      <w:pPr>
        <w:spacing w:after="120" w:line="240" w:lineRule="auto"/>
        <w:rPr>
          <w:rFonts w:asciiTheme="minorHAnsi" w:hAnsiTheme="minorHAnsi"/>
        </w:rPr>
      </w:pPr>
      <w:r>
        <w:rPr>
          <w:rFonts w:asciiTheme="minorHAnsi" w:hAnsiTheme="minorHAnsi"/>
        </w:rPr>
        <w:t>The area adjacency matrix was set to the following:</w:t>
      </w:r>
    </w:p>
    <w:tbl>
      <w:tblPr>
        <w:tblStyle w:val="EinfacheTabelle31"/>
        <w:tblW w:w="3389" w:type="dxa"/>
        <w:tblBorders>
          <w:bottom w:val="single" w:sz="4" w:space="0" w:color="000001"/>
          <w:insideH w:val="single" w:sz="4" w:space="0" w:color="000001"/>
        </w:tblBorders>
        <w:tblLook w:val="04A0" w:firstRow="1" w:lastRow="0" w:firstColumn="1" w:lastColumn="0" w:noHBand="0" w:noVBand="1"/>
      </w:tblPr>
      <w:tblGrid>
        <w:gridCol w:w="629"/>
        <w:gridCol w:w="628"/>
        <w:gridCol w:w="555"/>
        <w:gridCol w:w="465"/>
        <w:gridCol w:w="556"/>
        <w:gridCol w:w="556"/>
      </w:tblGrid>
      <w:tr w:rsidR="0088099C" w:rsidTr="0088099C">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628" w:type="dxa"/>
            <w:tcBorders>
              <w:bottom w:val="single" w:sz="4" w:space="0" w:color="000001"/>
            </w:tcBorders>
            <w:shd w:val="clear" w:color="auto" w:fill="auto"/>
          </w:tcPr>
          <w:p w:rsidR="0088099C" w:rsidRDefault="0088099C">
            <w:pPr>
              <w:spacing w:after="0" w:line="240" w:lineRule="auto"/>
              <w:jc w:val="center"/>
              <w:rPr>
                <w:rFonts w:asciiTheme="minorHAnsi" w:hAnsiTheme="minorHAnsi"/>
              </w:rPr>
            </w:pPr>
          </w:p>
        </w:tc>
        <w:tc>
          <w:tcPr>
            <w:tcW w:w="628" w:type="dxa"/>
            <w:tcBorders>
              <w:bottom w:val="single" w:sz="4" w:space="0" w:color="000001"/>
            </w:tcBorders>
            <w:shd w:val="clear" w:color="auto" w:fill="auto"/>
          </w:tcPr>
          <w:p w:rsidR="0088099C" w:rsidRDefault="009C63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E</w:t>
            </w:r>
          </w:p>
        </w:tc>
        <w:tc>
          <w:tcPr>
            <w:tcW w:w="555" w:type="dxa"/>
            <w:tcBorders>
              <w:bottom w:val="single" w:sz="4" w:space="0" w:color="000001"/>
            </w:tcBorders>
            <w:shd w:val="clear" w:color="auto" w:fill="auto"/>
          </w:tcPr>
          <w:p w:rsidR="0088099C" w:rsidRDefault="009C63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w:t>
            </w:r>
          </w:p>
        </w:tc>
        <w:tc>
          <w:tcPr>
            <w:tcW w:w="465" w:type="dxa"/>
            <w:tcBorders>
              <w:bottom w:val="single" w:sz="4" w:space="0" w:color="000001"/>
            </w:tcBorders>
            <w:shd w:val="clear" w:color="auto" w:fill="auto"/>
          </w:tcPr>
          <w:p w:rsidR="0088099C" w:rsidRDefault="009C63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M</w:t>
            </w:r>
          </w:p>
        </w:tc>
        <w:tc>
          <w:tcPr>
            <w:tcW w:w="556" w:type="dxa"/>
            <w:tcBorders>
              <w:bottom w:val="single" w:sz="4" w:space="0" w:color="000001"/>
            </w:tcBorders>
            <w:shd w:val="clear" w:color="auto" w:fill="auto"/>
          </w:tcPr>
          <w:p w:rsidR="0088099C" w:rsidRDefault="009C63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w:t>
            </w:r>
          </w:p>
        </w:tc>
        <w:tc>
          <w:tcPr>
            <w:tcW w:w="556" w:type="dxa"/>
            <w:tcBorders>
              <w:bottom w:val="single" w:sz="4" w:space="0" w:color="000001"/>
            </w:tcBorders>
            <w:shd w:val="clear" w:color="auto" w:fill="auto"/>
          </w:tcPr>
          <w:p w:rsidR="0088099C" w:rsidRDefault="009C63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628" w:type="dxa"/>
            <w:tcBorders>
              <w:top w:val="single" w:sz="4" w:space="0" w:color="000001"/>
              <w:bottom w:val="single" w:sz="4" w:space="0" w:color="000001"/>
              <w:right w:val="single" w:sz="4" w:space="0" w:color="000001"/>
            </w:tcBorders>
          </w:tcPr>
          <w:p w:rsidR="0088099C" w:rsidRDefault="009C6342">
            <w:pPr>
              <w:spacing w:after="0" w:line="240" w:lineRule="auto"/>
              <w:jc w:val="center"/>
              <w:rPr>
                <w:rFonts w:asciiTheme="minorHAnsi" w:hAnsiTheme="minorHAnsi"/>
              </w:rPr>
            </w:pPr>
            <w:r>
              <w:rPr>
                <w:rFonts w:asciiTheme="minorHAnsi" w:hAnsiTheme="minorHAnsi"/>
              </w:rPr>
              <w:t>E</w:t>
            </w:r>
          </w:p>
        </w:tc>
        <w:tc>
          <w:tcPr>
            <w:tcW w:w="628"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c>
          <w:tcPr>
            <w:tcW w:w="555"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c>
          <w:tcPr>
            <w:tcW w:w="465"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556"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556"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628" w:type="dxa"/>
            <w:tcBorders>
              <w:top w:val="single" w:sz="4" w:space="0" w:color="000001"/>
              <w:bottom w:val="single" w:sz="4" w:space="0" w:color="000001"/>
              <w:right w:val="single" w:sz="4" w:space="0" w:color="000001"/>
            </w:tcBorders>
            <w:shd w:val="clear" w:color="auto" w:fill="auto"/>
          </w:tcPr>
          <w:p w:rsidR="0088099C" w:rsidRDefault="009C6342">
            <w:pPr>
              <w:spacing w:after="0" w:line="240" w:lineRule="auto"/>
              <w:jc w:val="center"/>
              <w:rPr>
                <w:rFonts w:asciiTheme="minorHAnsi" w:hAnsiTheme="minorHAnsi"/>
              </w:rPr>
            </w:pPr>
            <w:r>
              <w:rPr>
                <w:rFonts w:asciiTheme="minorHAnsi" w:hAnsiTheme="minorHAnsi"/>
              </w:rPr>
              <w:t>T</w:t>
            </w:r>
          </w:p>
        </w:tc>
        <w:tc>
          <w:tcPr>
            <w:tcW w:w="628"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c>
          <w:tcPr>
            <w:tcW w:w="555"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c>
          <w:tcPr>
            <w:tcW w:w="465"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c>
          <w:tcPr>
            <w:tcW w:w="556"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c>
          <w:tcPr>
            <w:tcW w:w="556"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0</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628" w:type="dxa"/>
            <w:tcBorders>
              <w:top w:val="single" w:sz="4" w:space="0" w:color="000001"/>
              <w:bottom w:val="single" w:sz="4" w:space="0" w:color="000001"/>
              <w:right w:val="single" w:sz="4" w:space="0" w:color="000001"/>
            </w:tcBorders>
          </w:tcPr>
          <w:p w:rsidR="0088099C" w:rsidRDefault="009C6342">
            <w:pPr>
              <w:spacing w:after="0" w:line="240" w:lineRule="auto"/>
              <w:jc w:val="center"/>
              <w:rPr>
                <w:rFonts w:asciiTheme="minorHAnsi" w:hAnsiTheme="minorHAnsi"/>
              </w:rPr>
            </w:pPr>
            <w:r>
              <w:rPr>
                <w:rFonts w:asciiTheme="minorHAnsi" w:hAnsiTheme="minorHAnsi"/>
              </w:rPr>
              <w:t>M</w:t>
            </w:r>
          </w:p>
        </w:tc>
        <w:tc>
          <w:tcPr>
            <w:tcW w:w="628"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555"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c>
          <w:tcPr>
            <w:tcW w:w="465"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c>
          <w:tcPr>
            <w:tcW w:w="556"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c>
          <w:tcPr>
            <w:tcW w:w="556"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r>
      <w:tr w:rsidR="0088099C" w:rsidTr="0088099C">
        <w:trPr>
          <w:trHeight w:val="256"/>
        </w:trPr>
        <w:tc>
          <w:tcPr>
            <w:cnfStyle w:val="001000000000" w:firstRow="0" w:lastRow="0" w:firstColumn="1" w:lastColumn="0" w:oddVBand="0" w:evenVBand="0" w:oddHBand="0" w:evenHBand="0" w:firstRowFirstColumn="0" w:firstRowLastColumn="0" w:lastRowFirstColumn="0" w:lastRowLastColumn="0"/>
            <w:tcW w:w="628" w:type="dxa"/>
            <w:tcBorders>
              <w:top w:val="single" w:sz="4" w:space="0" w:color="000001"/>
              <w:bottom w:val="single" w:sz="4" w:space="0" w:color="000001"/>
              <w:right w:val="single" w:sz="4" w:space="0" w:color="000001"/>
            </w:tcBorders>
            <w:shd w:val="clear" w:color="auto" w:fill="auto"/>
          </w:tcPr>
          <w:p w:rsidR="0088099C" w:rsidRDefault="009C6342">
            <w:pPr>
              <w:spacing w:after="0" w:line="240" w:lineRule="auto"/>
              <w:jc w:val="center"/>
              <w:rPr>
                <w:rFonts w:asciiTheme="minorHAnsi" w:hAnsiTheme="minorHAnsi"/>
              </w:rPr>
            </w:pPr>
            <w:r>
              <w:rPr>
                <w:rFonts w:asciiTheme="minorHAnsi" w:hAnsiTheme="minorHAnsi"/>
              </w:rPr>
              <w:t>D</w:t>
            </w:r>
          </w:p>
        </w:tc>
        <w:tc>
          <w:tcPr>
            <w:tcW w:w="628"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0</w:t>
            </w:r>
          </w:p>
        </w:tc>
        <w:tc>
          <w:tcPr>
            <w:tcW w:w="555"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c>
          <w:tcPr>
            <w:tcW w:w="465"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c>
          <w:tcPr>
            <w:tcW w:w="556"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c>
          <w:tcPr>
            <w:tcW w:w="556" w:type="dxa"/>
            <w:tcBorders>
              <w:top w:val="single" w:sz="4" w:space="0" w:color="000001"/>
              <w:bottom w:val="single" w:sz="4" w:space="0" w:color="000001"/>
            </w:tcBorders>
            <w:shd w:val="clear" w:color="auto" w:fill="auto"/>
          </w:tcPr>
          <w:p w:rsidR="0088099C" w:rsidRDefault="009C63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w:t>
            </w:r>
          </w:p>
        </w:tc>
      </w:tr>
      <w:tr w:rsidR="0088099C" w:rsidTr="008809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628" w:type="dxa"/>
            <w:tcBorders>
              <w:top w:val="single" w:sz="4" w:space="0" w:color="000001"/>
              <w:bottom w:val="single" w:sz="4" w:space="0" w:color="000001"/>
              <w:right w:val="single" w:sz="4" w:space="0" w:color="000001"/>
            </w:tcBorders>
          </w:tcPr>
          <w:p w:rsidR="0088099C" w:rsidRDefault="009C6342">
            <w:pPr>
              <w:spacing w:after="0" w:line="240" w:lineRule="auto"/>
              <w:jc w:val="center"/>
              <w:rPr>
                <w:rFonts w:asciiTheme="minorHAnsi" w:hAnsiTheme="minorHAnsi"/>
              </w:rPr>
            </w:pPr>
            <w:r>
              <w:rPr>
                <w:rFonts w:asciiTheme="minorHAnsi" w:hAnsiTheme="minorHAnsi"/>
              </w:rPr>
              <w:t>C</w:t>
            </w:r>
          </w:p>
        </w:tc>
        <w:tc>
          <w:tcPr>
            <w:tcW w:w="628"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555"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465"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556"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c>
          <w:tcPr>
            <w:tcW w:w="556" w:type="dxa"/>
            <w:tcBorders>
              <w:top w:val="single" w:sz="4" w:space="0" w:color="000001"/>
              <w:bottom w:val="single" w:sz="4" w:space="0" w:color="000001"/>
            </w:tcBorders>
          </w:tcPr>
          <w:p w:rsidR="0088099C" w:rsidRDefault="009C6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w:t>
            </w:r>
          </w:p>
        </w:tc>
      </w:tr>
    </w:tbl>
    <w:p w:rsidR="0088099C" w:rsidRDefault="0088099C">
      <w:pPr>
        <w:spacing w:after="0" w:line="240" w:lineRule="auto"/>
      </w:pPr>
    </w:p>
    <w:sectPr w:rsidR="0088099C">
      <w:footerReference w:type="default" r:id="rId10"/>
      <w:pgSz w:w="11906" w:h="16838"/>
      <w:pgMar w:top="1417" w:right="1417" w:bottom="1134" w:left="1417"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A35" w:rsidRDefault="006E3A35">
      <w:pPr>
        <w:spacing w:after="0" w:line="240" w:lineRule="auto"/>
      </w:pPr>
      <w:r>
        <w:separator/>
      </w:r>
    </w:p>
  </w:endnote>
  <w:endnote w:type="continuationSeparator" w:id="0">
    <w:p w:rsidR="006E3A35" w:rsidRDefault="006E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ans1">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855231"/>
      <w:docPartObj>
        <w:docPartGallery w:val="Page Numbers (Bottom of Page)"/>
        <w:docPartUnique/>
      </w:docPartObj>
    </w:sdtPr>
    <w:sdtEndPr/>
    <w:sdtContent>
      <w:p w:rsidR="0088099C" w:rsidRDefault="009C6342">
        <w:pPr>
          <w:pStyle w:val="Fuzeile"/>
          <w:jc w:val="right"/>
        </w:pPr>
        <w:r>
          <w:fldChar w:fldCharType="begin"/>
        </w:r>
        <w:r>
          <w:instrText>PAGE</w:instrText>
        </w:r>
        <w:r>
          <w:fldChar w:fldCharType="separate"/>
        </w:r>
        <w:r w:rsidR="00ED7DA5">
          <w:rPr>
            <w:noProof/>
          </w:rPr>
          <w:t>2</w:t>
        </w:r>
        <w:r>
          <w:fldChar w:fldCharType="end"/>
        </w:r>
      </w:p>
    </w:sdtContent>
  </w:sdt>
  <w:p w:rsidR="0088099C" w:rsidRDefault="0088099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A35" w:rsidRDefault="006E3A35">
      <w:pPr>
        <w:spacing w:after="0" w:line="240" w:lineRule="auto"/>
      </w:pPr>
      <w:r>
        <w:separator/>
      </w:r>
    </w:p>
  </w:footnote>
  <w:footnote w:type="continuationSeparator" w:id="0">
    <w:p w:rsidR="006E3A35" w:rsidRDefault="006E3A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9C"/>
    <w:rsid w:val="00015CEC"/>
    <w:rsid w:val="001A2285"/>
    <w:rsid w:val="001E6F2F"/>
    <w:rsid w:val="00437C8E"/>
    <w:rsid w:val="006E3A35"/>
    <w:rsid w:val="007832BF"/>
    <w:rsid w:val="007941E2"/>
    <w:rsid w:val="0088099C"/>
    <w:rsid w:val="008F6B16"/>
    <w:rsid w:val="00985CCA"/>
    <w:rsid w:val="009C6342"/>
    <w:rsid w:val="00A1309C"/>
    <w:rsid w:val="00D769F0"/>
    <w:rsid w:val="00DF4816"/>
    <w:rsid w:val="00ED7DA5"/>
    <w:rsid w:val="00F1262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367BA-1030-4DCC-9A51-F09C19C8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GB"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01FC"/>
    <w:pPr>
      <w:spacing w:after="160" w:line="259" w:lineRule="auto"/>
    </w:pPr>
    <w:rPr>
      <w:rFonts w:ascii="Calibri" w:eastAsia="Batang" w:hAnsi="Calibri"/>
      <w:color w:val="00000A"/>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krperZchn">
    <w:name w:val="Textkörper Zchn"/>
    <w:basedOn w:val="Absatz-Standardschriftart"/>
    <w:link w:val="Textkrper"/>
    <w:qFormat/>
    <w:rsid w:val="007E4A91"/>
    <w:rPr>
      <w:rFonts w:eastAsia="Batang"/>
      <w:color w:val="00000A"/>
    </w:rPr>
  </w:style>
  <w:style w:type="character" w:customStyle="1" w:styleId="SprechblasentextZchn">
    <w:name w:val="Sprechblasentext Zchn"/>
    <w:basedOn w:val="Absatz-Standardschriftart"/>
    <w:link w:val="Sprechblasentext"/>
    <w:uiPriority w:val="99"/>
    <w:semiHidden/>
    <w:qFormat/>
    <w:rsid w:val="00A431B0"/>
    <w:rPr>
      <w:rFonts w:ascii="Segoe UI" w:eastAsia="Batang" w:hAnsi="Segoe UI" w:cs="Segoe UI"/>
      <w:color w:val="00000A"/>
      <w:sz w:val="18"/>
      <w:szCs w:val="18"/>
    </w:rPr>
  </w:style>
  <w:style w:type="character" w:styleId="Kommentarzeichen">
    <w:name w:val="annotation reference"/>
    <w:basedOn w:val="Absatz-Standardschriftart"/>
    <w:uiPriority w:val="99"/>
    <w:semiHidden/>
    <w:unhideWhenUsed/>
    <w:qFormat/>
    <w:rsid w:val="00C70802"/>
    <w:rPr>
      <w:sz w:val="18"/>
      <w:szCs w:val="18"/>
    </w:rPr>
  </w:style>
  <w:style w:type="character" w:customStyle="1" w:styleId="KommentartextZchn">
    <w:name w:val="Kommentartext Zchn"/>
    <w:basedOn w:val="Absatz-Standardschriftart"/>
    <w:link w:val="Kommentartext"/>
    <w:uiPriority w:val="99"/>
    <w:qFormat/>
    <w:rsid w:val="00C70802"/>
    <w:rPr>
      <w:sz w:val="24"/>
      <w:szCs w:val="24"/>
    </w:rPr>
  </w:style>
  <w:style w:type="character" w:customStyle="1" w:styleId="KommentartextZchn1">
    <w:name w:val="Kommentartext Zchn1"/>
    <w:basedOn w:val="Absatz-Standardschriftart"/>
    <w:uiPriority w:val="99"/>
    <w:semiHidden/>
    <w:qFormat/>
    <w:rsid w:val="00C70802"/>
    <w:rPr>
      <w:rFonts w:ascii="Calibri" w:eastAsia="Batang" w:hAnsi="Calibri"/>
      <w:color w:val="00000A"/>
      <w:sz w:val="20"/>
      <w:szCs w:val="20"/>
    </w:rPr>
  </w:style>
  <w:style w:type="character" w:customStyle="1" w:styleId="KommentarthemaZchn">
    <w:name w:val="Kommentarthema Zchn"/>
    <w:basedOn w:val="KommentartextZchn"/>
    <w:link w:val="Kommentarthema"/>
    <w:uiPriority w:val="99"/>
    <w:semiHidden/>
    <w:qFormat/>
    <w:rsid w:val="00400E3C"/>
    <w:rPr>
      <w:rFonts w:ascii="Calibri" w:eastAsia="Batang" w:hAnsi="Calibri"/>
      <w:b/>
      <w:bCs/>
      <w:color w:val="00000A"/>
      <w:sz w:val="20"/>
      <w:szCs w:val="20"/>
    </w:rPr>
  </w:style>
  <w:style w:type="character" w:customStyle="1" w:styleId="berschrift2Zchn">
    <w:name w:val="Überschrift 2 Zchn"/>
    <w:basedOn w:val="Absatz-Standardschriftart"/>
    <w:qFormat/>
    <w:rsid w:val="00B3789E"/>
    <w:rPr>
      <w:rFonts w:asciiTheme="majorHAnsi" w:eastAsiaTheme="majorEastAsia" w:hAnsiTheme="majorHAnsi" w:cstheme="majorBidi"/>
      <w:b/>
      <w:bCs/>
      <w:color w:val="5B9BD5" w:themeColor="accent1"/>
      <w:sz w:val="26"/>
      <w:szCs w:val="26"/>
      <w:lang w:val="en-US"/>
    </w:rPr>
  </w:style>
  <w:style w:type="character" w:customStyle="1" w:styleId="Internetverknpfung">
    <w:name w:val="Internetverknüpfung"/>
    <w:basedOn w:val="Absatz-Standardschriftart"/>
    <w:uiPriority w:val="99"/>
    <w:qFormat/>
    <w:rsid w:val="00EC380E"/>
    <w:rPr>
      <w:color w:val="0563C1" w:themeColor="hyperlink"/>
      <w:u w:val="single"/>
    </w:rPr>
  </w:style>
  <w:style w:type="character" w:styleId="BesuchterHyperlink">
    <w:name w:val="FollowedHyperlink"/>
    <w:basedOn w:val="Absatz-Standardschriftart"/>
    <w:uiPriority w:val="99"/>
    <w:unhideWhenUsed/>
    <w:qFormat/>
    <w:rsid w:val="00526E79"/>
    <w:rPr>
      <w:color w:val="954F72"/>
      <w:u w:val="single"/>
    </w:rPr>
  </w:style>
  <w:style w:type="character" w:customStyle="1" w:styleId="InternetLink">
    <w:name w:val="Internet Link"/>
    <w:qFormat/>
    <w:rsid w:val="00243A01"/>
    <w:rPr>
      <w:color w:val="000080"/>
      <w:u w:val="single"/>
      <w:lang w:val="uz-Cyrl-UZ" w:eastAsia="uz-Cyrl-UZ" w:bidi="uz-Cyrl-UZ"/>
    </w:rPr>
  </w:style>
  <w:style w:type="character" w:customStyle="1" w:styleId="VisitedInternetLink">
    <w:name w:val="Visited Internet Link"/>
    <w:qFormat/>
    <w:rPr>
      <w:color w:val="800000"/>
      <w:u w:val="single"/>
    </w:rPr>
  </w:style>
  <w:style w:type="character" w:customStyle="1" w:styleId="KopfzeileZchn">
    <w:name w:val="Kopfzeile Zchn"/>
    <w:basedOn w:val="Absatz-Standardschriftart"/>
    <w:link w:val="Kopfzeile"/>
    <w:qFormat/>
    <w:rsid w:val="00BF21C0"/>
    <w:rPr>
      <w:rFonts w:ascii="Calibri" w:eastAsia="Batang" w:hAnsi="Calibri"/>
      <w:color w:val="00000A"/>
      <w:sz w:val="22"/>
    </w:rPr>
  </w:style>
  <w:style w:type="character" w:customStyle="1" w:styleId="FuzeileZchn">
    <w:name w:val="Fußzeile Zchn"/>
    <w:basedOn w:val="Absatz-Standardschriftart"/>
    <w:link w:val="Fuzeile"/>
    <w:uiPriority w:val="99"/>
    <w:qFormat/>
    <w:rsid w:val="00BF21C0"/>
    <w:rPr>
      <w:rFonts w:ascii="Calibri" w:eastAsia="Batang" w:hAnsi="Calibri"/>
      <w:color w:val="00000A"/>
      <w:sz w:val="22"/>
    </w:rPr>
  </w:style>
  <w:style w:type="character" w:customStyle="1" w:styleId="ListLabel1">
    <w:name w:val="ListLabel 1"/>
    <w:qFormat/>
    <w:rPr>
      <w:rFonts w:asciiTheme="minorHAnsi" w:hAnsiTheme="minorHAnsi"/>
    </w:rPr>
  </w:style>
  <w:style w:type="character" w:customStyle="1" w:styleId="ListLabel2">
    <w:name w:val="ListLabel 2"/>
    <w:qFormat/>
    <w:rPr>
      <w:rFonts w:asciiTheme="minorHAnsi" w:hAnsiTheme="minorHAnsi"/>
    </w:rPr>
  </w:style>
  <w:style w:type="character" w:customStyle="1" w:styleId="ListLabel3">
    <w:name w:val="ListLabel 3"/>
    <w:qFormat/>
    <w:rPr>
      <w:rFonts w:asciiTheme="minorHAnsi" w:hAnsiTheme="minorHAnsi"/>
    </w:rPr>
  </w:style>
  <w:style w:type="character" w:customStyle="1" w:styleId="ListLabel4">
    <w:name w:val="ListLabel 4"/>
    <w:qFormat/>
    <w:rPr>
      <w:rFonts w:asciiTheme="minorHAnsi" w:hAnsiTheme="minorHAnsi"/>
    </w:rPr>
  </w:style>
  <w:style w:type="character" w:customStyle="1" w:styleId="ListLabel5">
    <w:name w:val="ListLabel 5"/>
    <w:qFormat/>
    <w:rPr>
      <w:rFonts w:asciiTheme="minorHAnsi" w:hAnsiTheme="minorHAnsi"/>
    </w:rPr>
  </w:style>
  <w:style w:type="character" w:customStyle="1" w:styleId="ListLabel6">
    <w:name w:val="ListLabel 6"/>
    <w:qFormat/>
    <w:rPr>
      <w:rFonts w:asciiTheme="minorHAnsi" w:hAnsiTheme="minorHAnsi"/>
    </w:rPr>
  </w:style>
  <w:style w:type="paragraph" w:customStyle="1" w:styleId="Heading">
    <w:name w:val="Heading"/>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link w:val="TextkrperZchn"/>
    <w:rsid w:val="007E4A91"/>
    <w:pPr>
      <w:spacing w:after="140" w:line="288" w:lineRule="auto"/>
    </w:pPr>
  </w:style>
  <w:style w:type="paragraph" w:styleId="Liste">
    <w:name w:val="List"/>
    <w:basedOn w:val="Textkrper"/>
    <w:rsid w:val="00EA45A9"/>
    <w:rPr>
      <w:rFonts w:cs="FreeSans"/>
    </w:rPr>
  </w:style>
  <w:style w:type="paragraph" w:styleId="Beschriftung">
    <w:name w:val="caption"/>
    <w:basedOn w:val="Standard"/>
    <w:qFormat/>
    <w:rsid w:val="00EA45A9"/>
    <w:pPr>
      <w:suppressLineNumbers/>
      <w:spacing w:before="120" w:after="120"/>
    </w:pPr>
    <w:rPr>
      <w:rFonts w:cs="FreeSans"/>
      <w:i/>
      <w:iCs/>
      <w:sz w:val="24"/>
      <w:szCs w:val="24"/>
    </w:rPr>
  </w:style>
  <w:style w:type="paragraph" w:customStyle="1" w:styleId="Index">
    <w:name w:val="Index"/>
    <w:basedOn w:val="Standard"/>
    <w:qFormat/>
    <w:pPr>
      <w:suppressLineNumbers/>
    </w:pPr>
    <w:rPr>
      <w:rFonts w:cs="FreeSans"/>
    </w:rPr>
  </w:style>
  <w:style w:type="paragraph" w:customStyle="1" w:styleId="berschrift21">
    <w:name w:val="Überschrift 21"/>
    <w:basedOn w:val="Standard"/>
    <w:qFormat/>
    <w:rsid w:val="00B3789E"/>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US"/>
    </w:rPr>
  </w:style>
  <w:style w:type="paragraph" w:customStyle="1" w:styleId="berschrift">
    <w:name w:val="Überschrift"/>
    <w:basedOn w:val="Standard"/>
    <w:qFormat/>
    <w:rsid w:val="00EA45A9"/>
    <w:pPr>
      <w:keepNext/>
      <w:spacing w:before="240" w:after="120"/>
    </w:pPr>
    <w:rPr>
      <w:rFonts w:ascii="Liberation Sans" w:eastAsia="Noto Sans CJK SC Regular" w:hAnsi="Liberation Sans" w:cs="FreeSans"/>
      <w:sz w:val="28"/>
      <w:szCs w:val="28"/>
    </w:rPr>
  </w:style>
  <w:style w:type="paragraph" w:customStyle="1" w:styleId="Beschriftung1">
    <w:name w:val="Beschriftung1"/>
    <w:basedOn w:val="Standard"/>
    <w:qFormat/>
    <w:rsid w:val="00243A01"/>
    <w:pPr>
      <w:suppressLineNumbers/>
      <w:spacing w:before="120" w:after="120"/>
    </w:pPr>
    <w:rPr>
      <w:rFonts w:cs="FreeSans"/>
      <w:i/>
      <w:iCs/>
      <w:sz w:val="24"/>
      <w:szCs w:val="24"/>
    </w:rPr>
  </w:style>
  <w:style w:type="paragraph" w:customStyle="1" w:styleId="Verzeichnis">
    <w:name w:val="Verzeichnis"/>
    <w:basedOn w:val="Standard"/>
    <w:qFormat/>
    <w:rsid w:val="00EA45A9"/>
    <w:pPr>
      <w:suppressLineNumbers/>
    </w:pPr>
    <w:rPr>
      <w:rFonts w:cs="FreeSans"/>
    </w:rPr>
  </w:style>
  <w:style w:type="paragraph" w:customStyle="1" w:styleId="TabellenInhalt">
    <w:name w:val="Tabellen Inhalt"/>
    <w:basedOn w:val="Standard"/>
    <w:qFormat/>
    <w:rsid w:val="00EA45A9"/>
  </w:style>
  <w:style w:type="paragraph" w:customStyle="1" w:styleId="Tabellenberschrift">
    <w:name w:val="Tabellen Überschrift"/>
    <w:basedOn w:val="TabellenInhalt"/>
    <w:qFormat/>
    <w:rsid w:val="00EA45A9"/>
  </w:style>
  <w:style w:type="paragraph" w:styleId="Sprechblasentext">
    <w:name w:val="Balloon Text"/>
    <w:basedOn w:val="Standard"/>
    <w:link w:val="SprechblasentextZchn"/>
    <w:uiPriority w:val="99"/>
    <w:semiHidden/>
    <w:unhideWhenUsed/>
    <w:qFormat/>
    <w:rsid w:val="00A431B0"/>
    <w:pPr>
      <w:spacing w:after="0" w:line="240" w:lineRule="auto"/>
    </w:pPr>
    <w:rPr>
      <w:rFonts w:ascii="Segoe UI" w:hAnsi="Segoe UI" w:cs="Segoe UI"/>
      <w:sz w:val="18"/>
      <w:szCs w:val="18"/>
    </w:rPr>
  </w:style>
  <w:style w:type="paragraph" w:styleId="Kommentartext">
    <w:name w:val="annotation text"/>
    <w:basedOn w:val="Standard"/>
    <w:link w:val="KommentartextZchn"/>
    <w:uiPriority w:val="99"/>
    <w:unhideWhenUsed/>
    <w:qFormat/>
    <w:rsid w:val="00C70802"/>
    <w:pPr>
      <w:spacing w:line="240" w:lineRule="auto"/>
    </w:pPr>
    <w:rPr>
      <w:rFonts w:asciiTheme="minorHAnsi" w:eastAsiaTheme="minorHAnsi" w:hAnsiTheme="minorHAnsi"/>
      <w:sz w:val="24"/>
      <w:szCs w:val="24"/>
    </w:rPr>
  </w:style>
  <w:style w:type="paragraph" w:styleId="Listenabsatz">
    <w:name w:val="List Paragraph"/>
    <w:basedOn w:val="Standard"/>
    <w:uiPriority w:val="34"/>
    <w:qFormat/>
    <w:rsid w:val="00D563F4"/>
    <w:pPr>
      <w:ind w:left="720"/>
      <w:contextualSpacing/>
    </w:pPr>
  </w:style>
  <w:style w:type="paragraph" w:styleId="Kommentarthema">
    <w:name w:val="annotation subject"/>
    <w:basedOn w:val="Kommentartext"/>
    <w:link w:val="KommentarthemaZchn"/>
    <w:uiPriority w:val="99"/>
    <w:semiHidden/>
    <w:unhideWhenUsed/>
    <w:qFormat/>
    <w:rsid w:val="00400E3C"/>
    <w:rPr>
      <w:rFonts w:ascii="Calibri" w:eastAsia="Batang" w:hAnsi="Calibri"/>
      <w:b/>
      <w:bCs/>
      <w:sz w:val="20"/>
      <w:szCs w:val="20"/>
    </w:rPr>
  </w:style>
  <w:style w:type="paragraph" w:customStyle="1" w:styleId="VorformatierterText">
    <w:name w:val="Vorformatierter Text"/>
    <w:basedOn w:val="Standard"/>
    <w:qFormat/>
    <w:rsid w:val="00EC380E"/>
  </w:style>
  <w:style w:type="paragraph" w:customStyle="1" w:styleId="font0">
    <w:name w:val="font0"/>
    <w:basedOn w:val="Standard"/>
    <w:qFormat/>
    <w:rsid w:val="00526E79"/>
    <w:pPr>
      <w:spacing w:beforeAutospacing="1" w:afterAutospacing="1" w:line="240" w:lineRule="auto"/>
    </w:pPr>
    <w:rPr>
      <w:rFonts w:ascii="Liberation Sans1" w:eastAsia="Times New Roman" w:hAnsi="Liberation Sans1" w:cs="Times New Roman"/>
      <w:color w:val="000000"/>
      <w:lang w:eastAsia="en-GB"/>
    </w:rPr>
  </w:style>
  <w:style w:type="paragraph" w:customStyle="1" w:styleId="xl83">
    <w:name w:val="xl83"/>
    <w:basedOn w:val="Standard"/>
    <w:qFormat/>
    <w:rsid w:val="00526E79"/>
    <w:pPr>
      <w:spacing w:beforeAutospacing="1" w:afterAutospacing="1" w:line="240" w:lineRule="auto"/>
    </w:pPr>
    <w:rPr>
      <w:rFonts w:ascii="Times New Roman" w:eastAsia="Times New Roman" w:hAnsi="Times New Roman" w:cs="Times New Roman"/>
      <w:b/>
      <w:bCs/>
      <w:sz w:val="24"/>
      <w:szCs w:val="24"/>
      <w:lang w:eastAsia="en-GB"/>
    </w:rPr>
  </w:style>
  <w:style w:type="paragraph" w:customStyle="1" w:styleId="xl84">
    <w:name w:val="xl84"/>
    <w:basedOn w:val="Standard"/>
    <w:qFormat/>
    <w:rsid w:val="00526E79"/>
    <w:pPr>
      <w:spacing w:beforeAutospacing="1" w:afterAutospacing="1" w:line="240" w:lineRule="auto"/>
    </w:pPr>
    <w:rPr>
      <w:rFonts w:ascii="Times New Roman" w:eastAsia="Times New Roman" w:hAnsi="Times New Roman" w:cs="Times New Roman"/>
      <w:b/>
      <w:bCs/>
      <w:sz w:val="24"/>
      <w:szCs w:val="24"/>
      <w:u w:val="single"/>
      <w:lang w:eastAsia="en-GB"/>
    </w:rPr>
  </w:style>
  <w:style w:type="paragraph" w:customStyle="1" w:styleId="xl85">
    <w:name w:val="xl85"/>
    <w:basedOn w:val="Standard"/>
    <w:qFormat/>
    <w:rsid w:val="00526E79"/>
    <w:pPr>
      <w:spacing w:beforeAutospacing="1" w:afterAutospacing="1" w:line="240" w:lineRule="auto"/>
    </w:pPr>
    <w:rPr>
      <w:rFonts w:ascii="Times New Roman" w:eastAsia="Times New Roman" w:hAnsi="Times New Roman" w:cs="Times New Roman"/>
      <w:b/>
      <w:bCs/>
      <w:i/>
      <w:iCs/>
      <w:sz w:val="24"/>
      <w:szCs w:val="24"/>
      <w:lang w:eastAsia="en-GB"/>
    </w:rPr>
  </w:style>
  <w:style w:type="paragraph" w:customStyle="1" w:styleId="xl86">
    <w:name w:val="xl86"/>
    <w:basedOn w:val="Standard"/>
    <w:qFormat/>
    <w:rsid w:val="00526E79"/>
    <w:pPr>
      <w:spacing w:beforeAutospacing="1" w:afterAutospacing="1" w:line="240" w:lineRule="auto"/>
    </w:pPr>
    <w:rPr>
      <w:rFonts w:ascii="Times New Roman" w:eastAsia="Times New Roman" w:hAnsi="Times New Roman" w:cs="Times New Roman"/>
      <w:color w:val="FF0000"/>
      <w:sz w:val="24"/>
      <w:szCs w:val="24"/>
      <w:lang w:eastAsia="en-GB"/>
    </w:rPr>
  </w:style>
  <w:style w:type="paragraph" w:customStyle="1" w:styleId="xl87">
    <w:name w:val="xl87"/>
    <w:basedOn w:val="Standard"/>
    <w:qFormat/>
    <w:rsid w:val="00526E79"/>
    <w:pPr>
      <w:spacing w:beforeAutospacing="1" w:afterAutospacing="1" w:line="240" w:lineRule="auto"/>
    </w:pPr>
    <w:rPr>
      <w:rFonts w:ascii="Liberation Sans" w:eastAsia="Times New Roman" w:hAnsi="Liberation Sans" w:cs="Times New Roman"/>
      <w:sz w:val="24"/>
      <w:szCs w:val="24"/>
      <w:lang w:eastAsia="en-GB"/>
    </w:rPr>
  </w:style>
  <w:style w:type="paragraph" w:customStyle="1" w:styleId="xl88">
    <w:name w:val="xl88"/>
    <w:basedOn w:val="Standard"/>
    <w:qFormat/>
    <w:rsid w:val="00526E79"/>
    <w:pPr>
      <w:spacing w:beforeAutospacing="1"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Tabelleninhalt0">
    <w:name w:val="Tabelleninhalt"/>
    <w:basedOn w:val="Standard"/>
    <w:qFormat/>
  </w:style>
  <w:style w:type="paragraph" w:customStyle="1" w:styleId="Tabellenberschrift0">
    <w:name w:val="Tabellenüberschrift"/>
    <w:basedOn w:val="Tabelleninhalt0"/>
    <w:qFormat/>
  </w:style>
  <w:style w:type="paragraph" w:customStyle="1" w:styleId="TableContents">
    <w:name w:val="Table Contents"/>
    <w:basedOn w:val="Standard"/>
    <w:qFormat/>
  </w:style>
  <w:style w:type="paragraph" w:customStyle="1" w:styleId="TableHeading">
    <w:name w:val="Table Heading"/>
    <w:basedOn w:val="TableContents"/>
    <w:qFormat/>
  </w:style>
  <w:style w:type="paragraph" w:styleId="Kopfzeile">
    <w:name w:val="header"/>
    <w:basedOn w:val="Standard"/>
    <w:link w:val="KopfzeileZchn"/>
    <w:unhideWhenUsed/>
    <w:rsid w:val="00BF21C0"/>
    <w:pPr>
      <w:tabs>
        <w:tab w:val="center" w:pos="4536"/>
        <w:tab w:val="right" w:pos="9072"/>
      </w:tabs>
      <w:spacing w:after="0" w:line="240" w:lineRule="auto"/>
    </w:pPr>
  </w:style>
  <w:style w:type="paragraph" w:styleId="Fuzeile">
    <w:name w:val="footer"/>
    <w:basedOn w:val="Standard"/>
    <w:link w:val="FuzeileZchn"/>
    <w:uiPriority w:val="99"/>
    <w:unhideWhenUsed/>
    <w:rsid w:val="00BF21C0"/>
    <w:pPr>
      <w:tabs>
        <w:tab w:val="center" w:pos="4536"/>
        <w:tab w:val="right" w:pos="9072"/>
      </w:tabs>
      <w:spacing w:after="0" w:line="240" w:lineRule="auto"/>
    </w:pPr>
  </w:style>
  <w:style w:type="table" w:customStyle="1" w:styleId="EinfacheTabelle31">
    <w:name w:val="Einfache Tabelle 31"/>
    <w:basedOn w:val="NormaleTabelle"/>
    <w:uiPriority w:val="43"/>
    <w:rsid w:val="00CB25F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21">
    <w:name w:val="Einfache Tabelle 21"/>
    <w:basedOn w:val="NormaleTabelle"/>
    <w:uiPriority w:val="42"/>
    <w:rsid w:val="00CB25F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ellenraster1">
    <w:name w:val="Tabellenraster1"/>
    <w:basedOn w:val="NormaleTabelle"/>
    <w:rsid w:val="00400E3C"/>
    <w:rPr>
      <w:szCs w:val="24"/>
      <w:lang w:val="de-D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ellenraster">
    <w:name w:val="Table Grid"/>
    <w:basedOn w:val="NormaleTabelle"/>
    <w:uiPriority w:val="59"/>
    <w:rsid w:val="00400E3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EinfacheTabelle4">
    <w:name w:val="Plain Table 4"/>
    <w:basedOn w:val="NormaleTabelle"/>
    <w:rsid w:val="00EE78C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ylo.wikidot.com/biogeobears" TargetMode="External"/><Relationship Id="rId3" Type="http://schemas.openxmlformats.org/officeDocument/2006/relationships/settings" Target="settings.xml"/><Relationship Id="rId7" Type="http://schemas.openxmlformats.org/officeDocument/2006/relationships/hyperlink" Target="http://phylo.wikidot.com/biogeobea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hylo.wikidot.com/biogeographical-stochastic-mapping-example-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3EBA1-F1F4-43B1-A7F3-CDB3ED73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1913</Words>
  <Characters>10905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Johannes Gutenberg-Universität Mainz</Company>
  <LinksUpToDate>false</LinksUpToDate>
  <CharactersWithSpaces>12793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Pirie, Michael</dc:creator>
  <dc:description/>
  <cp:lastModifiedBy>Michael Pirie</cp:lastModifiedBy>
  <cp:revision>2</cp:revision>
  <dcterms:created xsi:type="dcterms:W3CDTF">2019-09-13T11:04:00Z</dcterms:created>
  <dcterms:modified xsi:type="dcterms:W3CDTF">2019-09-13T11:04:00Z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Johannes Gutenberg-Universität Mainz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http://www.zotero.org/styles/peerj</vt:lpwstr>
  </property>
  <property fmtid="{D5CDD505-2E9C-101B-9397-08002B2CF9AE}" pid="8" name="Mendeley Document_1">
    <vt:lpwstr>True</vt:lpwstr>
  </property>
  <property fmtid="{D5CDD505-2E9C-101B-9397-08002B2CF9AE}" pid="9" name="Mendeley Recent Style Id 0_1">
    <vt:lpwstr>http://www.zotero.org/styles/biological-journal-of-the-linnean-society</vt:lpwstr>
  </property>
  <property fmtid="{D5CDD505-2E9C-101B-9397-08002B2CF9AE}" pid="10" name="Mendeley Recent Style Id 1_1">
    <vt:lpwstr>http://www.zotero.org/styles/chicago-author-date</vt:lpwstr>
  </property>
  <property fmtid="{D5CDD505-2E9C-101B-9397-08002B2CF9AE}" pid="11" name="Mendeley Recent Style Id 2_1">
    <vt:lpwstr>http://www.zotero.org/styles/frontiers-in-ecology-and-evolution</vt:lpwstr>
  </property>
  <property fmtid="{D5CDD505-2E9C-101B-9397-08002B2CF9AE}" pid="12" name="Mendeley Recent Style Id 3_1">
    <vt:lpwstr>http://www.zotero.org/styles/harvard1</vt:lpwstr>
  </property>
  <property fmtid="{D5CDD505-2E9C-101B-9397-08002B2CF9AE}" pid="13" name="Mendeley Recent Style Id 4_1">
    <vt:lpwstr>http://www.zotero.org/styles/ieee</vt:lpwstr>
  </property>
  <property fmtid="{D5CDD505-2E9C-101B-9397-08002B2CF9AE}" pid="14" name="Mendeley Recent Style Id 5_1">
    <vt:lpwstr>http://www.zotero.org/styles/modern-humanities-research-association</vt:lpwstr>
  </property>
  <property fmtid="{D5CDD505-2E9C-101B-9397-08002B2CF9AE}" pid="15" name="Mendeley Recent Style Id 6_1">
    <vt:lpwstr>http://www.zotero.org/styles/modern-language-association</vt:lpwstr>
  </property>
  <property fmtid="{D5CDD505-2E9C-101B-9397-08002B2CF9AE}" pid="16" name="Mendeley Recent Style Id 7_1">
    <vt:lpwstr>http://www.zotero.org/styles/peerj</vt:lpwstr>
  </property>
  <property fmtid="{D5CDD505-2E9C-101B-9397-08002B2CF9AE}" pid="17" name="Mendeley Recent Style Id 8_1">
    <vt:lpwstr>http://csl.mendeley.com/styles/1200041/Phytokeys</vt:lpwstr>
  </property>
  <property fmtid="{D5CDD505-2E9C-101B-9397-08002B2CF9AE}" pid="18" name="Mendeley Recent Style Id 9_1">
    <vt:lpwstr>http://www.zotero.org/styles/taxon</vt:lpwstr>
  </property>
  <property fmtid="{D5CDD505-2E9C-101B-9397-08002B2CF9AE}" pid="19" name="Mendeley Recent Style Name 0_1">
    <vt:lpwstr>Biological Journal of the Linnean Society</vt:lpwstr>
  </property>
  <property fmtid="{D5CDD505-2E9C-101B-9397-08002B2CF9AE}" pid="20" name="Mendeley Recent Style Name 1_1">
    <vt:lpwstr>Chicago Manual of Style 16th edition (author-date)</vt:lpwstr>
  </property>
  <property fmtid="{D5CDD505-2E9C-101B-9397-08002B2CF9AE}" pid="21" name="Mendeley Recent Style Name 2_1">
    <vt:lpwstr>Frontiers in Ecology and Evolution</vt:lpwstr>
  </property>
  <property fmtid="{D5CDD505-2E9C-101B-9397-08002B2CF9AE}" pid="22" name="Mendeley Recent Style Name 3_1">
    <vt:lpwstr>Harvard Reference format 1 (author-date)</vt:lpwstr>
  </property>
  <property fmtid="{D5CDD505-2E9C-101B-9397-08002B2CF9AE}" pid="23" name="Mendeley Recent Style Name 4_1">
    <vt:lpwstr>IEEE</vt:lpwstr>
  </property>
  <property fmtid="{D5CDD505-2E9C-101B-9397-08002B2CF9AE}" pid="24" name="Mendeley Recent Style Name 5_1">
    <vt:lpwstr>Modern Humanities Research Association 3rd edition (note with bibliography)</vt:lpwstr>
  </property>
  <property fmtid="{D5CDD505-2E9C-101B-9397-08002B2CF9AE}" pid="25" name="Mendeley Recent Style Name 6_1">
    <vt:lpwstr>Modern Language Association 7th edition</vt:lpwstr>
  </property>
  <property fmtid="{D5CDD505-2E9C-101B-9397-08002B2CF9AE}" pid="26" name="Mendeley Recent Style Name 7_1">
    <vt:lpwstr>PeerJ</vt:lpwstr>
  </property>
  <property fmtid="{D5CDD505-2E9C-101B-9397-08002B2CF9AE}" pid="27" name="Mendeley Recent Style Name 8_1">
    <vt:lpwstr>PhytoKeys</vt:lpwstr>
  </property>
  <property fmtid="{D5CDD505-2E9C-101B-9397-08002B2CF9AE}" pid="28" name="Mendeley Recent Style Name 9_1">
    <vt:lpwstr>Taxon</vt:lpwstr>
  </property>
  <property fmtid="{D5CDD505-2E9C-101B-9397-08002B2CF9AE}" pid="29" name="Mendeley Unique User Id_1">
    <vt:lpwstr>292effa1-0b60-312e-a47e-e6cb00c56e49</vt:lpwstr>
  </property>
  <property fmtid="{D5CDD505-2E9C-101B-9397-08002B2CF9AE}" pid="30" name="ScaleCrop">
    <vt:bool>false</vt:bool>
  </property>
  <property fmtid="{D5CDD505-2E9C-101B-9397-08002B2CF9AE}" pid="31" name="ShareDoc">
    <vt:bool>false</vt:bool>
  </property>
</Properties>
</file>