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A5282" w14:textId="4BFFE3C3" w:rsidR="00072961" w:rsidRPr="009C03E6" w:rsidRDefault="00D81469" w:rsidP="00E32665">
      <w:pPr>
        <w:rPr>
          <w:b/>
          <w:noProof/>
          <w:sz w:val="20"/>
          <w:szCs w:val="20"/>
          <w:lang w:val="en-GB"/>
        </w:rPr>
      </w:pPr>
      <w:bookmarkStart w:id="0" w:name="_GoBack"/>
      <w:bookmarkEnd w:id="0"/>
      <w:r>
        <w:rPr>
          <w:b/>
          <w:noProof/>
          <w:sz w:val="20"/>
          <w:szCs w:val="20"/>
          <w:lang w:val="en-GB"/>
        </w:rPr>
        <w:t>Additional file 9</w:t>
      </w:r>
    </w:p>
    <w:p w14:paraId="5203B77E" w14:textId="1B770BF5" w:rsidR="00FA1E1A" w:rsidRDefault="00FA1E1A" w:rsidP="00C326ED">
      <w:pPr>
        <w:spacing w:after="0"/>
        <w:rPr>
          <w:b/>
          <w:noProof/>
          <w:sz w:val="20"/>
          <w:szCs w:val="20"/>
        </w:rPr>
      </w:pPr>
      <w:r w:rsidRPr="009C03E6">
        <w:rPr>
          <w:b/>
          <w:noProof/>
          <w:sz w:val="20"/>
          <w:szCs w:val="20"/>
        </w:rPr>
        <w:t>Material and methods extended.</w:t>
      </w:r>
    </w:p>
    <w:p w14:paraId="411273F8" w14:textId="77777777" w:rsidR="00C326ED" w:rsidRPr="009C03E6" w:rsidRDefault="00C326ED" w:rsidP="00C326ED">
      <w:pPr>
        <w:spacing w:after="0"/>
        <w:rPr>
          <w:b/>
          <w:noProof/>
          <w:sz w:val="20"/>
          <w:szCs w:val="20"/>
        </w:rPr>
      </w:pPr>
    </w:p>
    <w:p w14:paraId="6F238FAA" w14:textId="0DA12E50" w:rsidR="00FB4ACF" w:rsidRPr="00FB4ACF" w:rsidRDefault="00FB4ACF" w:rsidP="00C326ED">
      <w:pPr>
        <w:spacing w:after="0"/>
        <w:rPr>
          <w:b/>
          <w:noProof/>
          <w:sz w:val="20"/>
          <w:szCs w:val="20"/>
          <w:lang w:val="en-GB"/>
        </w:rPr>
      </w:pPr>
      <w:r>
        <w:rPr>
          <w:b/>
          <w:noProof/>
          <w:sz w:val="20"/>
          <w:szCs w:val="20"/>
          <w:lang w:val="en-GB"/>
        </w:rPr>
        <w:t>G</w:t>
      </w:r>
      <w:r w:rsidRPr="00FB4ACF">
        <w:rPr>
          <w:b/>
          <w:noProof/>
          <w:sz w:val="20"/>
          <w:szCs w:val="20"/>
          <w:lang w:val="en-GB"/>
        </w:rPr>
        <w:t>ene amplification and sequencing</w:t>
      </w:r>
    </w:p>
    <w:p w14:paraId="319175E8" w14:textId="03AAEAE7" w:rsidR="00FB4ACF" w:rsidRDefault="00FB4ACF" w:rsidP="00C326ED">
      <w:pPr>
        <w:spacing w:after="0"/>
        <w:rPr>
          <w:noProof/>
          <w:sz w:val="20"/>
          <w:szCs w:val="20"/>
          <w:lang w:val="en-GB"/>
        </w:rPr>
      </w:pPr>
      <w:r w:rsidRPr="00FB4ACF">
        <w:rPr>
          <w:noProof/>
          <w:sz w:val="20"/>
          <w:szCs w:val="20"/>
          <w:lang w:val="en-GB"/>
        </w:rPr>
        <w:t xml:space="preserve">The </w:t>
      </w:r>
      <w:r w:rsidRPr="00563B19">
        <w:rPr>
          <w:i/>
          <w:noProof/>
          <w:sz w:val="20"/>
          <w:szCs w:val="20"/>
          <w:lang w:val="en-GB"/>
        </w:rPr>
        <w:t>COI</w:t>
      </w:r>
      <w:r w:rsidRPr="00FB4ACF">
        <w:rPr>
          <w:noProof/>
          <w:sz w:val="20"/>
          <w:szCs w:val="20"/>
          <w:lang w:val="en-GB"/>
        </w:rPr>
        <w:t xml:space="preserve"> primer sequences, LCO-1490 and HCO-2198, were adopted from Folmer et al. [</w:t>
      </w:r>
      <w:r>
        <w:rPr>
          <w:noProof/>
          <w:sz w:val="20"/>
          <w:szCs w:val="20"/>
          <w:lang w:val="en-GB"/>
        </w:rPr>
        <w:t>1</w:t>
      </w:r>
      <w:r w:rsidRPr="00FB4ACF">
        <w:rPr>
          <w:noProof/>
          <w:sz w:val="20"/>
          <w:szCs w:val="20"/>
          <w:lang w:val="en-GB"/>
        </w:rPr>
        <w:t xml:space="preserve">] and the </w:t>
      </w:r>
      <w:r w:rsidRPr="00563B19">
        <w:rPr>
          <w:i/>
          <w:noProof/>
          <w:sz w:val="20"/>
          <w:szCs w:val="20"/>
          <w:lang w:val="en-GB"/>
        </w:rPr>
        <w:t>16S</w:t>
      </w:r>
      <w:r w:rsidRPr="00FB4ACF">
        <w:rPr>
          <w:noProof/>
          <w:sz w:val="20"/>
          <w:szCs w:val="20"/>
          <w:lang w:val="en-GB"/>
        </w:rPr>
        <w:t xml:space="preserve"> rRNA primer sequences, 16Sar and 16Sbr were used after Palumbi et al. [</w:t>
      </w:r>
      <w:r>
        <w:rPr>
          <w:noProof/>
          <w:sz w:val="20"/>
          <w:szCs w:val="20"/>
          <w:lang w:val="en-GB"/>
        </w:rPr>
        <w:t>2</w:t>
      </w:r>
      <w:r w:rsidRPr="00FB4ACF">
        <w:rPr>
          <w:noProof/>
          <w:sz w:val="20"/>
          <w:szCs w:val="20"/>
          <w:lang w:val="en-GB"/>
        </w:rPr>
        <w:t xml:space="preserve">]. The </w:t>
      </w:r>
      <w:r w:rsidRPr="00563B19">
        <w:rPr>
          <w:i/>
          <w:noProof/>
          <w:sz w:val="20"/>
          <w:szCs w:val="20"/>
          <w:lang w:val="en-GB"/>
        </w:rPr>
        <w:t>ITS2</w:t>
      </w:r>
      <w:r w:rsidRPr="00FB4ACF">
        <w:rPr>
          <w:noProof/>
          <w:sz w:val="20"/>
          <w:szCs w:val="20"/>
          <w:lang w:val="en-GB"/>
        </w:rPr>
        <w:t xml:space="preserve"> gene was amplified using the primer pair ITSL2 and ITSH1b/m from Schubart et al. [</w:t>
      </w:r>
      <w:r>
        <w:rPr>
          <w:noProof/>
          <w:sz w:val="20"/>
          <w:szCs w:val="20"/>
          <w:lang w:val="en-GB"/>
        </w:rPr>
        <w:t>3</w:t>
      </w:r>
      <w:r w:rsidRPr="00FB4ACF">
        <w:rPr>
          <w:noProof/>
          <w:sz w:val="20"/>
          <w:szCs w:val="20"/>
          <w:lang w:val="en-GB"/>
        </w:rPr>
        <w:t>] and Jelić et al. [</w:t>
      </w:r>
      <w:r w:rsidR="007A38DD">
        <w:rPr>
          <w:noProof/>
          <w:sz w:val="20"/>
          <w:szCs w:val="20"/>
          <w:lang w:val="en-GB"/>
        </w:rPr>
        <w:t>61</w:t>
      </w:r>
      <w:r>
        <w:rPr>
          <w:noProof/>
          <w:sz w:val="20"/>
          <w:szCs w:val="20"/>
          <w:lang w:val="en-GB"/>
        </w:rPr>
        <w:t>-main refernce list</w:t>
      </w:r>
      <w:r w:rsidRPr="00FB4ACF">
        <w:rPr>
          <w:noProof/>
          <w:sz w:val="20"/>
          <w:szCs w:val="20"/>
          <w:lang w:val="en-GB"/>
        </w:rPr>
        <w:t xml:space="preserve">]. </w:t>
      </w:r>
    </w:p>
    <w:p w14:paraId="4745A723" w14:textId="29A94596" w:rsidR="00DE54D3" w:rsidRPr="001F69AD" w:rsidRDefault="00DE54D3" w:rsidP="00C326ED">
      <w:pPr>
        <w:spacing w:after="0"/>
        <w:rPr>
          <w:noProof/>
          <w:sz w:val="20"/>
          <w:szCs w:val="20"/>
          <w:lang w:val="en-GB"/>
        </w:rPr>
      </w:pPr>
      <w:r w:rsidRPr="001F69AD">
        <w:rPr>
          <w:noProof/>
          <w:sz w:val="20"/>
          <w:szCs w:val="20"/>
          <w:lang w:val="en-GB"/>
        </w:rPr>
        <w:t xml:space="preserve">The final </w:t>
      </w:r>
      <w:r w:rsidR="00FB4ACF">
        <w:rPr>
          <w:noProof/>
          <w:sz w:val="20"/>
          <w:szCs w:val="20"/>
          <w:lang w:val="en-GB"/>
        </w:rPr>
        <w:t xml:space="preserve">PCR </w:t>
      </w:r>
      <w:r w:rsidRPr="001F69AD">
        <w:rPr>
          <w:noProof/>
          <w:sz w:val="20"/>
          <w:szCs w:val="20"/>
          <w:lang w:val="en-GB"/>
        </w:rPr>
        <w:t xml:space="preserve">reaction mix in a total volume of </w:t>
      </w:r>
      <w:r w:rsidR="00F915EF">
        <w:rPr>
          <w:noProof/>
          <w:sz w:val="20"/>
          <w:szCs w:val="20"/>
          <w:lang w:val="en-GB"/>
        </w:rPr>
        <w:t>20</w:t>
      </w:r>
      <w:r w:rsidRPr="001F69AD">
        <w:rPr>
          <w:noProof/>
          <w:sz w:val="20"/>
          <w:szCs w:val="20"/>
          <w:lang w:val="en-GB"/>
        </w:rPr>
        <w:t xml:space="preserve"> μL for </w:t>
      </w:r>
      <w:r w:rsidRPr="001F69AD">
        <w:rPr>
          <w:i/>
          <w:noProof/>
          <w:sz w:val="20"/>
          <w:szCs w:val="20"/>
          <w:lang w:val="en-GB"/>
        </w:rPr>
        <w:t>16S</w:t>
      </w:r>
      <w:r w:rsidRPr="001F69AD">
        <w:rPr>
          <w:noProof/>
          <w:sz w:val="20"/>
          <w:szCs w:val="20"/>
          <w:lang w:val="en-GB"/>
        </w:rPr>
        <w:t xml:space="preserve"> rRNA gene contained 0.05 U/μL GoTaq G2 HotStart Polymerase, 1.5 mM GoTaq FlexiBuffer, 0.2 mM of each dNTP, 0.275 μmol/μL of each primer, a</w:t>
      </w:r>
      <w:r w:rsidR="00AB060D" w:rsidRPr="001F69AD">
        <w:rPr>
          <w:noProof/>
          <w:sz w:val="20"/>
          <w:szCs w:val="20"/>
          <w:lang w:val="en-GB"/>
        </w:rPr>
        <w:t xml:space="preserve">nd 10-50 ng/μL of DNA template. </w:t>
      </w:r>
      <w:r w:rsidRPr="001F69AD">
        <w:rPr>
          <w:noProof/>
          <w:sz w:val="20"/>
          <w:szCs w:val="20"/>
          <w:lang w:val="en-GB"/>
        </w:rPr>
        <w:t xml:space="preserve">The PCR cycling protocol included: initial activation at 95 °C for 3 min, 40 cycles of denaturation at 95 °C for 1 min, annealing at 52 °C for 1 min and extension at 72 °C for 1 min and final extension at 72 °C for 5 min. </w:t>
      </w:r>
    </w:p>
    <w:p w14:paraId="5629D4F0" w14:textId="77777777" w:rsidR="00AB060D" w:rsidRPr="001F69AD" w:rsidRDefault="00DE54D3" w:rsidP="00C326ED">
      <w:pPr>
        <w:spacing w:after="0"/>
        <w:rPr>
          <w:noProof/>
          <w:sz w:val="20"/>
          <w:szCs w:val="20"/>
          <w:lang w:val="en-GB"/>
        </w:rPr>
      </w:pPr>
      <w:r w:rsidRPr="001F69AD">
        <w:rPr>
          <w:noProof/>
          <w:sz w:val="20"/>
          <w:szCs w:val="20"/>
          <w:lang w:val="en-GB"/>
        </w:rPr>
        <w:t xml:space="preserve">The reaction mix in a total volume of 25 μL for </w:t>
      </w:r>
      <w:r w:rsidRPr="001F69AD">
        <w:rPr>
          <w:i/>
          <w:noProof/>
          <w:sz w:val="20"/>
          <w:szCs w:val="20"/>
          <w:lang w:val="en-GB"/>
        </w:rPr>
        <w:t>COI</w:t>
      </w:r>
      <w:r w:rsidRPr="001F69AD">
        <w:rPr>
          <w:noProof/>
          <w:sz w:val="20"/>
          <w:szCs w:val="20"/>
          <w:lang w:val="en-GB"/>
        </w:rPr>
        <w:t xml:space="preserve"> gene contained 0.04 U/μL HotStart Polymerase, 1.5 mM Promega Buffer, 0.15 mM of each dNTP, 0.400 μmol/μL of each primer, 0.7 mM MgCl</w:t>
      </w:r>
      <w:r w:rsidRPr="001F69AD">
        <w:rPr>
          <w:noProof/>
          <w:sz w:val="20"/>
          <w:szCs w:val="20"/>
          <w:vertAlign w:val="subscript"/>
          <w:lang w:val="en-GB"/>
        </w:rPr>
        <w:t>2</w:t>
      </w:r>
      <w:r w:rsidRPr="001F69AD">
        <w:rPr>
          <w:noProof/>
          <w:sz w:val="20"/>
          <w:szCs w:val="20"/>
          <w:lang w:val="en-GB"/>
        </w:rPr>
        <w:t xml:space="preserve">, and 10-50 ng/μL of DNA template. The PCR cycling protocol included: initial activation at 94 °C for 3 min, 35 cycles of denaturation at 94 °C for 45 s, annealing at 48°C for 1 min and extension at 72 °C for 1 min and final extension at 72 °C for 10 min. </w:t>
      </w:r>
    </w:p>
    <w:p w14:paraId="1DDAD242" w14:textId="77777777" w:rsidR="00793358" w:rsidRPr="001F69AD" w:rsidRDefault="00DE54D3" w:rsidP="00C326ED">
      <w:pPr>
        <w:spacing w:after="0"/>
        <w:rPr>
          <w:noProof/>
          <w:sz w:val="20"/>
          <w:szCs w:val="20"/>
          <w:lang w:val="en-GB"/>
        </w:rPr>
      </w:pPr>
      <w:r w:rsidRPr="001F69AD">
        <w:rPr>
          <w:noProof/>
          <w:sz w:val="20"/>
          <w:szCs w:val="20"/>
          <w:lang w:val="en-GB"/>
        </w:rPr>
        <w:t xml:space="preserve">The reaction mix in a total volume of 20 μL for </w:t>
      </w:r>
      <w:r w:rsidRPr="001F69AD">
        <w:rPr>
          <w:i/>
          <w:noProof/>
          <w:sz w:val="20"/>
          <w:szCs w:val="20"/>
          <w:lang w:val="en-GB"/>
        </w:rPr>
        <w:t>ITS2</w:t>
      </w:r>
      <w:r w:rsidRPr="001F69AD">
        <w:rPr>
          <w:noProof/>
          <w:sz w:val="20"/>
          <w:szCs w:val="20"/>
          <w:lang w:val="en-GB"/>
        </w:rPr>
        <w:t xml:space="preserve"> region contained 1.5 mM DreamTaq Mix, 0.400 μmol/μL of each primer, and 10-50 ng/μL of DNA template. The PCR cycling protocol included: initial activation at 95 °C for 3 min, 35 cycles of denaturation at 94 °C for 30 s, annealing at 55 °C for 30 s and extension at 72 °C for 80 min and final extension at 72 °C for 10 min.</w:t>
      </w:r>
    </w:p>
    <w:p w14:paraId="6EC0E3FF" w14:textId="5DDF6362" w:rsidR="005C4E03" w:rsidRDefault="005C4E03" w:rsidP="00C326ED">
      <w:pPr>
        <w:spacing w:after="0"/>
        <w:rPr>
          <w:noProof/>
          <w:sz w:val="20"/>
          <w:szCs w:val="20"/>
          <w:lang w:val="en-GB"/>
        </w:rPr>
      </w:pPr>
      <w:r w:rsidRPr="001F69AD">
        <w:rPr>
          <w:noProof/>
          <w:sz w:val="20"/>
          <w:szCs w:val="20"/>
          <w:lang w:val="en-GB"/>
        </w:rPr>
        <w:t>The enzymatic purification of PCR products was performed using 2 μL of EXOAnP mix (containing 0.05 U/μL Antarctic Phosphatase and 0.5 U/μL Exonuclease I) for 20 μL of PCR product. The reaction was carried out on a PCR machine for 1 h at 37 °C followed by 20 min at 80</w:t>
      </w:r>
      <w:r w:rsidR="00F915EF">
        <w:rPr>
          <w:noProof/>
          <w:sz w:val="20"/>
          <w:szCs w:val="20"/>
          <w:lang w:val="en-GB"/>
        </w:rPr>
        <w:t xml:space="preserve"> </w:t>
      </w:r>
      <w:r w:rsidRPr="001F69AD">
        <w:rPr>
          <w:noProof/>
          <w:sz w:val="20"/>
          <w:szCs w:val="20"/>
          <w:lang w:val="en-GB"/>
        </w:rPr>
        <w:t>°C.</w:t>
      </w:r>
    </w:p>
    <w:p w14:paraId="0433A948" w14:textId="73BBD31C" w:rsidR="00FB4ACF" w:rsidRPr="00FB4ACF" w:rsidRDefault="00FB4ACF" w:rsidP="00C326ED">
      <w:pPr>
        <w:spacing w:after="0"/>
        <w:rPr>
          <w:noProof/>
          <w:sz w:val="20"/>
          <w:szCs w:val="20"/>
          <w:lang w:val="en-GB"/>
        </w:rPr>
      </w:pPr>
      <w:r>
        <w:rPr>
          <w:noProof/>
          <w:sz w:val="20"/>
          <w:szCs w:val="20"/>
          <w:lang w:val="en-GB"/>
        </w:rPr>
        <w:t>S</w:t>
      </w:r>
      <w:r w:rsidRPr="00FB4ACF">
        <w:rPr>
          <w:noProof/>
          <w:sz w:val="20"/>
          <w:szCs w:val="20"/>
          <w:lang w:val="en-GB"/>
        </w:rPr>
        <w:t>equencing was performed by Macrogen Inc. (Amsterdam, Netherlands) using the same amplification primers.</w:t>
      </w:r>
    </w:p>
    <w:p w14:paraId="2AD10D1B" w14:textId="77777777" w:rsidR="00E10522" w:rsidRDefault="00E10522" w:rsidP="00E32665">
      <w:pPr>
        <w:spacing w:after="0"/>
        <w:rPr>
          <w:b/>
          <w:sz w:val="20"/>
          <w:szCs w:val="20"/>
          <w:lang w:val="en-GB"/>
        </w:rPr>
      </w:pPr>
    </w:p>
    <w:p w14:paraId="65754A71" w14:textId="5FB5C3B1" w:rsidR="00DB0878" w:rsidRPr="00DB0878" w:rsidRDefault="00DB0878" w:rsidP="00E32665">
      <w:pPr>
        <w:spacing w:after="0"/>
        <w:rPr>
          <w:b/>
          <w:sz w:val="20"/>
          <w:szCs w:val="20"/>
          <w:lang w:val="en-GB"/>
        </w:rPr>
      </w:pPr>
      <w:r w:rsidRPr="00DB0878">
        <w:rPr>
          <w:b/>
          <w:sz w:val="20"/>
          <w:szCs w:val="20"/>
          <w:lang w:val="en-GB"/>
        </w:rPr>
        <w:t>Phylogenetic reconstruction</w:t>
      </w:r>
    </w:p>
    <w:p w14:paraId="3E6C2929" w14:textId="0129C003" w:rsidR="00DB0878" w:rsidRPr="008175D5" w:rsidRDefault="00DB0878" w:rsidP="00E32665">
      <w:pPr>
        <w:spacing w:after="0"/>
        <w:rPr>
          <w:b/>
          <w:sz w:val="20"/>
          <w:szCs w:val="20"/>
          <w:lang w:val="en-GB"/>
        </w:rPr>
      </w:pPr>
      <w:r w:rsidRPr="008175D5">
        <w:rPr>
          <w:sz w:val="20"/>
          <w:szCs w:val="20"/>
          <w:lang w:val="en-GB"/>
        </w:rPr>
        <w:t xml:space="preserve">MP analysis was performed in MEGA X </w:t>
      </w:r>
      <w:r>
        <w:rPr>
          <w:sz w:val="20"/>
          <w:szCs w:val="20"/>
          <w:lang w:val="en-GB"/>
        </w:rPr>
        <w:t>[</w:t>
      </w:r>
      <w:r w:rsidR="00DD2353">
        <w:rPr>
          <w:sz w:val="20"/>
          <w:szCs w:val="20"/>
          <w:lang w:val="en-GB"/>
        </w:rPr>
        <w:t>4</w:t>
      </w:r>
      <w:r>
        <w:rPr>
          <w:sz w:val="20"/>
          <w:szCs w:val="20"/>
          <w:lang w:val="en-GB"/>
        </w:rPr>
        <w:t>]</w:t>
      </w:r>
      <w:r w:rsidRPr="008175D5">
        <w:rPr>
          <w:sz w:val="20"/>
          <w:szCs w:val="20"/>
          <w:lang w:val="en-GB"/>
        </w:rPr>
        <w:t xml:space="preserve"> using a tree bisection-reconnection (TBR) algorithm </w:t>
      </w:r>
      <w:r>
        <w:rPr>
          <w:sz w:val="20"/>
          <w:szCs w:val="20"/>
          <w:lang w:val="en-GB"/>
        </w:rPr>
        <w:t>[</w:t>
      </w:r>
      <w:r w:rsidR="00DD2353">
        <w:rPr>
          <w:sz w:val="20"/>
          <w:szCs w:val="20"/>
          <w:lang w:val="en-GB"/>
        </w:rPr>
        <w:t>5</w:t>
      </w:r>
      <w:r>
        <w:rPr>
          <w:sz w:val="20"/>
          <w:szCs w:val="20"/>
          <w:lang w:val="en-GB"/>
        </w:rPr>
        <w:t>]</w:t>
      </w:r>
      <w:r w:rsidRPr="008175D5">
        <w:rPr>
          <w:sz w:val="20"/>
          <w:szCs w:val="20"/>
          <w:lang w:val="en-GB"/>
        </w:rPr>
        <w:t xml:space="preserve"> with search level 1 in which the initial trees were obtained by the random addition of sequences (10 replicates). Support for individual clades in MP was evaluated using nonparametric bootstrapping </w:t>
      </w:r>
      <w:r>
        <w:rPr>
          <w:sz w:val="20"/>
          <w:szCs w:val="20"/>
          <w:lang w:val="en-GB"/>
        </w:rPr>
        <w:t>[</w:t>
      </w:r>
      <w:r w:rsidR="00DD2353">
        <w:rPr>
          <w:sz w:val="20"/>
          <w:szCs w:val="20"/>
          <w:lang w:val="en-GB"/>
        </w:rPr>
        <w:t>6</w:t>
      </w:r>
      <w:r>
        <w:rPr>
          <w:sz w:val="20"/>
          <w:szCs w:val="20"/>
          <w:lang w:val="en-GB"/>
        </w:rPr>
        <w:t>]</w:t>
      </w:r>
      <w:r w:rsidRPr="008175D5">
        <w:rPr>
          <w:sz w:val="20"/>
          <w:szCs w:val="20"/>
          <w:lang w:val="en-GB"/>
        </w:rPr>
        <w:t xml:space="preserve"> obtained from 10</w:t>
      </w:r>
      <w:r>
        <w:rPr>
          <w:sz w:val="20"/>
          <w:szCs w:val="20"/>
          <w:lang w:val="en-GB"/>
        </w:rPr>
        <w:t>,</w:t>
      </w:r>
      <w:r w:rsidRPr="008175D5">
        <w:rPr>
          <w:sz w:val="20"/>
          <w:szCs w:val="20"/>
          <w:lang w:val="en-GB"/>
        </w:rPr>
        <w:t xml:space="preserve">000 bootstrap replicates. ML analysis was conducted on the IQ-TREE webserver </w:t>
      </w:r>
      <w:r>
        <w:rPr>
          <w:sz w:val="20"/>
          <w:szCs w:val="20"/>
          <w:lang w:val="en-GB"/>
        </w:rPr>
        <w:t>[</w:t>
      </w:r>
      <w:r w:rsidR="00DD2353">
        <w:rPr>
          <w:sz w:val="20"/>
          <w:szCs w:val="20"/>
          <w:lang w:val="en-GB"/>
        </w:rPr>
        <w:t>7</w:t>
      </w:r>
      <w:r>
        <w:rPr>
          <w:sz w:val="20"/>
          <w:szCs w:val="20"/>
          <w:lang w:val="en-GB"/>
        </w:rPr>
        <w:t>]</w:t>
      </w:r>
      <w:r w:rsidRPr="008175D5">
        <w:rPr>
          <w:sz w:val="20"/>
          <w:szCs w:val="20"/>
          <w:lang w:val="en-GB"/>
        </w:rPr>
        <w:t xml:space="preserve">. The optimal model of nucleotide evolution for each partition was calculated using </w:t>
      </w:r>
      <w:proofErr w:type="spellStart"/>
      <w:r w:rsidRPr="008175D5">
        <w:rPr>
          <w:sz w:val="20"/>
          <w:szCs w:val="20"/>
          <w:lang w:val="en-GB"/>
        </w:rPr>
        <w:t>ModelFinder</w:t>
      </w:r>
      <w:proofErr w:type="spellEnd"/>
      <w:r w:rsidRPr="008175D5">
        <w:rPr>
          <w:sz w:val="20"/>
          <w:szCs w:val="20"/>
          <w:lang w:val="en-GB"/>
        </w:rPr>
        <w:t xml:space="preserve"> on the IQ-TREE webserver </w:t>
      </w:r>
      <w:r>
        <w:rPr>
          <w:sz w:val="20"/>
          <w:szCs w:val="20"/>
          <w:lang w:val="en-GB"/>
        </w:rPr>
        <w:t>[</w:t>
      </w:r>
      <w:r w:rsidR="00DD2353">
        <w:rPr>
          <w:sz w:val="20"/>
          <w:szCs w:val="20"/>
          <w:lang w:val="en-GB"/>
        </w:rPr>
        <w:t>8</w:t>
      </w:r>
      <w:r>
        <w:rPr>
          <w:sz w:val="20"/>
          <w:szCs w:val="20"/>
          <w:lang w:val="en-GB"/>
        </w:rPr>
        <w:t xml:space="preserve">, </w:t>
      </w:r>
      <w:r w:rsidR="00DD2353">
        <w:rPr>
          <w:sz w:val="20"/>
          <w:szCs w:val="20"/>
          <w:lang w:val="en-GB"/>
        </w:rPr>
        <w:t>9</w:t>
      </w:r>
      <w:r>
        <w:rPr>
          <w:sz w:val="20"/>
          <w:szCs w:val="20"/>
          <w:lang w:val="en-GB"/>
        </w:rPr>
        <w:t>]</w:t>
      </w:r>
      <w:r w:rsidRPr="008175D5">
        <w:rPr>
          <w:sz w:val="20"/>
          <w:szCs w:val="20"/>
          <w:lang w:val="en-GB"/>
        </w:rPr>
        <w:t xml:space="preserve">. The selected model for </w:t>
      </w:r>
      <w:r w:rsidRPr="008175D5">
        <w:rPr>
          <w:i/>
          <w:sz w:val="20"/>
          <w:szCs w:val="20"/>
          <w:lang w:val="en-GB"/>
        </w:rPr>
        <w:t xml:space="preserve">COI </w:t>
      </w:r>
      <w:r w:rsidRPr="008175D5">
        <w:rPr>
          <w:sz w:val="20"/>
          <w:szCs w:val="20"/>
          <w:lang w:val="en-GB"/>
        </w:rPr>
        <w:t>gene was HKY+F+I+</w:t>
      </w:r>
      <w:proofErr w:type="gramStart"/>
      <w:r w:rsidRPr="008175D5">
        <w:rPr>
          <w:sz w:val="20"/>
          <w:szCs w:val="20"/>
          <w:lang w:val="en-GB"/>
        </w:rPr>
        <w:t>G,</w:t>
      </w:r>
      <w:proofErr w:type="gramEnd"/>
      <w:r w:rsidRPr="008175D5">
        <w:rPr>
          <w:sz w:val="20"/>
          <w:szCs w:val="20"/>
          <w:lang w:val="en-GB"/>
        </w:rPr>
        <w:t xml:space="preserve"> while for </w:t>
      </w:r>
      <w:r w:rsidRPr="008175D5">
        <w:rPr>
          <w:i/>
          <w:sz w:val="20"/>
          <w:szCs w:val="20"/>
          <w:lang w:val="en-GB"/>
        </w:rPr>
        <w:t>16S</w:t>
      </w:r>
      <w:r w:rsidRPr="008175D5">
        <w:rPr>
          <w:sz w:val="20"/>
          <w:szCs w:val="20"/>
          <w:lang w:val="en-GB"/>
        </w:rPr>
        <w:t xml:space="preserve"> </w:t>
      </w:r>
      <w:proofErr w:type="spellStart"/>
      <w:r w:rsidRPr="008175D5">
        <w:rPr>
          <w:sz w:val="20"/>
          <w:szCs w:val="20"/>
          <w:lang w:val="en-GB"/>
        </w:rPr>
        <w:t>rRNA</w:t>
      </w:r>
      <w:proofErr w:type="spellEnd"/>
      <w:r w:rsidRPr="008175D5">
        <w:rPr>
          <w:sz w:val="20"/>
          <w:szCs w:val="20"/>
          <w:lang w:val="en-GB"/>
        </w:rPr>
        <w:t xml:space="preserve"> was K3Pu+F+I+G. Branch supports were obtained with the 10</w:t>
      </w:r>
      <w:r>
        <w:rPr>
          <w:sz w:val="20"/>
          <w:szCs w:val="20"/>
          <w:lang w:val="en-GB"/>
        </w:rPr>
        <w:t>,</w:t>
      </w:r>
      <w:r w:rsidRPr="008175D5">
        <w:rPr>
          <w:sz w:val="20"/>
          <w:szCs w:val="20"/>
          <w:lang w:val="en-GB"/>
        </w:rPr>
        <w:t xml:space="preserve">000 bootstrap alignments using ultrafast bootstrap </w:t>
      </w:r>
      <w:r>
        <w:rPr>
          <w:sz w:val="20"/>
          <w:szCs w:val="20"/>
          <w:lang w:val="en-GB"/>
        </w:rPr>
        <w:t>[</w:t>
      </w:r>
      <w:r w:rsidR="00DD2353">
        <w:rPr>
          <w:sz w:val="20"/>
          <w:szCs w:val="20"/>
          <w:lang w:val="en-GB"/>
        </w:rPr>
        <w:t>10</w:t>
      </w:r>
      <w:r>
        <w:rPr>
          <w:sz w:val="20"/>
          <w:szCs w:val="20"/>
          <w:lang w:val="en-GB"/>
        </w:rPr>
        <w:t>]</w:t>
      </w:r>
      <w:r w:rsidRPr="008175D5">
        <w:rPr>
          <w:sz w:val="20"/>
          <w:szCs w:val="20"/>
          <w:lang w:val="en-GB"/>
        </w:rPr>
        <w:t xml:space="preserve"> implemented in the IQ-TREE software. The </w:t>
      </w:r>
      <w:r>
        <w:rPr>
          <w:sz w:val="20"/>
          <w:szCs w:val="20"/>
          <w:lang w:val="en-GB"/>
        </w:rPr>
        <w:t>ML</w:t>
      </w:r>
      <w:r w:rsidRPr="008175D5">
        <w:rPr>
          <w:sz w:val="20"/>
          <w:szCs w:val="20"/>
          <w:lang w:val="en-GB"/>
        </w:rPr>
        <w:t xml:space="preserve"> tree was inferred using the edge linked partition model </w:t>
      </w:r>
      <w:r>
        <w:rPr>
          <w:sz w:val="20"/>
          <w:szCs w:val="20"/>
          <w:lang w:val="en-GB"/>
        </w:rPr>
        <w:t>[</w:t>
      </w:r>
      <w:r w:rsidR="00DD2353">
        <w:rPr>
          <w:sz w:val="20"/>
          <w:szCs w:val="20"/>
          <w:lang w:val="en-GB"/>
        </w:rPr>
        <w:t>8</w:t>
      </w:r>
      <w:r>
        <w:rPr>
          <w:sz w:val="20"/>
          <w:szCs w:val="20"/>
          <w:lang w:val="en-GB"/>
        </w:rPr>
        <w:t>]</w:t>
      </w:r>
      <w:r w:rsidRPr="008175D5">
        <w:rPr>
          <w:sz w:val="20"/>
          <w:szCs w:val="20"/>
          <w:lang w:val="en-GB"/>
        </w:rPr>
        <w:t xml:space="preserve">. For the BA, the optimal models of nucleotide evolution for each partition of the concatenated data set were selected under the Bayesian information criterion (BIC) using the </w:t>
      </w:r>
      <w:proofErr w:type="spellStart"/>
      <w:r w:rsidRPr="008175D5">
        <w:rPr>
          <w:sz w:val="20"/>
          <w:szCs w:val="20"/>
          <w:lang w:val="en-GB"/>
        </w:rPr>
        <w:t>jModelTest</w:t>
      </w:r>
      <w:proofErr w:type="spellEnd"/>
      <w:r w:rsidRPr="008175D5">
        <w:rPr>
          <w:sz w:val="20"/>
          <w:szCs w:val="20"/>
          <w:lang w:val="en-GB"/>
        </w:rPr>
        <w:t xml:space="preserve"> 2.1.10 </w:t>
      </w:r>
      <w:r>
        <w:rPr>
          <w:sz w:val="20"/>
          <w:szCs w:val="20"/>
          <w:lang w:val="en-GB"/>
        </w:rPr>
        <w:t>[</w:t>
      </w:r>
      <w:r w:rsidR="00DD2353">
        <w:rPr>
          <w:sz w:val="20"/>
          <w:szCs w:val="20"/>
          <w:lang w:val="en-GB"/>
        </w:rPr>
        <w:t>11</w:t>
      </w:r>
      <w:r>
        <w:rPr>
          <w:sz w:val="20"/>
          <w:szCs w:val="20"/>
          <w:lang w:val="en-GB"/>
        </w:rPr>
        <w:t>]</w:t>
      </w:r>
      <w:r w:rsidRPr="008175D5">
        <w:rPr>
          <w:sz w:val="20"/>
          <w:szCs w:val="20"/>
          <w:lang w:val="en-GB"/>
        </w:rPr>
        <w:t xml:space="preserve">. The selected model for </w:t>
      </w:r>
      <w:r w:rsidRPr="008175D5">
        <w:rPr>
          <w:i/>
          <w:sz w:val="20"/>
          <w:szCs w:val="20"/>
          <w:lang w:val="en-GB"/>
        </w:rPr>
        <w:t>COI</w:t>
      </w:r>
      <w:r w:rsidR="00AE1833">
        <w:rPr>
          <w:sz w:val="20"/>
          <w:szCs w:val="20"/>
          <w:lang w:val="en-GB"/>
        </w:rPr>
        <w:t xml:space="preserve"> was HKY</w:t>
      </w:r>
      <w:r w:rsidRPr="008175D5">
        <w:rPr>
          <w:sz w:val="20"/>
          <w:szCs w:val="20"/>
          <w:lang w:val="en-GB"/>
        </w:rPr>
        <w:t>+I</w:t>
      </w:r>
      <w:r w:rsidR="00AE1833">
        <w:rPr>
          <w:sz w:val="20"/>
          <w:szCs w:val="20"/>
          <w:lang w:val="en-GB"/>
        </w:rPr>
        <w:t>+</w:t>
      </w:r>
      <w:r w:rsidRPr="008175D5">
        <w:rPr>
          <w:sz w:val="20"/>
          <w:szCs w:val="20"/>
          <w:lang w:val="en-GB"/>
        </w:rPr>
        <w:t xml:space="preserve">G, and for </w:t>
      </w:r>
      <w:r w:rsidRPr="008175D5">
        <w:rPr>
          <w:i/>
          <w:sz w:val="20"/>
          <w:szCs w:val="20"/>
          <w:lang w:val="en-GB"/>
        </w:rPr>
        <w:t xml:space="preserve">16S </w:t>
      </w:r>
      <w:proofErr w:type="spellStart"/>
      <w:r w:rsidR="00AE1833">
        <w:rPr>
          <w:sz w:val="20"/>
          <w:szCs w:val="20"/>
          <w:lang w:val="en-GB"/>
        </w:rPr>
        <w:t>rRNA</w:t>
      </w:r>
      <w:proofErr w:type="spellEnd"/>
      <w:r w:rsidR="00AE1833">
        <w:rPr>
          <w:sz w:val="20"/>
          <w:szCs w:val="20"/>
          <w:lang w:val="en-GB"/>
        </w:rPr>
        <w:t xml:space="preserve"> was HKY</w:t>
      </w:r>
      <w:r w:rsidRPr="008175D5">
        <w:rPr>
          <w:sz w:val="20"/>
          <w:szCs w:val="20"/>
          <w:lang w:val="en-GB"/>
        </w:rPr>
        <w:t xml:space="preserve">+G. </w:t>
      </w:r>
      <w:r>
        <w:rPr>
          <w:sz w:val="20"/>
          <w:szCs w:val="20"/>
          <w:lang w:val="en-GB"/>
        </w:rPr>
        <w:t xml:space="preserve">The </w:t>
      </w:r>
      <w:r w:rsidRPr="008175D5">
        <w:rPr>
          <w:sz w:val="20"/>
          <w:szCs w:val="20"/>
          <w:lang w:val="en-GB"/>
        </w:rPr>
        <w:t xml:space="preserve">BA was performed in </w:t>
      </w:r>
      <w:proofErr w:type="spellStart"/>
      <w:r w:rsidRPr="008175D5">
        <w:rPr>
          <w:sz w:val="20"/>
          <w:szCs w:val="20"/>
          <w:lang w:val="en-GB"/>
        </w:rPr>
        <w:t>MrBayes</w:t>
      </w:r>
      <w:proofErr w:type="spellEnd"/>
      <w:r w:rsidRPr="008175D5">
        <w:rPr>
          <w:sz w:val="20"/>
          <w:szCs w:val="20"/>
          <w:lang w:val="en-GB"/>
        </w:rPr>
        <w:t xml:space="preserve"> 3.2.6 </w:t>
      </w:r>
      <w:r>
        <w:rPr>
          <w:sz w:val="20"/>
          <w:szCs w:val="20"/>
          <w:lang w:val="en-GB"/>
        </w:rPr>
        <w:t>[</w:t>
      </w:r>
      <w:r w:rsidR="00DD2353">
        <w:rPr>
          <w:sz w:val="20"/>
          <w:szCs w:val="20"/>
          <w:lang w:val="en-GB"/>
        </w:rPr>
        <w:t>12</w:t>
      </w:r>
      <w:r>
        <w:rPr>
          <w:sz w:val="20"/>
          <w:szCs w:val="20"/>
          <w:lang w:val="en-GB"/>
        </w:rPr>
        <w:t>]</w:t>
      </w:r>
      <w:r w:rsidRPr="008175D5">
        <w:rPr>
          <w:sz w:val="20"/>
          <w:szCs w:val="20"/>
          <w:lang w:val="en-GB"/>
        </w:rPr>
        <w:t xml:space="preserve"> with priors set according to the suggested model for each partition. Two separate runs with four Metropolis-coupled Monte Carlo Markov chains (MMCM) were performed for 10</w:t>
      </w:r>
      <w:r>
        <w:rPr>
          <w:sz w:val="20"/>
          <w:szCs w:val="20"/>
          <w:lang w:val="en-GB"/>
        </w:rPr>
        <w:t>,</w:t>
      </w:r>
      <w:r w:rsidRPr="008175D5">
        <w:rPr>
          <w:sz w:val="20"/>
          <w:szCs w:val="20"/>
          <w:lang w:val="en-GB"/>
        </w:rPr>
        <w:t>000</w:t>
      </w:r>
      <w:r>
        <w:rPr>
          <w:sz w:val="20"/>
          <w:szCs w:val="20"/>
          <w:lang w:val="en-GB"/>
        </w:rPr>
        <w:t>,</w:t>
      </w:r>
      <w:r w:rsidRPr="008175D5">
        <w:rPr>
          <w:sz w:val="20"/>
          <w:szCs w:val="20"/>
          <w:lang w:val="en-GB"/>
        </w:rPr>
        <w:t>000 generations, and trees were sampled every 1</w:t>
      </w:r>
      <w:r>
        <w:rPr>
          <w:sz w:val="20"/>
          <w:szCs w:val="20"/>
          <w:lang w:val="en-GB"/>
        </w:rPr>
        <w:t>,</w:t>
      </w:r>
      <w:r w:rsidRPr="008175D5">
        <w:rPr>
          <w:sz w:val="20"/>
          <w:szCs w:val="20"/>
          <w:lang w:val="en-GB"/>
        </w:rPr>
        <w:t xml:space="preserve">000 generations. After effective sample size (ESS values &gt; 200) for each parameter was confirmed with Tracer v1.7.1 </w:t>
      </w:r>
      <w:r>
        <w:rPr>
          <w:sz w:val="20"/>
          <w:szCs w:val="20"/>
          <w:lang w:val="en-GB"/>
        </w:rPr>
        <w:t>[</w:t>
      </w:r>
      <w:r w:rsidR="00DD2353">
        <w:rPr>
          <w:sz w:val="20"/>
          <w:szCs w:val="20"/>
          <w:lang w:val="en-GB"/>
        </w:rPr>
        <w:t>13</w:t>
      </w:r>
      <w:r>
        <w:rPr>
          <w:sz w:val="20"/>
          <w:szCs w:val="20"/>
          <w:lang w:val="en-GB"/>
        </w:rPr>
        <w:t>], the first 25</w:t>
      </w:r>
      <w:r w:rsidRPr="008175D5">
        <w:rPr>
          <w:sz w:val="20"/>
          <w:szCs w:val="20"/>
          <w:lang w:val="en-GB"/>
        </w:rPr>
        <w:t xml:space="preserve">% of sampled trees were </w:t>
      </w:r>
      <w:r w:rsidR="00F93A06">
        <w:rPr>
          <w:sz w:val="20"/>
          <w:szCs w:val="20"/>
          <w:lang w:val="en-GB"/>
        </w:rPr>
        <w:t>eliminated as burn-in, and a 50</w:t>
      </w:r>
      <w:r w:rsidRPr="008175D5">
        <w:rPr>
          <w:sz w:val="20"/>
          <w:szCs w:val="20"/>
          <w:lang w:val="en-GB"/>
        </w:rPr>
        <w:t xml:space="preserve">% majority-rule consensus tree was constructed, with nodal values representing the posterior probabilities. </w:t>
      </w:r>
    </w:p>
    <w:p w14:paraId="5673D3FF" w14:textId="6814FA8F" w:rsidR="00DB0878" w:rsidRPr="008175D5" w:rsidRDefault="00DB0878" w:rsidP="00E32665">
      <w:pPr>
        <w:spacing w:after="0"/>
        <w:rPr>
          <w:sz w:val="20"/>
          <w:szCs w:val="20"/>
          <w:lang w:val="en-GB"/>
        </w:rPr>
      </w:pPr>
      <w:r w:rsidRPr="008175D5">
        <w:rPr>
          <w:sz w:val="20"/>
          <w:szCs w:val="20"/>
          <w:lang w:val="en-GB"/>
        </w:rPr>
        <w:t xml:space="preserve">Phylogenetic analyses of the </w:t>
      </w:r>
      <w:r w:rsidRPr="008175D5">
        <w:rPr>
          <w:i/>
          <w:sz w:val="20"/>
          <w:szCs w:val="20"/>
          <w:lang w:val="en-GB"/>
        </w:rPr>
        <w:t>ITS2</w:t>
      </w:r>
      <w:r w:rsidRPr="008175D5">
        <w:rPr>
          <w:sz w:val="20"/>
          <w:szCs w:val="20"/>
          <w:lang w:val="en-GB"/>
        </w:rPr>
        <w:t xml:space="preserve"> region were performed on 72 sequences collapsed into 32 unique haplotypes representing all up till now described </w:t>
      </w:r>
      <w:proofErr w:type="spellStart"/>
      <w:r w:rsidRPr="008175D5">
        <w:rPr>
          <w:sz w:val="20"/>
          <w:szCs w:val="20"/>
          <w:lang w:val="en-GB"/>
        </w:rPr>
        <w:t>mtDNA</w:t>
      </w:r>
      <w:proofErr w:type="spellEnd"/>
      <w:r w:rsidRPr="008175D5">
        <w:rPr>
          <w:sz w:val="20"/>
          <w:szCs w:val="20"/>
          <w:lang w:val="en-GB"/>
        </w:rPr>
        <w:t xml:space="preserve"> </w:t>
      </w:r>
      <w:proofErr w:type="spellStart"/>
      <w:r w:rsidRPr="008175D5">
        <w:rPr>
          <w:sz w:val="20"/>
          <w:szCs w:val="20"/>
          <w:lang w:val="en-GB"/>
        </w:rPr>
        <w:t>phylogroups</w:t>
      </w:r>
      <w:proofErr w:type="spellEnd"/>
      <w:r w:rsidRPr="008175D5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[</w:t>
      </w:r>
      <w:r w:rsidR="00B27D3C">
        <w:rPr>
          <w:sz w:val="20"/>
          <w:szCs w:val="20"/>
          <w:lang w:val="en-GB"/>
        </w:rPr>
        <w:t>4, 5</w:t>
      </w:r>
      <w:r w:rsidR="00B27D3C" w:rsidRPr="00B27D3C">
        <w:rPr>
          <w:noProof/>
          <w:sz w:val="20"/>
          <w:szCs w:val="20"/>
          <w:lang w:val="en-GB"/>
        </w:rPr>
        <w:t xml:space="preserve"> </w:t>
      </w:r>
      <w:r w:rsidR="00B27D3C">
        <w:rPr>
          <w:noProof/>
          <w:sz w:val="20"/>
          <w:szCs w:val="20"/>
          <w:lang w:val="en-GB"/>
        </w:rPr>
        <w:t>main refernce list</w:t>
      </w:r>
      <w:r>
        <w:rPr>
          <w:sz w:val="20"/>
          <w:szCs w:val="20"/>
          <w:lang w:val="en-GB"/>
        </w:rPr>
        <w:t>]</w:t>
      </w:r>
      <w:r w:rsidRPr="008175D5">
        <w:rPr>
          <w:sz w:val="20"/>
          <w:szCs w:val="20"/>
          <w:lang w:val="en-GB"/>
        </w:rPr>
        <w:t xml:space="preserve"> and a new </w:t>
      </w:r>
      <w:proofErr w:type="spellStart"/>
      <w:r w:rsidRPr="008175D5">
        <w:rPr>
          <w:sz w:val="20"/>
          <w:szCs w:val="20"/>
          <w:lang w:val="en-GB"/>
        </w:rPr>
        <w:t>phylogroup</w:t>
      </w:r>
      <w:proofErr w:type="spellEnd"/>
      <w:r w:rsidRPr="008175D5">
        <w:rPr>
          <w:sz w:val="20"/>
          <w:szCs w:val="20"/>
          <w:lang w:val="en-GB"/>
        </w:rPr>
        <w:t xml:space="preserve"> discovered in this research. Four </w:t>
      </w:r>
      <w:r w:rsidRPr="008175D5">
        <w:rPr>
          <w:i/>
          <w:sz w:val="20"/>
          <w:szCs w:val="20"/>
          <w:lang w:val="en-GB"/>
        </w:rPr>
        <w:t xml:space="preserve">A. </w:t>
      </w:r>
      <w:proofErr w:type="spellStart"/>
      <w:r w:rsidRPr="008175D5">
        <w:rPr>
          <w:i/>
          <w:sz w:val="20"/>
          <w:szCs w:val="20"/>
          <w:lang w:val="en-GB"/>
        </w:rPr>
        <w:t>pallipes</w:t>
      </w:r>
      <w:proofErr w:type="spellEnd"/>
      <w:r w:rsidRPr="008175D5">
        <w:rPr>
          <w:sz w:val="20"/>
          <w:szCs w:val="20"/>
          <w:lang w:val="en-GB"/>
        </w:rPr>
        <w:t xml:space="preserve"> sequences were used as </w:t>
      </w:r>
      <w:proofErr w:type="gramStart"/>
      <w:r w:rsidRPr="008175D5">
        <w:rPr>
          <w:sz w:val="20"/>
          <w:szCs w:val="20"/>
          <w:lang w:val="en-GB"/>
        </w:rPr>
        <w:t>an outgroup</w:t>
      </w:r>
      <w:proofErr w:type="gramEnd"/>
      <w:r w:rsidRPr="008175D5">
        <w:rPr>
          <w:sz w:val="20"/>
          <w:szCs w:val="20"/>
          <w:lang w:val="en-GB"/>
        </w:rPr>
        <w:t xml:space="preserve"> (accession numbers: KX370591, KX370594, KX370597, KX370600). The optimal model of nucleotide evolution was selected under the BIC using </w:t>
      </w:r>
      <w:proofErr w:type="spellStart"/>
      <w:r w:rsidRPr="008175D5">
        <w:rPr>
          <w:sz w:val="20"/>
          <w:szCs w:val="20"/>
          <w:lang w:val="en-GB"/>
        </w:rPr>
        <w:t>jModelTest</w:t>
      </w:r>
      <w:proofErr w:type="spellEnd"/>
      <w:r w:rsidRPr="008175D5">
        <w:rPr>
          <w:sz w:val="20"/>
          <w:szCs w:val="20"/>
          <w:lang w:val="en-GB"/>
        </w:rPr>
        <w:t xml:space="preserve"> 2.1.10 </w:t>
      </w:r>
      <w:r>
        <w:rPr>
          <w:sz w:val="20"/>
          <w:szCs w:val="20"/>
          <w:lang w:val="en-GB"/>
        </w:rPr>
        <w:t>[</w:t>
      </w:r>
      <w:r w:rsidR="00B27D3C">
        <w:rPr>
          <w:sz w:val="20"/>
          <w:szCs w:val="20"/>
          <w:lang w:val="en-GB"/>
        </w:rPr>
        <w:t>11</w:t>
      </w:r>
      <w:r>
        <w:rPr>
          <w:sz w:val="20"/>
          <w:szCs w:val="20"/>
          <w:lang w:val="en-GB"/>
        </w:rPr>
        <w:t>]</w:t>
      </w:r>
      <w:r w:rsidRPr="008175D5">
        <w:rPr>
          <w:sz w:val="20"/>
          <w:szCs w:val="20"/>
          <w:lang w:val="en-GB"/>
        </w:rPr>
        <w:t xml:space="preserve">. The proposed model was Jukes-Cantor (JC) with equal base frequencies, all substitutions equally likely assessed. Phylogenetic relationships were reconstructed using BA. </w:t>
      </w:r>
      <w:r w:rsidRPr="008175D5">
        <w:rPr>
          <w:color w:val="000000"/>
          <w:sz w:val="20"/>
          <w:szCs w:val="20"/>
          <w:shd w:val="clear" w:color="auto" w:fill="FFFFFF"/>
          <w:lang w:val="en-GB"/>
        </w:rPr>
        <w:t>Prior to BA, all the gaps in the alig</w:t>
      </w:r>
      <w:r w:rsidR="00F93A06">
        <w:rPr>
          <w:color w:val="000000"/>
          <w:sz w:val="20"/>
          <w:szCs w:val="20"/>
          <w:shd w:val="clear" w:color="auto" w:fill="FFFFFF"/>
          <w:lang w:val="en-GB"/>
        </w:rPr>
        <w:t>n</w:t>
      </w:r>
      <w:r w:rsidRPr="008175D5">
        <w:rPr>
          <w:color w:val="000000"/>
          <w:sz w:val="20"/>
          <w:szCs w:val="20"/>
          <w:shd w:val="clear" w:color="auto" w:fill="FFFFFF"/>
          <w:lang w:val="en-GB"/>
        </w:rPr>
        <w:t xml:space="preserve">ment were coded by employing the simple </w:t>
      </w:r>
      <w:proofErr w:type="spellStart"/>
      <w:r w:rsidRPr="008175D5">
        <w:rPr>
          <w:color w:val="000000"/>
          <w:sz w:val="20"/>
          <w:szCs w:val="20"/>
          <w:shd w:val="clear" w:color="auto" w:fill="FFFFFF"/>
          <w:lang w:val="en-GB"/>
        </w:rPr>
        <w:t>indel</w:t>
      </w:r>
      <w:proofErr w:type="spellEnd"/>
      <w:r w:rsidRPr="008175D5">
        <w:rPr>
          <w:color w:val="000000"/>
          <w:sz w:val="20"/>
          <w:szCs w:val="20"/>
          <w:shd w:val="clear" w:color="auto" w:fill="FFFFFF"/>
          <w:lang w:val="en-GB"/>
        </w:rPr>
        <w:t xml:space="preserve"> coding algorithm as implemented in </w:t>
      </w:r>
      <w:proofErr w:type="spellStart"/>
      <w:r w:rsidRPr="008175D5">
        <w:rPr>
          <w:color w:val="000000"/>
          <w:sz w:val="20"/>
          <w:szCs w:val="20"/>
          <w:shd w:val="clear" w:color="auto" w:fill="FFFFFF"/>
          <w:lang w:val="en-GB"/>
        </w:rPr>
        <w:t>FastGap</w:t>
      </w:r>
      <w:proofErr w:type="spellEnd"/>
      <w:r w:rsidRPr="008175D5">
        <w:rPr>
          <w:color w:val="000000"/>
          <w:sz w:val="20"/>
          <w:szCs w:val="20"/>
          <w:shd w:val="clear" w:color="auto" w:fill="FFFFFF"/>
          <w:lang w:val="en-GB"/>
        </w:rPr>
        <w:t xml:space="preserve"> </w:t>
      </w:r>
      <w:r>
        <w:rPr>
          <w:sz w:val="20"/>
          <w:szCs w:val="20"/>
          <w:lang w:val="en-GB"/>
        </w:rPr>
        <w:t>[</w:t>
      </w:r>
      <w:r w:rsidR="00B27D3C">
        <w:rPr>
          <w:sz w:val="20"/>
          <w:szCs w:val="20"/>
          <w:lang w:val="en-GB"/>
        </w:rPr>
        <w:t>14</w:t>
      </w:r>
      <w:r>
        <w:rPr>
          <w:sz w:val="20"/>
          <w:szCs w:val="20"/>
          <w:lang w:val="en-GB"/>
        </w:rPr>
        <w:t>]</w:t>
      </w:r>
      <w:r w:rsidRPr="008175D5">
        <w:rPr>
          <w:sz w:val="20"/>
          <w:szCs w:val="20"/>
          <w:lang w:val="en-GB"/>
        </w:rPr>
        <w:t xml:space="preserve"> that converts gaps to a matrix of binary </w:t>
      </w:r>
      <w:r w:rsidRPr="008175D5">
        <w:rPr>
          <w:color w:val="000000"/>
          <w:sz w:val="20"/>
          <w:szCs w:val="20"/>
          <w:shd w:val="clear" w:color="auto" w:fill="FFFFFF"/>
          <w:lang w:val="en-GB"/>
        </w:rPr>
        <w:t>presence/absence character state, which was implemented in the nexus in</w:t>
      </w:r>
      <w:r w:rsidR="00DA7238">
        <w:rPr>
          <w:color w:val="000000"/>
          <w:sz w:val="20"/>
          <w:szCs w:val="20"/>
          <w:shd w:val="clear" w:color="auto" w:fill="FFFFFF"/>
          <w:lang w:val="en-GB"/>
        </w:rPr>
        <w:t xml:space="preserve">put </w:t>
      </w:r>
      <w:r w:rsidRPr="008175D5">
        <w:rPr>
          <w:color w:val="000000"/>
          <w:sz w:val="20"/>
          <w:szCs w:val="20"/>
          <w:shd w:val="clear" w:color="auto" w:fill="FFFFFF"/>
          <w:lang w:val="en-GB"/>
        </w:rPr>
        <w:t xml:space="preserve">file for further analyses. </w:t>
      </w:r>
      <w:r w:rsidRPr="008175D5">
        <w:rPr>
          <w:sz w:val="20"/>
          <w:szCs w:val="20"/>
          <w:lang w:val="en-GB"/>
        </w:rPr>
        <w:t>Two separate runs with four MMCM chains were performed for 3</w:t>
      </w:r>
      <w:r>
        <w:rPr>
          <w:sz w:val="20"/>
          <w:szCs w:val="20"/>
          <w:lang w:val="en-GB"/>
        </w:rPr>
        <w:t>,</w:t>
      </w:r>
      <w:r w:rsidRPr="008175D5">
        <w:rPr>
          <w:sz w:val="20"/>
          <w:szCs w:val="20"/>
          <w:lang w:val="en-GB"/>
        </w:rPr>
        <w:t>000</w:t>
      </w:r>
      <w:r>
        <w:rPr>
          <w:sz w:val="20"/>
          <w:szCs w:val="20"/>
          <w:lang w:val="en-GB"/>
        </w:rPr>
        <w:t>,</w:t>
      </w:r>
      <w:r w:rsidRPr="008175D5">
        <w:rPr>
          <w:sz w:val="20"/>
          <w:szCs w:val="20"/>
          <w:lang w:val="en-GB"/>
        </w:rPr>
        <w:t>000 generations, and trees were sampled every 100 generations. After che</w:t>
      </w:r>
      <w:r w:rsidR="00DA7238">
        <w:rPr>
          <w:sz w:val="20"/>
          <w:szCs w:val="20"/>
          <w:lang w:val="en-GB"/>
        </w:rPr>
        <w:t>c</w:t>
      </w:r>
      <w:r w:rsidRPr="008175D5">
        <w:rPr>
          <w:sz w:val="20"/>
          <w:szCs w:val="20"/>
          <w:lang w:val="en-GB"/>
        </w:rPr>
        <w:t xml:space="preserve">king diagnostic parameters of convergence, the first 25% of sampled trees were eliminated as burn-in and a 50% majority-rule consensus tree was constructed, with nodal values representing the posterior probabilities. </w:t>
      </w:r>
    </w:p>
    <w:p w14:paraId="7D10AFC2" w14:textId="5295997B" w:rsidR="00FB4ACF" w:rsidRDefault="00DB0878" w:rsidP="00C326ED">
      <w:pPr>
        <w:spacing w:after="0"/>
        <w:rPr>
          <w:sz w:val="20"/>
          <w:szCs w:val="20"/>
          <w:lang w:val="en-GB"/>
        </w:rPr>
      </w:pPr>
      <w:r w:rsidRPr="008175D5">
        <w:rPr>
          <w:sz w:val="20"/>
          <w:szCs w:val="20"/>
          <w:lang w:val="en-GB"/>
        </w:rPr>
        <w:t xml:space="preserve">All phylogenetic trees were visualised in </w:t>
      </w:r>
      <w:proofErr w:type="spellStart"/>
      <w:r w:rsidRPr="008175D5">
        <w:rPr>
          <w:sz w:val="20"/>
          <w:szCs w:val="20"/>
          <w:lang w:val="en-GB"/>
        </w:rPr>
        <w:t>FigTree</w:t>
      </w:r>
      <w:proofErr w:type="spellEnd"/>
      <w:r w:rsidRPr="008175D5">
        <w:rPr>
          <w:sz w:val="20"/>
          <w:szCs w:val="20"/>
          <w:lang w:val="en-GB"/>
        </w:rPr>
        <w:t xml:space="preserve"> </w:t>
      </w:r>
      <w:r w:rsidRPr="00020D1A">
        <w:rPr>
          <w:sz w:val="20"/>
          <w:szCs w:val="20"/>
          <w:lang w:val="en-GB"/>
        </w:rPr>
        <w:t xml:space="preserve">v1.4.4 </w:t>
      </w:r>
      <w:r>
        <w:rPr>
          <w:sz w:val="20"/>
          <w:szCs w:val="20"/>
          <w:lang w:val="en-GB"/>
        </w:rPr>
        <w:t>[</w:t>
      </w:r>
      <w:r w:rsidR="00B27D3C">
        <w:rPr>
          <w:sz w:val="20"/>
          <w:szCs w:val="20"/>
          <w:lang w:val="en-GB"/>
        </w:rPr>
        <w:t>15</w:t>
      </w:r>
      <w:r>
        <w:rPr>
          <w:sz w:val="20"/>
          <w:szCs w:val="20"/>
          <w:lang w:val="en-GB"/>
        </w:rPr>
        <w:t>]</w:t>
      </w:r>
      <w:r w:rsidRPr="00020D1A">
        <w:rPr>
          <w:sz w:val="20"/>
          <w:szCs w:val="20"/>
          <w:lang w:val="en-GB"/>
        </w:rPr>
        <w:t>.</w:t>
      </w:r>
    </w:p>
    <w:p w14:paraId="13ADD08B" w14:textId="77777777" w:rsidR="00C326ED" w:rsidRDefault="00C326ED" w:rsidP="00C326ED">
      <w:pPr>
        <w:spacing w:after="0"/>
        <w:rPr>
          <w:sz w:val="20"/>
          <w:szCs w:val="20"/>
          <w:lang w:val="en-GB"/>
        </w:rPr>
      </w:pPr>
    </w:p>
    <w:p w14:paraId="68A268D9" w14:textId="63EAFE87" w:rsidR="00CD4A3D" w:rsidRPr="00E10522" w:rsidRDefault="00CD4A3D" w:rsidP="00C326ED">
      <w:pPr>
        <w:spacing w:after="0"/>
        <w:rPr>
          <w:b/>
          <w:noProof/>
          <w:sz w:val="20"/>
          <w:szCs w:val="20"/>
          <w:lang w:val="en-GB"/>
        </w:rPr>
      </w:pPr>
      <w:r w:rsidRPr="00E10522">
        <w:rPr>
          <w:b/>
          <w:noProof/>
          <w:sz w:val="20"/>
          <w:szCs w:val="20"/>
          <w:lang w:val="en-GB"/>
        </w:rPr>
        <w:t>Time of divergence</w:t>
      </w:r>
    </w:p>
    <w:p w14:paraId="4933600D" w14:textId="6004CC0C" w:rsidR="00CD4A3D" w:rsidRDefault="00CD4A3D" w:rsidP="00C326ED">
      <w:pPr>
        <w:spacing w:after="0"/>
        <w:rPr>
          <w:sz w:val="20"/>
          <w:szCs w:val="20"/>
          <w:lang w:val="en-GB"/>
        </w:rPr>
      </w:pPr>
      <w:r w:rsidRPr="008175D5">
        <w:rPr>
          <w:sz w:val="20"/>
          <w:szCs w:val="20"/>
          <w:lang w:val="en-GB"/>
        </w:rPr>
        <w:t xml:space="preserve">The molecular clock tests were performed using the ML method in MEGA X by comparing the ML value for the given topology with and without the molecular clock constraints under HKY+G+I (for </w:t>
      </w:r>
      <w:r w:rsidRPr="008175D5">
        <w:rPr>
          <w:i/>
          <w:sz w:val="20"/>
          <w:szCs w:val="20"/>
          <w:lang w:val="en-GB"/>
        </w:rPr>
        <w:t>COI</w:t>
      </w:r>
      <w:r w:rsidRPr="008175D5">
        <w:rPr>
          <w:sz w:val="20"/>
          <w:szCs w:val="20"/>
          <w:lang w:val="en-GB"/>
        </w:rPr>
        <w:t xml:space="preserve"> data set) and HKY+G (for </w:t>
      </w:r>
      <w:r w:rsidRPr="008175D5">
        <w:rPr>
          <w:i/>
          <w:sz w:val="20"/>
          <w:szCs w:val="20"/>
          <w:lang w:val="en-GB"/>
        </w:rPr>
        <w:t>16S</w:t>
      </w:r>
      <w:r w:rsidRPr="008175D5">
        <w:rPr>
          <w:sz w:val="20"/>
          <w:szCs w:val="20"/>
          <w:lang w:val="en-GB"/>
        </w:rPr>
        <w:t xml:space="preserve"> </w:t>
      </w:r>
      <w:proofErr w:type="spellStart"/>
      <w:r w:rsidRPr="008175D5">
        <w:rPr>
          <w:sz w:val="20"/>
          <w:szCs w:val="20"/>
          <w:lang w:val="en-GB"/>
        </w:rPr>
        <w:t>rRNA</w:t>
      </w:r>
      <w:proofErr w:type="spellEnd"/>
      <w:r w:rsidRPr="008175D5">
        <w:rPr>
          <w:sz w:val="20"/>
          <w:szCs w:val="20"/>
          <w:lang w:val="en-GB"/>
        </w:rPr>
        <w:t xml:space="preserve"> data set) models. The null hypothesis of equal evolutionary rate throughout the tre</w:t>
      </w:r>
      <w:r>
        <w:rPr>
          <w:sz w:val="20"/>
          <w:szCs w:val="20"/>
          <w:lang w:val="en-GB"/>
        </w:rPr>
        <w:t>e was rejected at a 5</w:t>
      </w:r>
      <w:r w:rsidRPr="008175D5">
        <w:rPr>
          <w:sz w:val="20"/>
          <w:szCs w:val="20"/>
          <w:lang w:val="en-GB"/>
        </w:rPr>
        <w:t xml:space="preserve">% significance level; </w:t>
      </w:r>
      <w:r w:rsidRPr="00563B19">
        <w:rPr>
          <w:sz w:val="20"/>
          <w:szCs w:val="20"/>
          <w:lang w:val="en-GB"/>
        </w:rPr>
        <w:t>therefore, clock model was set as relaxed with an uncorrelated lognormal distribution for all tree calibrations</w:t>
      </w:r>
      <w:r w:rsidR="00563B19">
        <w:rPr>
          <w:sz w:val="20"/>
          <w:szCs w:val="20"/>
          <w:lang w:val="en-GB"/>
        </w:rPr>
        <w:t>. The likelihood of the Yule versus</w:t>
      </w:r>
      <w:r w:rsidRPr="00563B19">
        <w:rPr>
          <w:sz w:val="20"/>
          <w:szCs w:val="20"/>
          <w:lang w:val="en-GB"/>
        </w:rPr>
        <w:t xml:space="preserve"> </w:t>
      </w:r>
      <w:r w:rsidR="008B232B">
        <w:rPr>
          <w:sz w:val="20"/>
          <w:szCs w:val="20"/>
          <w:lang w:val="en-GB"/>
        </w:rPr>
        <w:t xml:space="preserve">the </w:t>
      </w:r>
      <w:r w:rsidR="00563B19">
        <w:rPr>
          <w:sz w:val="20"/>
          <w:szCs w:val="20"/>
          <w:lang w:val="en-GB"/>
        </w:rPr>
        <w:t xml:space="preserve">birth-death </w:t>
      </w:r>
      <w:r w:rsidR="00563B19" w:rsidRPr="00563B19">
        <w:rPr>
          <w:sz w:val="20"/>
          <w:szCs w:val="20"/>
          <w:lang w:val="en-GB"/>
        </w:rPr>
        <w:t>model</w:t>
      </w:r>
      <w:r w:rsidR="00563B19">
        <w:rPr>
          <w:sz w:val="20"/>
          <w:szCs w:val="20"/>
          <w:lang w:val="en-GB"/>
        </w:rPr>
        <w:t xml:space="preserve"> was estimated with path sampling </w:t>
      </w:r>
      <w:r w:rsidR="00AE1833" w:rsidRPr="00AE1833">
        <w:rPr>
          <w:sz w:val="20"/>
          <w:szCs w:val="20"/>
          <w:lang w:val="en-GB"/>
        </w:rPr>
        <w:t>[</w:t>
      </w:r>
      <w:r w:rsidR="00AE1833">
        <w:rPr>
          <w:sz w:val="20"/>
          <w:szCs w:val="20"/>
          <w:lang w:val="en-GB"/>
        </w:rPr>
        <w:t>21</w:t>
      </w:r>
      <w:r w:rsidR="00AE1833" w:rsidRPr="00AE1833">
        <w:rPr>
          <w:sz w:val="20"/>
          <w:szCs w:val="20"/>
          <w:lang w:val="en-GB"/>
        </w:rPr>
        <w:t>]</w:t>
      </w:r>
      <w:r w:rsidR="00563B19">
        <w:rPr>
          <w:sz w:val="20"/>
          <w:szCs w:val="20"/>
          <w:lang w:val="en-GB"/>
        </w:rPr>
        <w:t xml:space="preserve">. </w:t>
      </w:r>
      <w:r w:rsidR="00B82F88">
        <w:rPr>
          <w:sz w:val="20"/>
          <w:szCs w:val="20"/>
          <w:lang w:val="en-GB"/>
        </w:rPr>
        <w:t xml:space="preserve">The tree </w:t>
      </w:r>
      <w:r w:rsidR="00B82F88" w:rsidRPr="00563B19">
        <w:rPr>
          <w:sz w:val="20"/>
          <w:szCs w:val="20"/>
          <w:lang w:val="en-GB"/>
        </w:rPr>
        <w:t xml:space="preserve">prior was set </w:t>
      </w:r>
      <w:r w:rsidR="00B82F88">
        <w:rPr>
          <w:sz w:val="20"/>
          <w:szCs w:val="20"/>
          <w:lang w:val="en-GB"/>
        </w:rPr>
        <w:t>as the birth-death since c</w:t>
      </w:r>
      <w:r w:rsidR="00563B19">
        <w:rPr>
          <w:sz w:val="20"/>
          <w:szCs w:val="20"/>
          <w:lang w:val="en-GB"/>
        </w:rPr>
        <w:t xml:space="preserve">omparison between Bayes factors (BF) favoured </w:t>
      </w:r>
      <w:r w:rsidR="00B82F88">
        <w:rPr>
          <w:sz w:val="20"/>
          <w:szCs w:val="20"/>
          <w:lang w:val="en-GB"/>
        </w:rPr>
        <w:t>this model</w:t>
      </w:r>
      <w:r w:rsidR="00B608D5">
        <w:rPr>
          <w:sz w:val="20"/>
          <w:szCs w:val="20"/>
          <w:lang w:val="en-GB"/>
        </w:rPr>
        <w:t xml:space="preserve"> over Yule model (</w:t>
      </w:r>
      <w:r w:rsidR="00563B19">
        <w:rPr>
          <w:sz w:val="20"/>
          <w:szCs w:val="20"/>
          <w:lang w:val="en-GB"/>
        </w:rPr>
        <w:t>2lnBF</w:t>
      </w:r>
      <w:r w:rsidR="004302DE">
        <w:rPr>
          <w:sz w:val="20"/>
          <w:szCs w:val="20"/>
          <w:lang w:val="en-GB"/>
        </w:rPr>
        <w:t xml:space="preserve"> </w:t>
      </w:r>
      <w:r w:rsidR="00B608D5">
        <w:rPr>
          <w:sz w:val="20"/>
          <w:szCs w:val="20"/>
          <w:lang w:val="en-GB"/>
        </w:rPr>
        <w:t>=</w:t>
      </w:r>
      <w:r w:rsidR="004302DE">
        <w:rPr>
          <w:sz w:val="20"/>
          <w:szCs w:val="20"/>
          <w:lang w:val="en-GB"/>
        </w:rPr>
        <w:t xml:space="preserve"> </w:t>
      </w:r>
      <w:r w:rsidR="00B608D5">
        <w:rPr>
          <w:sz w:val="20"/>
          <w:szCs w:val="20"/>
          <w:lang w:val="en-GB"/>
        </w:rPr>
        <w:t>11</w:t>
      </w:r>
      <w:r w:rsidR="007601C8">
        <w:rPr>
          <w:sz w:val="20"/>
          <w:szCs w:val="20"/>
          <w:lang w:val="en-GB"/>
        </w:rPr>
        <w:t>2</w:t>
      </w:r>
      <w:r w:rsidR="00B608D5">
        <w:rPr>
          <w:sz w:val="20"/>
          <w:szCs w:val="20"/>
          <w:lang w:val="en-GB"/>
        </w:rPr>
        <w:t>)</w:t>
      </w:r>
      <w:r w:rsidRPr="00563B19">
        <w:rPr>
          <w:sz w:val="20"/>
          <w:szCs w:val="20"/>
          <w:lang w:val="en-GB"/>
        </w:rPr>
        <w:t>. Independent substitution</w:t>
      </w:r>
      <w:r w:rsidRPr="008175D5">
        <w:rPr>
          <w:sz w:val="20"/>
          <w:szCs w:val="20"/>
          <w:lang w:val="en-GB"/>
        </w:rPr>
        <w:t xml:space="preserve"> models were assigned to each </w:t>
      </w:r>
      <w:proofErr w:type="spellStart"/>
      <w:r w:rsidRPr="008175D5">
        <w:rPr>
          <w:sz w:val="20"/>
          <w:szCs w:val="20"/>
          <w:lang w:val="en-GB"/>
        </w:rPr>
        <w:t>mtDNA</w:t>
      </w:r>
      <w:proofErr w:type="spellEnd"/>
      <w:r w:rsidRPr="008175D5">
        <w:rPr>
          <w:sz w:val="20"/>
          <w:szCs w:val="20"/>
          <w:lang w:val="en-GB"/>
        </w:rPr>
        <w:t xml:space="preserve"> gene. </w:t>
      </w:r>
      <w:r>
        <w:rPr>
          <w:sz w:val="20"/>
          <w:szCs w:val="20"/>
          <w:lang w:val="en-GB"/>
        </w:rPr>
        <w:t>Both m</w:t>
      </w:r>
      <w:r w:rsidRPr="008175D5">
        <w:rPr>
          <w:sz w:val="20"/>
          <w:szCs w:val="20"/>
          <w:lang w:val="en-GB"/>
        </w:rPr>
        <w:t xml:space="preserve">olecular </w:t>
      </w:r>
      <w:r>
        <w:rPr>
          <w:sz w:val="20"/>
          <w:szCs w:val="20"/>
          <w:lang w:val="en-GB"/>
        </w:rPr>
        <w:t xml:space="preserve">and geological </w:t>
      </w:r>
      <w:r w:rsidRPr="008175D5">
        <w:rPr>
          <w:sz w:val="20"/>
          <w:szCs w:val="20"/>
          <w:lang w:val="en-GB"/>
        </w:rPr>
        <w:t xml:space="preserve">calibrations were run for </w:t>
      </w:r>
      <w:r>
        <w:rPr>
          <w:sz w:val="20"/>
          <w:szCs w:val="20"/>
          <w:lang w:val="en-GB"/>
        </w:rPr>
        <w:t>1</w:t>
      </w:r>
      <w:r w:rsidR="00135D44">
        <w:rPr>
          <w:sz w:val="20"/>
          <w:szCs w:val="20"/>
          <w:lang w:val="en-GB"/>
        </w:rPr>
        <w:t>5</w:t>
      </w:r>
      <w:r w:rsidRPr="008175D5">
        <w:rPr>
          <w:sz w:val="20"/>
          <w:szCs w:val="20"/>
          <w:lang w:val="en-GB"/>
        </w:rPr>
        <w:t>0</w:t>
      </w:r>
      <w:r>
        <w:rPr>
          <w:sz w:val="20"/>
          <w:szCs w:val="20"/>
          <w:lang w:val="en-GB"/>
        </w:rPr>
        <w:t>,</w:t>
      </w:r>
      <w:r w:rsidRPr="008175D5">
        <w:rPr>
          <w:sz w:val="20"/>
          <w:szCs w:val="20"/>
          <w:lang w:val="en-GB"/>
        </w:rPr>
        <w:t>000</w:t>
      </w:r>
      <w:r>
        <w:rPr>
          <w:sz w:val="20"/>
          <w:szCs w:val="20"/>
          <w:lang w:val="en-GB"/>
        </w:rPr>
        <w:t>,</w:t>
      </w:r>
      <w:r w:rsidRPr="008175D5">
        <w:rPr>
          <w:sz w:val="20"/>
          <w:szCs w:val="20"/>
          <w:lang w:val="en-GB"/>
        </w:rPr>
        <w:t xml:space="preserve">000 generations. The generated trace files were analysed to check the convergence using Tracer v1.6 </w:t>
      </w:r>
      <w:r>
        <w:rPr>
          <w:sz w:val="20"/>
          <w:szCs w:val="20"/>
          <w:lang w:val="en-GB"/>
        </w:rPr>
        <w:t>[</w:t>
      </w:r>
      <w:r w:rsidR="0095369C">
        <w:rPr>
          <w:sz w:val="20"/>
          <w:szCs w:val="20"/>
          <w:lang w:val="en-GB"/>
        </w:rPr>
        <w:t>13</w:t>
      </w:r>
      <w:r>
        <w:rPr>
          <w:sz w:val="20"/>
          <w:szCs w:val="20"/>
          <w:lang w:val="en-GB"/>
        </w:rPr>
        <w:t>]</w:t>
      </w:r>
      <w:r w:rsidRPr="008175D5">
        <w:rPr>
          <w:sz w:val="20"/>
          <w:szCs w:val="20"/>
          <w:lang w:val="en-GB"/>
        </w:rPr>
        <w:t xml:space="preserve">, 25% of the sampled trees were subsequently discarded as burn-in and the consensus tree was produced in </w:t>
      </w:r>
      <w:proofErr w:type="spellStart"/>
      <w:r w:rsidRPr="008175D5">
        <w:rPr>
          <w:sz w:val="20"/>
          <w:szCs w:val="20"/>
          <w:lang w:val="en-GB"/>
        </w:rPr>
        <w:t>TreeAnnotator</w:t>
      </w:r>
      <w:proofErr w:type="spellEnd"/>
      <w:r w:rsidRPr="008175D5">
        <w:rPr>
          <w:sz w:val="20"/>
          <w:szCs w:val="20"/>
          <w:lang w:val="en-GB"/>
        </w:rPr>
        <w:t xml:space="preserve"> v2.5.2 </w:t>
      </w:r>
      <w:r>
        <w:rPr>
          <w:sz w:val="20"/>
          <w:szCs w:val="20"/>
          <w:lang w:val="en-GB"/>
        </w:rPr>
        <w:t>[</w:t>
      </w:r>
      <w:r w:rsidR="0095369C">
        <w:rPr>
          <w:noProof/>
          <w:sz w:val="20"/>
          <w:szCs w:val="20"/>
        </w:rPr>
        <w:t>132</w:t>
      </w:r>
      <w:r w:rsidR="00D107B0">
        <w:rPr>
          <w:noProof/>
          <w:sz w:val="20"/>
          <w:szCs w:val="20"/>
        </w:rPr>
        <w:t>-main reference list</w:t>
      </w:r>
      <w:r>
        <w:rPr>
          <w:sz w:val="20"/>
          <w:szCs w:val="20"/>
          <w:lang w:val="en-GB"/>
        </w:rPr>
        <w:t>]</w:t>
      </w:r>
      <w:r w:rsidRPr="008175D5">
        <w:rPr>
          <w:sz w:val="20"/>
          <w:szCs w:val="20"/>
          <w:lang w:val="en-GB"/>
        </w:rPr>
        <w:t>.</w:t>
      </w:r>
    </w:p>
    <w:p w14:paraId="3397E0A2" w14:textId="77777777" w:rsidR="00C326ED" w:rsidRPr="00FD55C5" w:rsidRDefault="00C326ED" w:rsidP="00C326ED">
      <w:pPr>
        <w:spacing w:after="0"/>
        <w:rPr>
          <w:sz w:val="20"/>
          <w:szCs w:val="20"/>
          <w:lang w:val="en-GB"/>
        </w:rPr>
      </w:pPr>
    </w:p>
    <w:p w14:paraId="78F7AC6A" w14:textId="2B5417A7" w:rsidR="00060156" w:rsidRPr="001F69AD" w:rsidRDefault="00060156" w:rsidP="00C326ED">
      <w:pPr>
        <w:spacing w:after="0"/>
        <w:rPr>
          <w:b/>
          <w:noProof/>
          <w:sz w:val="20"/>
          <w:szCs w:val="20"/>
          <w:lang w:val="en-GB"/>
        </w:rPr>
      </w:pPr>
      <w:r w:rsidRPr="001F69AD">
        <w:rPr>
          <w:b/>
          <w:noProof/>
          <w:sz w:val="20"/>
          <w:szCs w:val="20"/>
          <w:lang w:val="en-GB"/>
        </w:rPr>
        <w:t>Species delimitation</w:t>
      </w:r>
      <w:r w:rsidR="00E74C08">
        <w:rPr>
          <w:b/>
          <w:noProof/>
          <w:sz w:val="20"/>
          <w:szCs w:val="20"/>
          <w:lang w:val="en-GB"/>
        </w:rPr>
        <w:t xml:space="preserve"> and validation</w:t>
      </w:r>
    </w:p>
    <w:p w14:paraId="509E453C" w14:textId="22AE87E4" w:rsidR="00072961" w:rsidRDefault="007C048B" w:rsidP="00C326ED">
      <w:pPr>
        <w:spacing w:after="0"/>
        <w:rPr>
          <w:noProof/>
          <w:sz w:val="20"/>
          <w:szCs w:val="20"/>
          <w:lang w:val="en-GB"/>
        </w:rPr>
      </w:pPr>
      <w:r>
        <w:rPr>
          <w:noProof/>
          <w:sz w:val="20"/>
          <w:szCs w:val="20"/>
          <w:lang w:val="en-GB"/>
        </w:rPr>
        <w:t xml:space="preserve">The input tree for GMYC and </w:t>
      </w:r>
      <w:r w:rsidR="00060156" w:rsidRPr="001F69AD">
        <w:rPr>
          <w:noProof/>
          <w:sz w:val="20"/>
          <w:szCs w:val="20"/>
          <w:lang w:val="en-GB"/>
        </w:rPr>
        <w:t>PTP was constructed using BEAST 2.5.2. with an input file generated in BEAUti a</w:t>
      </w:r>
      <w:r w:rsidR="00E13E97" w:rsidRPr="001F69AD">
        <w:rPr>
          <w:noProof/>
          <w:sz w:val="20"/>
          <w:szCs w:val="20"/>
          <w:lang w:val="en-GB"/>
        </w:rPr>
        <w:t>s recommended in other studies</w:t>
      </w:r>
      <w:r w:rsidR="00752598" w:rsidRPr="001F69AD">
        <w:rPr>
          <w:noProof/>
          <w:sz w:val="20"/>
          <w:szCs w:val="20"/>
          <w:lang w:val="en-GB"/>
        </w:rPr>
        <w:t xml:space="preserve"> [</w:t>
      </w:r>
      <w:r w:rsidR="00D3596B">
        <w:rPr>
          <w:noProof/>
          <w:sz w:val="20"/>
          <w:szCs w:val="20"/>
          <w:lang w:val="en-GB"/>
        </w:rPr>
        <w:t>16</w:t>
      </w:r>
      <w:r w:rsidR="00752598" w:rsidRPr="001F69AD">
        <w:rPr>
          <w:noProof/>
          <w:sz w:val="20"/>
          <w:szCs w:val="20"/>
          <w:lang w:val="en-GB"/>
        </w:rPr>
        <w:t xml:space="preserve">, </w:t>
      </w:r>
      <w:r w:rsidR="00D3596B">
        <w:rPr>
          <w:noProof/>
          <w:sz w:val="20"/>
          <w:szCs w:val="20"/>
          <w:lang w:val="en-GB"/>
        </w:rPr>
        <w:t>17</w:t>
      </w:r>
      <w:r w:rsidR="00752598" w:rsidRPr="001F69AD">
        <w:rPr>
          <w:noProof/>
          <w:sz w:val="20"/>
          <w:szCs w:val="20"/>
          <w:lang w:val="en-GB"/>
        </w:rPr>
        <w:t>]</w:t>
      </w:r>
      <w:r w:rsidR="00060156" w:rsidRPr="001F69AD">
        <w:rPr>
          <w:noProof/>
          <w:sz w:val="20"/>
          <w:szCs w:val="20"/>
          <w:lang w:val="en-GB"/>
        </w:rPr>
        <w:t>. BEAST analysis was run for 50</w:t>
      </w:r>
      <w:r w:rsidR="00E13B86">
        <w:rPr>
          <w:noProof/>
          <w:sz w:val="20"/>
          <w:szCs w:val="20"/>
          <w:lang w:val="en-GB"/>
        </w:rPr>
        <w:t>,</w:t>
      </w:r>
      <w:r w:rsidR="00060156" w:rsidRPr="001F69AD">
        <w:rPr>
          <w:noProof/>
          <w:sz w:val="20"/>
          <w:szCs w:val="20"/>
          <w:lang w:val="en-GB"/>
        </w:rPr>
        <w:t>000</w:t>
      </w:r>
      <w:r w:rsidR="00E13B86">
        <w:rPr>
          <w:noProof/>
          <w:sz w:val="20"/>
          <w:szCs w:val="20"/>
          <w:lang w:val="en-GB"/>
        </w:rPr>
        <w:t>,</w:t>
      </w:r>
      <w:r w:rsidR="00060156" w:rsidRPr="001F69AD">
        <w:rPr>
          <w:noProof/>
          <w:sz w:val="20"/>
          <w:szCs w:val="20"/>
          <w:lang w:val="en-GB"/>
        </w:rPr>
        <w:t xml:space="preserve">000 generations using the using Coalescence tree prior and a relaxed molecular clock with an uncorrelated log-normal distribution. </w:t>
      </w:r>
      <w:r w:rsidR="00060156" w:rsidRPr="00FC6B65">
        <w:rPr>
          <w:noProof/>
          <w:sz w:val="20"/>
          <w:szCs w:val="20"/>
          <w:lang w:val="en-GB"/>
        </w:rPr>
        <w:t>We used the coalescence tree prior because it is considered to be a more adequate option and appears to fit better the majority of the data sets in model comparisons than the Yule prior which results</w:t>
      </w:r>
      <w:r w:rsidR="00E13E97" w:rsidRPr="00FC6B65">
        <w:rPr>
          <w:noProof/>
          <w:sz w:val="20"/>
          <w:szCs w:val="20"/>
          <w:lang w:val="en-GB"/>
        </w:rPr>
        <w:t xml:space="preserve"> in greater number of entities</w:t>
      </w:r>
      <w:r w:rsidR="00E13E97" w:rsidRPr="001F69AD">
        <w:rPr>
          <w:noProof/>
          <w:sz w:val="20"/>
          <w:szCs w:val="20"/>
          <w:lang w:val="en-GB"/>
        </w:rPr>
        <w:t xml:space="preserve"> </w:t>
      </w:r>
      <w:r w:rsidR="00752598" w:rsidRPr="001F69AD">
        <w:rPr>
          <w:noProof/>
          <w:sz w:val="20"/>
          <w:szCs w:val="20"/>
          <w:lang w:val="en-GB"/>
        </w:rPr>
        <w:t>[</w:t>
      </w:r>
      <w:r w:rsidR="00AE0D71">
        <w:rPr>
          <w:noProof/>
          <w:sz w:val="20"/>
          <w:szCs w:val="20"/>
          <w:lang w:val="en-GB"/>
        </w:rPr>
        <w:t>16</w:t>
      </w:r>
      <w:r w:rsidR="00752598" w:rsidRPr="001F69AD">
        <w:rPr>
          <w:noProof/>
          <w:sz w:val="20"/>
          <w:szCs w:val="20"/>
          <w:lang w:val="en-GB"/>
        </w:rPr>
        <w:t>,</w:t>
      </w:r>
      <w:r w:rsidR="009E63AB">
        <w:rPr>
          <w:noProof/>
          <w:sz w:val="20"/>
          <w:szCs w:val="20"/>
          <w:lang w:val="en-GB"/>
        </w:rPr>
        <w:t>18</w:t>
      </w:r>
      <w:r w:rsidR="00752598" w:rsidRPr="001F69AD">
        <w:rPr>
          <w:noProof/>
          <w:sz w:val="20"/>
          <w:szCs w:val="20"/>
          <w:lang w:val="en-GB"/>
        </w:rPr>
        <w:t>].</w:t>
      </w:r>
      <w:r w:rsidR="00060156" w:rsidRPr="001F69AD">
        <w:rPr>
          <w:noProof/>
          <w:sz w:val="20"/>
          <w:szCs w:val="20"/>
          <w:lang w:val="en-GB"/>
        </w:rPr>
        <w:t xml:space="preserve"> The substitution model HKY+I+G was assigned to the </w:t>
      </w:r>
      <w:r w:rsidR="00060156" w:rsidRPr="001F69AD">
        <w:rPr>
          <w:i/>
          <w:noProof/>
          <w:sz w:val="20"/>
          <w:szCs w:val="20"/>
          <w:lang w:val="en-GB"/>
        </w:rPr>
        <w:t>COI</w:t>
      </w:r>
      <w:r w:rsidR="00060156" w:rsidRPr="001F69AD">
        <w:rPr>
          <w:noProof/>
          <w:sz w:val="20"/>
          <w:szCs w:val="20"/>
          <w:lang w:val="en-GB"/>
        </w:rPr>
        <w:t xml:space="preserve"> datasets and the substitution rate for </w:t>
      </w:r>
      <w:r w:rsidR="00060156" w:rsidRPr="00AB3211">
        <w:rPr>
          <w:i/>
          <w:noProof/>
          <w:sz w:val="20"/>
          <w:szCs w:val="20"/>
          <w:lang w:val="en-GB"/>
        </w:rPr>
        <w:t>COI</w:t>
      </w:r>
      <w:r w:rsidR="00060156" w:rsidRPr="001F69AD">
        <w:rPr>
          <w:noProof/>
          <w:sz w:val="20"/>
          <w:szCs w:val="20"/>
          <w:lang w:val="en-GB"/>
        </w:rPr>
        <w:t xml:space="preserve"> was set to 0.0115 subs/s/my/l. Species</w:t>
      </w:r>
      <w:r w:rsidR="00060156" w:rsidRPr="001F69AD">
        <w:rPr>
          <w:i/>
          <w:noProof/>
          <w:sz w:val="20"/>
          <w:szCs w:val="20"/>
          <w:lang w:val="en-GB"/>
        </w:rPr>
        <w:t xml:space="preserve"> </w:t>
      </w:r>
      <w:r w:rsidR="00F91F1A" w:rsidRPr="001F69AD">
        <w:rPr>
          <w:i/>
          <w:noProof/>
          <w:sz w:val="20"/>
          <w:szCs w:val="20"/>
          <w:lang w:val="en-GB"/>
        </w:rPr>
        <w:t>Pontastacus</w:t>
      </w:r>
      <w:r w:rsidR="00060156" w:rsidRPr="001F69AD">
        <w:rPr>
          <w:i/>
          <w:noProof/>
          <w:sz w:val="20"/>
          <w:szCs w:val="20"/>
          <w:lang w:val="en-GB"/>
        </w:rPr>
        <w:t xml:space="preserve"> leptodactylus, Astacus astacus</w:t>
      </w:r>
      <w:r w:rsidR="00060156" w:rsidRPr="001F69AD">
        <w:rPr>
          <w:noProof/>
          <w:sz w:val="20"/>
          <w:szCs w:val="20"/>
          <w:lang w:val="en-GB"/>
        </w:rPr>
        <w:t xml:space="preserve"> and </w:t>
      </w:r>
      <w:r w:rsidR="00060156" w:rsidRPr="001F69AD">
        <w:rPr>
          <w:i/>
          <w:noProof/>
          <w:sz w:val="20"/>
          <w:szCs w:val="20"/>
          <w:lang w:val="en-GB"/>
        </w:rPr>
        <w:t>Austropotamobius pallipes</w:t>
      </w:r>
      <w:r w:rsidR="00060156" w:rsidRPr="001F69AD">
        <w:rPr>
          <w:noProof/>
          <w:sz w:val="20"/>
          <w:szCs w:val="20"/>
          <w:lang w:val="en-GB"/>
        </w:rPr>
        <w:t xml:space="preserve"> were used as outgroups, but were later excluded from GMYC analysis using the function </w:t>
      </w:r>
      <w:r w:rsidR="00060156" w:rsidRPr="001F69AD">
        <w:rPr>
          <w:i/>
          <w:noProof/>
          <w:sz w:val="20"/>
          <w:szCs w:val="20"/>
          <w:lang w:val="en-GB"/>
        </w:rPr>
        <w:t>drop.tip( )</w:t>
      </w:r>
      <w:r w:rsidR="00060156" w:rsidRPr="001F69AD">
        <w:rPr>
          <w:noProof/>
          <w:sz w:val="20"/>
          <w:szCs w:val="20"/>
          <w:lang w:val="en-GB"/>
        </w:rPr>
        <w:t xml:space="preserve"> from the package APE </w:t>
      </w:r>
      <w:r w:rsidR="00752598" w:rsidRPr="001F69AD">
        <w:rPr>
          <w:noProof/>
          <w:sz w:val="20"/>
          <w:szCs w:val="20"/>
          <w:lang w:val="en-GB"/>
        </w:rPr>
        <w:t>[</w:t>
      </w:r>
      <w:r w:rsidR="00AE0D71">
        <w:rPr>
          <w:noProof/>
          <w:sz w:val="20"/>
          <w:szCs w:val="20"/>
          <w:lang w:val="en-GB"/>
        </w:rPr>
        <w:t>19</w:t>
      </w:r>
      <w:r w:rsidR="00752598" w:rsidRPr="001F69AD">
        <w:rPr>
          <w:noProof/>
          <w:sz w:val="20"/>
          <w:szCs w:val="20"/>
          <w:lang w:val="en-GB"/>
        </w:rPr>
        <w:t>].</w:t>
      </w:r>
      <w:r w:rsidR="00E13E97" w:rsidRPr="001F69AD">
        <w:rPr>
          <w:noProof/>
          <w:sz w:val="20"/>
          <w:szCs w:val="20"/>
          <w:lang w:val="en-GB"/>
        </w:rPr>
        <w:t xml:space="preserve"> </w:t>
      </w:r>
      <w:r w:rsidR="00060156" w:rsidRPr="001F69AD">
        <w:rPr>
          <w:noProof/>
          <w:sz w:val="20"/>
          <w:szCs w:val="20"/>
          <w:lang w:val="en-GB"/>
        </w:rPr>
        <w:t>After checking the convergence with Tracer, a consensus tree was calculated and used as an input tree for further analyses.</w:t>
      </w:r>
      <w:r w:rsidR="00D21606" w:rsidRPr="001F69AD">
        <w:rPr>
          <w:noProof/>
          <w:sz w:val="20"/>
          <w:szCs w:val="20"/>
          <w:lang w:val="en-GB"/>
        </w:rPr>
        <w:t xml:space="preserve"> </w:t>
      </w:r>
      <w:r w:rsidR="00060156" w:rsidRPr="001F69AD">
        <w:rPr>
          <w:noProof/>
          <w:sz w:val="20"/>
          <w:szCs w:val="20"/>
          <w:lang w:val="en-GB"/>
        </w:rPr>
        <w:t>The same input tree was used for bPTP and mPTP. The bPTP method was run on the webserver at http://species.h-its.org, while mPTP method was perfomed on the web server at http://mptp.h-its.org/, both using default parameters and outgroups being removed</w:t>
      </w:r>
      <w:r w:rsidR="00D21606" w:rsidRPr="001F69AD">
        <w:rPr>
          <w:noProof/>
          <w:sz w:val="20"/>
          <w:szCs w:val="20"/>
          <w:lang w:val="en-GB"/>
        </w:rPr>
        <w:t>.</w:t>
      </w:r>
    </w:p>
    <w:p w14:paraId="0C9F3AB6" w14:textId="0D3A211D" w:rsidR="00E74C08" w:rsidRDefault="00E74C08" w:rsidP="00C326ED">
      <w:pPr>
        <w:spacing w:after="0"/>
        <w:rPr>
          <w:noProof/>
          <w:sz w:val="20"/>
          <w:szCs w:val="20"/>
          <w:lang w:val="en-GB"/>
        </w:rPr>
      </w:pPr>
      <w:r w:rsidRPr="008175D5">
        <w:rPr>
          <w:sz w:val="20"/>
          <w:szCs w:val="20"/>
          <w:lang w:val="en-GB"/>
        </w:rPr>
        <w:t>Chain length for nested sampling analysis was 200</w:t>
      </w:r>
      <w:r>
        <w:rPr>
          <w:sz w:val="20"/>
          <w:szCs w:val="20"/>
          <w:lang w:val="en-GB"/>
        </w:rPr>
        <w:t>,</w:t>
      </w:r>
      <w:r w:rsidRPr="008175D5">
        <w:rPr>
          <w:sz w:val="20"/>
          <w:szCs w:val="20"/>
          <w:lang w:val="en-GB"/>
        </w:rPr>
        <w:t>000, sub-chain length of 10</w:t>
      </w:r>
      <w:r>
        <w:rPr>
          <w:sz w:val="20"/>
          <w:szCs w:val="20"/>
          <w:lang w:val="en-GB"/>
        </w:rPr>
        <w:t>,</w:t>
      </w:r>
      <w:r w:rsidRPr="008175D5">
        <w:rPr>
          <w:sz w:val="20"/>
          <w:szCs w:val="20"/>
          <w:lang w:val="en-GB"/>
        </w:rPr>
        <w:t>000 and 20 particles with default value of epsilon (1</w:t>
      </w:r>
      <w:r w:rsidRPr="008175D5">
        <w:rPr>
          <w:sz w:val="20"/>
          <w:szCs w:val="20"/>
          <w:vertAlign w:val="superscript"/>
          <w:lang w:val="en-GB"/>
        </w:rPr>
        <w:t>-12</w:t>
      </w:r>
      <w:r w:rsidRPr="008175D5">
        <w:rPr>
          <w:sz w:val="20"/>
          <w:szCs w:val="20"/>
          <w:lang w:val="en-GB"/>
        </w:rPr>
        <w:t>). Bayesian factors (</w:t>
      </w:r>
      <w:r w:rsidRPr="004302DE">
        <w:rPr>
          <w:sz w:val="20"/>
          <w:szCs w:val="20"/>
          <w:lang w:val="en-GB"/>
        </w:rPr>
        <w:t>2ln</w:t>
      </w:r>
      <w:r w:rsidRPr="008175D5">
        <w:rPr>
          <w:sz w:val="20"/>
          <w:szCs w:val="20"/>
          <w:lang w:val="en-GB"/>
        </w:rPr>
        <w:t>B</w:t>
      </w:r>
      <w:r w:rsidR="004302DE">
        <w:rPr>
          <w:sz w:val="20"/>
          <w:szCs w:val="20"/>
          <w:lang w:val="en-GB"/>
        </w:rPr>
        <w:t>F</w:t>
      </w:r>
      <w:r w:rsidRPr="008175D5">
        <w:rPr>
          <w:sz w:val="20"/>
          <w:szCs w:val="20"/>
          <w:lang w:val="en-GB"/>
        </w:rPr>
        <w:t xml:space="preserve">s) between the two competing models were calculated as suggested by </w:t>
      </w:r>
      <w:proofErr w:type="spellStart"/>
      <w:r w:rsidRPr="008175D5">
        <w:rPr>
          <w:sz w:val="20"/>
          <w:szCs w:val="20"/>
          <w:lang w:val="en-GB"/>
        </w:rPr>
        <w:t>Kass</w:t>
      </w:r>
      <w:proofErr w:type="spellEnd"/>
      <w:r w:rsidRPr="008175D5">
        <w:rPr>
          <w:sz w:val="20"/>
          <w:szCs w:val="20"/>
          <w:lang w:val="en-GB"/>
        </w:rPr>
        <w:t xml:space="preserve"> and </w:t>
      </w:r>
      <w:proofErr w:type="spellStart"/>
      <w:r w:rsidRPr="008175D5">
        <w:rPr>
          <w:sz w:val="20"/>
          <w:szCs w:val="20"/>
          <w:lang w:val="en-GB"/>
        </w:rPr>
        <w:t>Raftery</w:t>
      </w:r>
      <w:proofErr w:type="spellEnd"/>
      <w:r w:rsidRPr="008175D5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[</w:t>
      </w:r>
      <w:r w:rsidR="00AA4160">
        <w:rPr>
          <w:sz w:val="20"/>
          <w:szCs w:val="20"/>
          <w:lang w:val="en-GB"/>
        </w:rPr>
        <w:t xml:space="preserve">147 </w:t>
      </w:r>
      <w:r w:rsidR="00AE0D71">
        <w:rPr>
          <w:sz w:val="20"/>
          <w:szCs w:val="20"/>
          <w:lang w:val="en-GB"/>
        </w:rPr>
        <w:t>– main reference list</w:t>
      </w:r>
      <w:r>
        <w:rPr>
          <w:sz w:val="20"/>
          <w:szCs w:val="20"/>
          <w:lang w:val="en-GB"/>
        </w:rPr>
        <w:t>]</w:t>
      </w:r>
      <w:r w:rsidRPr="008175D5">
        <w:rPr>
          <w:sz w:val="20"/>
          <w:szCs w:val="20"/>
          <w:lang w:val="en-GB"/>
        </w:rPr>
        <w:t>. A positive BF (</w:t>
      </w:r>
      <w:r w:rsidR="004302DE" w:rsidRPr="004302DE">
        <w:rPr>
          <w:sz w:val="20"/>
          <w:szCs w:val="20"/>
          <w:lang w:val="en-GB"/>
        </w:rPr>
        <w:t>2ln</w:t>
      </w:r>
      <w:r w:rsidRPr="008175D5">
        <w:rPr>
          <w:sz w:val="20"/>
          <w:szCs w:val="20"/>
          <w:lang w:val="en-GB"/>
        </w:rPr>
        <w:t>B</w:t>
      </w:r>
      <w:r w:rsidR="004302DE">
        <w:rPr>
          <w:sz w:val="20"/>
          <w:szCs w:val="20"/>
          <w:lang w:val="en-GB"/>
        </w:rPr>
        <w:t>F</w:t>
      </w:r>
      <w:r w:rsidRPr="008175D5">
        <w:rPr>
          <w:sz w:val="20"/>
          <w:szCs w:val="20"/>
          <w:lang w:val="en-GB"/>
        </w:rPr>
        <w:t>s) values reflect evidence in favo</w:t>
      </w:r>
      <w:r w:rsidR="00AB3211">
        <w:rPr>
          <w:sz w:val="20"/>
          <w:szCs w:val="20"/>
          <w:lang w:val="en-GB"/>
        </w:rPr>
        <w:t>u</w:t>
      </w:r>
      <w:r w:rsidRPr="008175D5">
        <w:rPr>
          <w:sz w:val="20"/>
          <w:szCs w:val="20"/>
          <w:lang w:val="en-GB"/>
        </w:rPr>
        <w:t>r of the first model, to which the second model is compared, whereas negative BF values are considered as evidence favo</w:t>
      </w:r>
      <w:r w:rsidR="00AB3211">
        <w:rPr>
          <w:sz w:val="20"/>
          <w:szCs w:val="20"/>
          <w:lang w:val="en-GB"/>
        </w:rPr>
        <w:t>u</w:t>
      </w:r>
      <w:r w:rsidRPr="008175D5">
        <w:rPr>
          <w:sz w:val="20"/>
          <w:szCs w:val="20"/>
          <w:lang w:val="en-GB"/>
        </w:rPr>
        <w:t>ring the second model. Values above 10 (</w:t>
      </w:r>
      <w:r w:rsidR="004302DE" w:rsidRPr="004302DE">
        <w:rPr>
          <w:sz w:val="20"/>
          <w:szCs w:val="20"/>
          <w:lang w:val="en-GB"/>
        </w:rPr>
        <w:t>2ln</w:t>
      </w:r>
      <w:r w:rsidRPr="008175D5">
        <w:rPr>
          <w:sz w:val="20"/>
          <w:szCs w:val="20"/>
          <w:lang w:val="en-GB"/>
        </w:rPr>
        <w:t>B</w:t>
      </w:r>
      <w:r w:rsidR="004302DE">
        <w:rPr>
          <w:sz w:val="20"/>
          <w:szCs w:val="20"/>
          <w:lang w:val="en-GB"/>
        </w:rPr>
        <w:t>F</w:t>
      </w:r>
      <w:r w:rsidRPr="008175D5">
        <w:rPr>
          <w:sz w:val="20"/>
          <w:szCs w:val="20"/>
          <w:lang w:val="en-GB"/>
        </w:rPr>
        <w:t>s</w:t>
      </w:r>
      <w:r w:rsidR="004302DE">
        <w:rPr>
          <w:sz w:val="20"/>
          <w:szCs w:val="20"/>
          <w:lang w:val="en-GB"/>
        </w:rPr>
        <w:t xml:space="preserve"> </w:t>
      </w:r>
      <w:r w:rsidRPr="008175D5">
        <w:rPr>
          <w:sz w:val="20"/>
          <w:szCs w:val="20"/>
          <w:lang w:val="en-GB"/>
        </w:rPr>
        <w:t>&gt;</w:t>
      </w:r>
      <w:r w:rsidR="004302DE">
        <w:rPr>
          <w:sz w:val="20"/>
          <w:szCs w:val="20"/>
          <w:lang w:val="en-GB"/>
        </w:rPr>
        <w:t xml:space="preserve"> </w:t>
      </w:r>
      <w:r w:rsidRPr="008175D5">
        <w:rPr>
          <w:sz w:val="20"/>
          <w:szCs w:val="20"/>
          <w:lang w:val="en-GB"/>
        </w:rPr>
        <w:t>10) are considered as decisive evidence in favo</w:t>
      </w:r>
      <w:r w:rsidR="00AB3211">
        <w:rPr>
          <w:sz w:val="20"/>
          <w:szCs w:val="20"/>
          <w:lang w:val="en-GB"/>
        </w:rPr>
        <w:t>u</w:t>
      </w:r>
      <w:r w:rsidRPr="008175D5">
        <w:rPr>
          <w:sz w:val="20"/>
          <w:szCs w:val="20"/>
          <w:lang w:val="en-GB"/>
        </w:rPr>
        <w:t xml:space="preserve">r of the first model </w:t>
      </w:r>
      <w:r>
        <w:rPr>
          <w:sz w:val="20"/>
          <w:szCs w:val="20"/>
          <w:lang w:val="en-GB"/>
        </w:rPr>
        <w:t>[</w:t>
      </w:r>
      <w:r w:rsidR="00AE0D71">
        <w:rPr>
          <w:sz w:val="20"/>
          <w:szCs w:val="20"/>
          <w:lang w:val="en-GB"/>
        </w:rPr>
        <w:t>20</w:t>
      </w:r>
      <w:r>
        <w:rPr>
          <w:sz w:val="20"/>
          <w:szCs w:val="20"/>
          <w:lang w:val="en-GB"/>
        </w:rPr>
        <w:t>]</w:t>
      </w:r>
      <w:r w:rsidRPr="008175D5">
        <w:rPr>
          <w:sz w:val="20"/>
          <w:szCs w:val="20"/>
          <w:lang w:val="en-GB"/>
        </w:rPr>
        <w:t xml:space="preserve">. </w:t>
      </w:r>
    </w:p>
    <w:p w14:paraId="5F15BA1A" w14:textId="77777777" w:rsidR="00C326ED" w:rsidRDefault="00C326ED" w:rsidP="00C326ED">
      <w:pPr>
        <w:spacing w:after="0"/>
        <w:rPr>
          <w:b/>
          <w:noProof/>
          <w:sz w:val="20"/>
          <w:szCs w:val="20"/>
        </w:rPr>
      </w:pPr>
    </w:p>
    <w:p w14:paraId="7D0210A6" w14:textId="663BA7B2" w:rsidR="0059251F" w:rsidRPr="00CA157D" w:rsidRDefault="0059251F" w:rsidP="00C326ED">
      <w:pPr>
        <w:spacing w:after="0"/>
        <w:rPr>
          <w:b/>
          <w:noProof/>
          <w:sz w:val="20"/>
          <w:szCs w:val="20"/>
          <w:lang w:val="en-GB"/>
        </w:rPr>
      </w:pPr>
      <w:r w:rsidRPr="00466405">
        <w:rPr>
          <w:b/>
          <w:noProof/>
          <w:sz w:val="20"/>
          <w:szCs w:val="20"/>
        </w:rPr>
        <w:t>Meristics</w:t>
      </w:r>
      <w:r w:rsidRPr="00CA157D">
        <w:rPr>
          <w:b/>
          <w:i/>
          <w:noProof/>
          <w:sz w:val="20"/>
          <w:szCs w:val="20"/>
        </w:rPr>
        <w:t xml:space="preserve"> </w:t>
      </w:r>
    </w:p>
    <w:p w14:paraId="5345ADCF" w14:textId="319170FE" w:rsidR="0059251F" w:rsidRPr="00D13C0D" w:rsidRDefault="0059251F" w:rsidP="00C326ED">
      <w:pPr>
        <w:pStyle w:val="Default"/>
        <w:spacing w:line="360" w:lineRule="auto"/>
        <w:jc w:val="both"/>
        <w:rPr>
          <w:color w:val="000000" w:themeColor="text1"/>
          <w:sz w:val="20"/>
          <w:szCs w:val="20"/>
          <w:lang w:val="en-GB"/>
        </w:rPr>
      </w:pPr>
      <w:r w:rsidRPr="00D13C0D">
        <w:rPr>
          <w:color w:val="000000" w:themeColor="text1"/>
          <w:sz w:val="20"/>
          <w:szCs w:val="20"/>
          <w:lang w:val="en-GB"/>
        </w:rPr>
        <w:t xml:space="preserve">Number of spines on the </w:t>
      </w:r>
      <w:proofErr w:type="spellStart"/>
      <w:r w:rsidRPr="00D13C0D">
        <w:rPr>
          <w:color w:val="000000" w:themeColor="text1"/>
          <w:sz w:val="20"/>
          <w:szCs w:val="20"/>
          <w:lang w:val="en-GB"/>
        </w:rPr>
        <w:t>merus</w:t>
      </w:r>
      <w:proofErr w:type="spellEnd"/>
      <w:r w:rsidRPr="00D13C0D">
        <w:rPr>
          <w:color w:val="000000" w:themeColor="text1"/>
          <w:sz w:val="20"/>
          <w:szCs w:val="20"/>
          <w:lang w:val="en-GB"/>
        </w:rPr>
        <w:t xml:space="preserve"> of the third </w:t>
      </w:r>
      <w:proofErr w:type="spellStart"/>
      <w:r w:rsidRPr="00D13C0D">
        <w:rPr>
          <w:color w:val="000000" w:themeColor="text1"/>
          <w:sz w:val="20"/>
          <w:szCs w:val="20"/>
          <w:lang w:val="en-GB"/>
        </w:rPr>
        <w:t>maxilliped</w:t>
      </w:r>
      <w:proofErr w:type="spellEnd"/>
      <w:r w:rsidRPr="00D13C0D">
        <w:rPr>
          <w:color w:val="000000" w:themeColor="text1"/>
          <w:sz w:val="20"/>
          <w:szCs w:val="20"/>
          <w:lang w:val="en-GB"/>
        </w:rPr>
        <w:t xml:space="preserve"> were counted for each individual, and expressed as numbers per </w:t>
      </w:r>
      <w:proofErr w:type="spellStart"/>
      <w:r w:rsidRPr="00D13C0D">
        <w:rPr>
          <w:color w:val="000000" w:themeColor="text1"/>
          <w:sz w:val="20"/>
          <w:szCs w:val="20"/>
          <w:lang w:val="en-GB"/>
        </w:rPr>
        <w:t>phylogroup</w:t>
      </w:r>
      <w:proofErr w:type="spellEnd"/>
      <w:r w:rsidRPr="00D13C0D">
        <w:rPr>
          <w:color w:val="000000" w:themeColor="text1"/>
          <w:sz w:val="20"/>
          <w:szCs w:val="20"/>
          <w:lang w:val="en-GB"/>
        </w:rPr>
        <w:t xml:space="preserve">. Presence and pronunciation of rostral crista was expressed as absent or present. If rostral crista was present, it was evaluated as one of three “rostrum types”: weak, medium and strong, and were expressed as a percentage of each rostrum type per </w:t>
      </w:r>
      <w:proofErr w:type="spellStart"/>
      <w:r w:rsidRPr="00D13C0D">
        <w:rPr>
          <w:color w:val="000000" w:themeColor="text1"/>
          <w:sz w:val="20"/>
          <w:szCs w:val="20"/>
          <w:lang w:val="en-GB"/>
        </w:rPr>
        <w:t>phylogroup</w:t>
      </w:r>
      <w:proofErr w:type="spellEnd"/>
      <w:r w:rsidRPr="00D13C0D">
        <w:rPr>
          <w:color w:val="000000" w:themeColor="text1"/>
          <w:sz w:val="20"/>
          <w:szCs w:val="20"/>
          <w:lang w:val="en-GB"/>
        </w:rPr>
        <w:t xml:space="preserve">. Denticulation on the antennal </w:t>
      </w:r>
      <w:proofErr w:type="spellStart"/>
      <w:r w:rsidRPr="00D13C0D">
        <w:rPr>
          <w:color w:val="000000" w:themeColor="text1"/>
          <w:sz w:val="20"/>
          <w:szCs w:val="20"/>
          <w:lang w:val="en-GB"/>
        </w:rPr>
        <w:t>exopodite</w:t>
      </w:r>
      <w:proofErr w:type="spellEnd"/>
      <w:r w:rsidRPr="00D13C0D">
        <w:rPr>
          <w:color w:val="000000" w:themeColor="text1"/>
          <w:sz w:val="20"/>
          <w:szCs w:val="20"/>
          <w:lang w:val="en-GB"/>
        </w:rPr>
        <w:t xml:space="preserve"> was evaluated as smooth (absence of denticulation/no tubercles or spine) or as with tubercles or spines. Denticulation was expressed as percentage of each denticulation type per </w:t>
      </w:r>
      <w:proofErr w:type="spellStart"/>
      <w:r w:rsidRPr="00D13C0D">
        <w:rPr>
          <w:color w:val="000000" w:themeColor="text1"/>
          <w:sz w:val="20"/>
          <w:szCs w:val="20"/>
          <w:lang w:val="en-GB"/>
        </w:rPr>
        <w:t>phylogroup</w:t>
      </w:r>
      <w:proofErr w:type="spellEnd"/>
      <w:r w:rsidRPr="00D13C0D">
        <w:rPr>
          <w:color w:val="000000" w:themeColor="text1"/>
          <w:sz w:val="20"/>
          <w:szCs w:val="20"/>
          <w:lang w:val="en-GB"/>
        </w:rPr>
        <w:t xml:space="preserve">. Tip of </w:t>
      </w:r>
      <w:proofErr w:type="spellStart"/>
      <w:r w:rsidRPr="00D13C0D">
        <w:rPr>
          <w:color w:val="000000" w:themeColor="text1"/>
          <w:sz w:val="20"/>
          <w:szCs w:val="20"/>
          <w:lang w:val="en-GB"/>
        </w:rPr>
        <w:t>gonopods</w:t>
      </w:r>
      <w:proofErr w:type="spellEnd"/>
      <w:r w:rsidRPr="00D13C0D">
        <w:rPr>
          <w:color w:val="000000" w:themeColor="text1"/>
          <w:sz w:val="20"/>
          <w:szCs w:val="20"/>
          <w:lang w:val="en-GB"/>
        </w:rPr>
        <w:t xml:space="preserve"> were recorded/depicted as ratio of tip length to the length of the whole </w:t>
      </w:r>
      <w:proofErr w:type="spellStart"/>
      <w:r w:rsidRPr="00D13C0D">
        <w:rPr>
          <w:color w:val="000000" w:themeColor="text1"/>
          <w:sz w:val="20"/>
          <w:szCs w:val="20"/>
          <w:lang w:val="en-GB"/>
        </w:rPr>
        <w:t>gonopod</w:t>
      </w:r>
      <w:proofErr w:type="spellEnd"/>
      <w:r w:rsidR="005E7EFD">
        <w:rPr>
          <w:color w:val="000000" w:themeColor="text1"/>
          <w:sz w:val="20"/>
          <w:szCs w:val="20"/>
          <w:lang w:val="en-GB"/>
        </w:rPr>
        <w:t xml:space="preserve"> (1/3 or 1/2 of the </w:t>
      </w:r>
      <w:proofErr w:type="spellStart"/>
      <w:r w:rsidR="005E7EFD">
        <w:rPr>
          <w:color w:val="000000" w:themeColor="text1"/>
          <w:sz w:val="20"/>
          <w:szCs w:val="20"/>
          <w:lang w:val="en-GB"/>
        </w:rPr>
        <w:t>gonopod</w:t>
      </w:r>
      <w:r w:rsidRPr="00D13C0D">
        <w:rPr>
          <w:color w:val="000000" w:themeColor="text1"/>
          <w:sz w:val="20"/>
          <w:szCs w:val="20"/>
          <w:lang w:val="en-GB"/>
        </w:rPr>
        <w:t>'s</w:t>
      </w:r>
      <w:proofErr w:type="spellEnd"/>
      <w:r w:rsidRPr="00D13C0D">
        <w:rPr>
          <w:color w:val="000000" w:themeColor="text1"/>
          <w:sz w:val="20"/>
          <w:szCs w:val="20"/>
          <w:lang w:val="en-GB"/>
        </w:rPr>
        <w:t xml:space="preserve"> length); length of the </w:t>
      </w:r>
      <w:proofErr w:type="spellStart"/>
      <w:r w:rsidR="005E7EFD">
        <w:rPr>
          <w:color w:val="000000" w:themeColor="text1"/>
          <w:sz w:val="20"/>
          <w:szCs w:val="20"/>
          <w:lang w:val="en-GB"/>
        </w:rPr>
        <w:t>exopodite</w:t>
      </w:r>
      <w:proofErr w:type="spellEnd"/>
      <w:r w:rsidR="005E7EFD">
        <w:rPr>
          <w:color w:val="000000" w:themeColor="text1"/>
          <w:sz w:val="20"/>
          <w:szCs w:val="20"/>
          <w:lang w:val="en-GB"/>
        </w:rPr>
        <w:t xml:space="preserve"> of the second </w:t>
      </w:r>
      <w:proofErr w:type="spellStart"/>
      <w:r w:rsidR="005E7EFD">
        <w:rPr>
          <w:color w:val="000000" w:themeColor="text1"/>
          <w:sz w:val="20"/>
          <w:szCs w:val="20"/>
          <w:lang w:val="en-GB"/>
        </w:rPr>
        <w:t>gonopod</w:t>
      </w:r>
      <w:proofErr w:type="spellEnd"/>
      <w:r w:rsidRPr="00D13C0D">
        <w:rPr>
          <w:color w:val="000000" w:themeColor="text1"/>
          <w:sz w:val="20"/>
          <w:szCs w:val="20"/>
          <w:lang w:val="en-GB"/>
        </w:rPr>
        <w:t xml:space="preserve"> was expressed as ratio between </w:t>
      </w:r>
      <w:proofErr w:type="spellStart"/>
      <w:r w:rsidRPr="00D13C0D">
        <w:rPr>
          <w:color w:val="000000" w:themeColor="text1"/>
          <w:sz w:val="20"/>
          <w:szCs w:val="20"/>
          <w:lang w:val="en-GB"/>
        </w:rPr>
        <w:t>exopodite</w:t>
      </w:r>
      <w:proofErr w:type="spellEnd"/>
      <w:r w:rsidRPr="00D13C0D">
        <w:rPr>
          <w:color w:val="000000" w:themeColor="text1"/>
          <w:sz w:val="20"/>
          <w:szCs w:val="20"/>
          <w:lang w:val="en-GB"/>
        </w:rPr>
        <w:t xml:space="preserve"> lengt</w:t>
      </w:r>
      <w:r w:rsidR="005E7EFD">
        <w:rPr>
          <w:color w:val="000000" w:themeColor="text1"/>
          <w:sz w:val="20"/>
          <w:szCs w:val="20"/>
          <w:lang w:val="en-GB"/>
        </w:rPr>
        <w:t xml:space="preserve">h and the length of the </w:t>
      </w:r>
      <w:proofErr w:type="spellStart"/>
      <w:r w:rsidR="005E7EFD">
        <w:rPr>
          <w:color w:val="000000" w:themeColor="text1"/>
          <w:sz w:val="20"/>
          <w:szCs w:val="20"/>
          <w:lang w:val="en-GB"/>
        </w:rPr>
        <w:t>gonopod</w:t>
      </w:r>
      <w:proofErr w:type="spellEnd"/>
      <w:r w:rsidR="005E7EFD">
        <w:rPr>
          <w:color w:val="000000" w:themeColor="text1"/>
          <w:sz w:val="20"/>
          <w:szCs w:val="20"/>
          <w:lang w:val="en-GB"/>
        </w:rPr>
        <w:t xml:space="preserve"> (1/3 or 1/2 of the </w:t>
      </w:r>
      <w:proofErr w:type="spellStart"/>
      <w:r w:rsidR="005E7EFD">
        <w:rPr>
          <w:color w:val="000000" w:themeColor="text1"/>
          <w:sz w:val="20"/>
          <w:szCs w:val="20"/>
          <w:lang w:val="en-GB"/>
        </w:rPr>
        <w:t>gonopod</w:t>
      </w:r>
      <w:r w:rsidRPr="00D13C0D">
        <w:rPr>
          <w:color w:val="000000" w:themeColor="text1"/>
          <w:sz w:val="20"/>
          <w:szCs w:val="20"/>
          <w:lang w:val="en-GB"/>
        </w:rPr>
        <w:t>'s</w:t>
      </w:r>
      <w:proofErr w:type="spellEnd"/>
      <w:r w:rsidRPr="00D13C0D">
        <w:rPr>
          <w:color w:val="000000" w:themeColor="text1"/>
          <w:sz w:val="20"/>
          <w:szCs w:val="20"/>
          <w:lang w:val="en-GB"/>
        </w:rPr>
        <w:t xml:space="preserve"> length). </w:t>
      </w:r>
      <w:proofErr w:type="spellStart"/>
      <w:r w:rsidRPr="00D13C0D">
        <w:rPr>
          <w:color w:val="000000" w:themeColor="text1"/>
          <w:sz w:val="20"/>
          <w:szCs w:val="20"/>
          <w:lang w:val="en-GB"/>
        </w:rPr>
        <w:t>Gono</w:t>
      </w:r>
      <w:r w:rsidR="005E7EFD">
        <w:rPr>
          <w:color w:val="000000" w:themeColor="text1"/>
          <w:sz w:val="20"/>
          <w:szCs w:val="20"/>
          <w:lang w:val="en-GB"/>
        </w:rPr>
        <w:t>pod</w:t>
      </w:r>
      <w:proofErr w:type="spellEnd"/>
      <w:r w:rsidRPr="00D13C0D">
        <w:rPr>
          <w:color w:val="000000" w:themeColor="text1"/>
          <w:sz w:val="20"/>
          <w:szCs w:val="20"/>
          <w:lang w:val="en-GB"/>
        </w:rPr>
        <w:t xml:space="preserve"> “shapes” were expressed as percentage of the “shape” per </w:t>
      </w:r>
      <w:proofErr w:type="spellStart"/>
      <w:r w:rsidRPr="00D13C0D">
        <w:rPr>
          <w:color w:val="000000" w:themeColor="text1"/>
          <w:sz w:val="20"/>
          <w:szCs w:val="20"/>
          <w:lang w:val="en-GB"/>
        </w:rPr>
        <w:t>phylogroup</w:t>
      </w:r>
      <w:proofErr w:type="spellEnd"/>
      <w:r w:rsidRPr="00D13C0D">
        <w:rPr>
          <w:color w:val="000000" w:themeColor="text1"/>
          <w:sz w:val="20"/>
          <w:szCs w:val="20"/>
          <w:lang w:val="en-GB"/>
        </w:rPr>
        <w:t>.</w:t>
      </w:r>
    </w:p>
    <w:p w14:paraId="2F1CADCF" w14:textId="77777777" w:rsidR="00C326ED" w:rsidRDefault="00C326ED" w:rsidP="00C326ED">
      <w:pPr>
        <w:spacing w:after="0"/>
        <w:jc w:val="left"/>
        <w:rPr>
          <w:b/>
          <w:noProof/>
          <w:sz w:val="20"/>
          <w:szCs w:val="20"/>
          <w:lang w:val="en-GB"/>
        </w:rPr>
      </w:pPr>
    </w:p>
    <w:p w14:paraId="4AE2A6BE" w14:textId="77777777" w:rsidR="00FB4ACF" w:rsidRDefault="00072961" w:rsidP="00C326ED">
      <w:pPr>
        <w:spacing w:after="0"/>
        <w:jc w:val="left"/>
        <w:rPr>
          <w:b/>
          <w:noProof/>
          <w:sz w:val="20"/>
          <w:szCs w:val="20"/>
          <w:lang w:val="en-GB"/>
        </w:rPr>
      </w:pPr>
      <w:r w:rsidRPr="001F69AD">
        <w:rPr>
          <w:b/>
          <w:noProof/>
          <w:sz w:val="20"/>
          <w:szCs w:val="20"/>
          <w:lang w:val="en-GB"/>
        </w:rPr>
        <w:t>References</w:t>
      </w:r>
    </w:p>
    <w:p w14:paraId="4D63DBEF" w14:textId="0609931C" w:rsidR="00FB4ACF" w:rsidRPr="00FB4ACF" w:rsidRDefault="00FB4ACF" w:rsidP="00C326ED">
      <w:pPr>
        <w:spacing w:after="0"/>
        <w:ind w:left="709" w:hanging="709"/>
        <w:rPr>
          <w:b/>
          <w:noProof/>
          <w:sz w:val="20"/>
          <w:szCs w:val="20"/>
          <w:lang w:val="en-GB"/>
        </w:rPr>
      </w:pPr>
      <w:r>
        <w:rPr>
          <w:noProof/>
          <w:sz w:val="20"/>
          <w:szCs w:val="20"/>
        </w:rPr>
        <w:t xml:space="preserve">1. </w:t>
      </w:r>
      <w:r w:rsidRPr="00D40125">
        <w:rPr>
          <w:noProof/>
          <w:sz w:val="20"/>
          <w:szCs w:val="20"/>
        </w:rPr>
        <w:t xml:space="preserve">Folmer O, Black M, Wr H, Lutz R, Vrijenhoek R. DNA primers for amplification of mitochondrial Cytochrome C oxidase subunit I from diverse metazoan invertebrates. </w:t>
      </w:r>
      <w:r w:rsidRPr="00D40125">
        <w:rPr>
          <w:iCs/>
          <w:noProof/>
          <w:sz w:val="20"/>
          <w:szCs w:val="20"/>
        </w:rPr>
        <w:t>Mol Mar Biol Biotechnol</w:t>
      </w:r>
      <w:r w:rsidRPr="00D40125">
        <w:rPr>
          <w:noProof/>
          <w:sz w:val="20"/>
          <w:szCs w:val="20"/>
        </w:rPr>
        <w:t>. 1994;</w:t>
      </w:r>
      <w:r w:rsidRPr="00D40125">
        <w:rPr>
          <w:iCs/>
          <w:noProof/>
          <w:sz w:val="20"/>
          <w:szCs w:val="20"/>
        </w:rPr>
        <w:t>3</w:t>
      </w:r>
      <w:r w:rsidRPr="00D40125">
        <w:rPr>
          <w:noProof/>
          <w:sz w:val="20"/>
          <w:szCs w:val="20"/>
        </w:rPr>
        <w:t xml:space="preserve">: 294–299. </w:t>
      </w:r>
    </w:p>
    <w:p w14:paraId="297770C6" w14:textId="1622149F" w:rsidR="005D0F36" w:rsidRPr="005D0F36" w:rsidRDefault="00FB4ACF" w:rsidP="00E32665">
      <w:pPr>
        <w:spacing w:after="0"/>
        <w:ind w:left="709" w:hanging="709"/>
        <w:contextualSpacing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2. </w:t>
      </w:r>
      <w:r w:rsidR="005D0F36" w:rsidRPr="005D0F36">
        <w:rPr>
          <w:noProof/>
          <w:sz w:val="20"/>
          <w:szCs w:val="20"/>
        </w:rPr>
        <w:t>Palumbi SR, Martin A, Romano S, McMillan WO, Stice L, Grabowski G. The Simple Fool’s Guide to PCR (2nd ed.). Honolulu: University of Hawaii; 1991.</w:t>
      </w:r>
    </w:p>
    <w:p w14:paraId="347DCA7D" w14:textId="77777777" w:rsidR="005D0F36" w:rsidRDefault="005D0F36" w:rsidP="00E32665">
      <w:pPr>
        <w:spacing w:after="0"/>
        <w:ind w:left="709" w:hanging="709"/>
        <w:contextualSpacing/>
        <w:rPr>
          <w:noProof/>
          <w:sz w:val="20"/>
          <w:szCs w:val="20"/>
          <w:lang w:val="de-DE"/>
        </w:rPr>
      </w:pPr>
      <w:r w:rsidRPr="005D0F36">
        <w:rPr>
          <w:noProof/>
          <w:sz w:val="20"/>
          <w:szCs w:val="20"/>
        </w:rPr>
        <w:t xml:space="preserve">3. Schubart CD, Weil T, Stenderup JT, Crandall KA, Santl T. Ongoing phenotypic and genotypic diversification in adaptively radiated freshwater crabs from Jamaica. </w:t>
      </w:r>
      <w:r w:rsidRPr="005D0F36">
        <w:rPr>
          <w:noProof/>
          <w:sz w:val="20"/>
          <w:szCs w:val="20"/>
          <w:lang w:val="de-DE"/>
        </w:rPr>
        <w:t xml:space="preserve">In Glaubrecht M, editor. Evolution in Action. Berlin, Heidelberg: Springer; 2010. p. 323–349. </w:t>
      </w:r>
    </w:p>
    <w:p w14:paraId="7A02E38B" w14:textId="58CDF620" w:rsidR="008F463B" w:rsidRDefault="00DD2353" w:rsidP="00E32665">
      <w:pPr>
        <w:spacing w:after="0"/>
        <w:ind w:left="709" w:hanging="709"/>
        <w:contextualSpacing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4. </w:t>
      </w:r>
      <w:r w:rsidR="008F463B" w:rsidRPr="00D40125">
        <w:rPr>
          <w:noProof/>
          <w:sz w:val="20"/>
          <w:szCs w:val="20"/>
        </w:rPr>
        <w:t xml:space="preserve">Kumar S, Stecher G, Li M, Knyaz C, Tamura K. MEGA X: Molecular evolutionary genetics analysis across computing platforms. </w:t>
      </w:r>
      <w:r w:rsidR="008F463B" w:rsidRPr="00D40125">
        <w:rPr>
          <w:iCs/>
          <w:noProof/>
          <w:sz w:val="20"/>
          <w:szCs w:val="20"/>
        </w:rPr>
        <w:t xml:space="preserve">Mol Biol Evol. </w:t>
      </w:r>
      <w:r w:rsidR="008F463B" w:rsidRPr="00D40125">
        <w:rPr>
          <w:noProof/>
          <w:sz w:val="20"/>
          <w:szCs w:val="20"/>
        </w:rPr>
        <w:t>2018:</w:t>
      </w:r>
      <w:r w:rsidR="008F463B" w:rsidRPr="00D40125">
        <w:rPr>
          <w:iCs/>
          <w:noProof/>
          <w:sz w:val="20"/>
          <w:szCs w:val="20"/>
        </w:rPr>
        <w:t>35</w:t>
      </w:r>
      <w:r w:rsidR="008F463B" w:rsidRPr="00D40125">
        <w:rPr>
          <w:noProof/>
          <w:sz w:val="20"/>
          <w:szCs w:val="20"/>
        </w:rPr>
        <w:t xml:space="preserve">:1547–1549. </w:t>
      </w:r>
    </w:p>
    <w:p w14:paraId="0E95F4A5" w14:textId="458DAC0E" w:rsidR="008F463B" w:rsidRPr="008F463B" w:rsidRDefault="00DD2353" w:rsidP="00E32665">
      <w:pPr>
        <w:spacing w:after="0"/>
        <w:ind w:left="709" w:hanging="709"/>
        <w:contextualSpacing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5. </w:t>
      </w:r>
      <w:r w:rsidR="008F463B" w:rsidRPr="008F463B">
        <w:rPr>
          <w:noProof/>
          <w:sz w:val="20"/>
          <w:szCs w:val="20"/>
        </w:rPr>
        <w:t xml:space="preserve">Nei M, Kumar S. Molecular evolution and phylogenetics. </w:t>
      </w:r>
      <w:r w:rsidR="009645F0">
        <w:rPr>
          <w:noProof/>
          <w:sz w:val="20"/>
          <w:szCs w:val="20"/>
        </w:rPr>
        <w:t xml:space="preserve">Oxford: </w:t>
      </w:r>
      <w:r w:rsidR="008F463B" w:rsidRPr="008F463B">
        <w:rPr>
          <w:noProof/>
          <w:sz w:val="20"/>
          <w:szCs w:val="20"/>
        </w:rPr>
        <w:t xml:space="preserve">Oxford University Press; 2000.  </w:t>
      </w:r>
    </w:p>
    <w:p w14:paraId="29D71F81" w14:textId="6A445904" w:rsidR="008F463B" w:rsidRPr="008F463B" w:rsidRDefault="00DD2353" w:rsidP="00E32665">
      <w:pPr>
        <w:spacing w:after="0"/>
        <w:ind w:left="709" w:hanging="709"/>
        <w:contextualSpacing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6. </w:t>
      </w:r>
      <w:r w:rsidR="008F463B" w:rsidRPr="008F463B">
        <w:rPr>
          <w:noProof/>
          <w:sz w:val="20"/>
          <w:szCs w:val="20"/>
        </w:rPr>
        <w:t xml:space="preserve">Felsenstein J. Confidence limits on phylogenies: an approach using the bootstrap. Evolution. 1985;39:783–791. </w:t>
      </w:r>
    </w:p>
    <w:p w14:paraId="3CE06F3B" w14:textId="3D3496D8" w:rsidR="008F463B" w:rsidRDefault="00DD2353" w:rsidP="00E32665">
      <w:pPr>
        <w:spacing w:after="0"/>
        <w:ind w:left="709" w:hanging="709"/>
        <w:contextualSpacing/>
        <w:rPr>
          <w:noProof/>
          <w:sz w:val="20"/>
          <w:szCs w:val="20"/>
        </w:rPr>
      </w:pPr>
      <w:r w:rsidRPr="005D0F36">
        <w:rPr>
          <w:noProof/>
          <w:sz w:val="20"/>
          <w:szCs w:val="20"/>
        </w:rPr>
        <w:t xml:space="preserve">7. </w:t>
      </w:r>
      <w:r w:rsidR="008F463B" w:rsidRPr="005D0F36">
        <w:rPr>
          <w:noProof/>
          <w:sz w:val="20"/>
          <w:szCs w:val="20"/>
        </w:rPr>
        <w:t xml:space="preserve">Trifinopoulos J, Nguyen LT, von Haeseler A, Minh BQ. </w:t>
      </w:r>
      <w:r w:rsidR="008F463B" w:rsidRPr="008F463B">
        <w:rPr>
          <w:noProof/>
          <w:sz w:val="20"/>
          <w:szCs w:val="20"/>
        </w:rPr>
        <w:t xml:space="preserve">W-IQ-TREE: a fast online phylogenetic tool for maximum likelihood analysis. Nucleic Acids Res. 2016;44:232–235. </w:t>
      </w:r>
    </w:p>
    <w:p w14:paraId="0917FC55" w14:textId="5CA60466" w:rsidR="008F463B" w:rsidRPr="008F463B" w:rsidRDefault="008F463B" w:rsidP="00E32665">
      <w:pPr>
        <w:spacing w:after="0"/>
        <w:ind w:left="709" w:hanging="709"/>
        <w:contextualSpacing/>
        <w:rPr>
          <w:noProof/>
          <w:sz w:val="20"/>
          <w:szCs w:val="20"/>
        </w:rPr>
      </w:pPr>
      <w:r w:rsidRPr="008F463B">
        <w:rPr>
          <w:noProof/>
          <w:sz w:val="20"/>
          <w:szCs w:val="20"/>
        </w:rPr>
        <w:t xml:space="preserve"> </w:t>
      </w:r>
      <w:r w:rsidR="00DD2353">
        <w:rPr>
          <w:noProof/>
          <w:sz w:val="20"/>
          <w:szCs w:val="20"/>
        </w:rPr>
        <w:t xml:space="preserve">8. </w:t>
      </w:r>
      <w:r w:rsidRPr="008F463B">
        <w:rPr>
          <w:noProof/>
          <w:sz w:val="20"/>
          <w:szCs w:val="20"/>
        </w:rPr>
        <w:t>Chernomor O, von Haeseler A, Minh BQ. Terrace aware data structure for phylogenomic inference from supermatrices. Syst Biol. 2016;65:997–1008.</w:t>
      </w:r>
    </w:p>
    <w:p w14:paraId="783810CF" w14:textId="0B1F1102" w:rsidR="008F463B" w:rsidRPr="008F463B" w:rsidRDefault="00DD2353" w:rsidP="00E32665">
      <w:pPr>
        <w:spacing w:after="0"/>
        <w:ind w:left="709" w:hanging="709"/>
        <w:contextualSpacing/>
        <w:rPr>
          <w:noProof/>
          <w:sz w:val="20"/>
          <w:szCs w:val="20"/>
        </w:rPr>
      </w:pPr>
      <w:r>
        <w:rPr>
          <w:noProof/>
          <w:sz w:val="20"/>
          <w:szCs w:val="20"/>
        </w:rPr>
        <w:t>9.</w:t>
      </w:r>
      <w:r w:rsidR="00EC7BA7">
        <w:rPr>
          <w:noProof/>
          <w:sz w:val="20"/>
          <w:szCs w:val="20"/>
        </w:rPr>
        <w:t xml:space="preserve"> </w:t>
      </w:r>
      <w:r w:rsidR="008F463B" w:rsidRPr="008F463B">
        <w:rPr>
          <w:noProof/>
          <w:sz w:val="20"/>
          <w:szCs w:val="20"/>
        </w:rPr>
        <w:t xml:space="preserve">Kalyaanamoorthy S, Minh BQ, Wong TK, von Haeseler A, Jermiin LS. ModelFinder: fast model selection for accurate phylogenetic estimates. Nat Methods. 2017;14:587–589. </w:t>
      </w:r>
    </w:p>
    <w:p w14:paraId="6B363DDD" w14:textId="3497E5FB" w:rsidR="008F463B" w:rsidRDefault="00DD2353" w:rsidP="00E32665">
      <w:pPr>
        <w:spacing w:after="0"/>
        <w:ind w:left="709" w:hanging="709"/>
        <w:contextualSpacing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10. </w:t>
      </w:r>
      <w:r w:rsidR="008F463B" w:rsidRPr="008F463B">
        <w:rPr>
          <w:noProof/>
          <w:sz w:val="20"/>
          <w:szCs w:val="20"/>
        </w:rPr>
        <w:t>Hoang DT, Chernomor O, von Haeseler A, Minh BQ, Vinh LS. UFBoot2: Improving the Ultrafast Bootstrap Approximation. Mol Biol Evol. 2018;35:518–522.</w:t>
      </w:r>
    </w:p>
    <w:p w14:paraId="3714CB8D" w14:textId="0A3795A0" w:rsidR="008F463B" w:rsidRDefault="00DD2353" w:rsidP="00E32665">
      <w:pPr>
        <w:spacing w:after="0"/>
        <w:ind w:left="709" w:hanging="709"/>
        <w:contextualSpacing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11. </w:t>
      </w:r>
      <w:r w:rsidR="008F463B" w:rsidRPr="008F463B">
        <w:rPr>
          <w:noProof/>
          <w:sz w:val="20"/>
          <w:szCs w:val="20"/>
        </w:rPr>
        <w:t xml:space="preserve">Darriba D, Taboada GL, Doallo R, Posada D. jModelTest2: more models, new heuristics and parallel computing. Nat Methods. 2012;9:772. </w:t>
      </w:r>
    </w:p>
    <w:p w14:paraId="33D1A89B" w14:textId="3479B258" w:rsidR="008F463B" w:rsidRPr="008F463B" w:rsidRDefault="00DD2353" w:rsidP="00E32665">
      <w:pPr>
        <w:spacing w:after="0"/>
        <w:ind w:left="709" w:hanging="709"/>
        <w:contextualSpacing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12. </w:t>
      </w:r>
      <w:r w:rsidR="008F463B" w:rsidRPr="008F463B">
        <w:rPr>
          <w:noProof/>
          <w:sz w:val="20"/>
          <w:szCs w:val="20"/>
        </w:rPr>
        <w:t xml:space="preserve">Ronquist F, Teslenko M, van der Mark P, Ayres DL, Darling A, Höhna S, et al. MrBayes 3.2: efficient Bayesian phylogenetic inference and model choice across a large model space. Syst Biol. 2012;61:539–542. </w:t>
      </w:r>
    </w:p>
    <w:p w14:paraId="0D3E079F" w14:textId="4D6A397F" w:rsidR="008F463B" w:rsidRDefault="00FB4E5B" w:rsidP="00E32665">
      <w:pPr>
        <w:spacing w:after="0"/>
        <w:ind w:left="709" w:hanging="709"/>
        <w:contextualSpacing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13. </w:t>
      </w:r>
      <w:r w:rsidR="008F463B" w:rsidRPr="008F463B">
        <w:rPr>
          <w:noProof/>
          <w:sz w:val="20"/>
          <w:szCs w:val="20"/>
        </w:rPr>
        <w:t xml:space="preserve">Rambaut A, Drummond AJ, Xie D, Baele G, Suchard MA. Posterior summarisation in Bayesian phylogenetics using Tracer 1.7. Syst Biol. 2018;67:901–904. </w:t>
      </w:r>
    </w:p>
    <w:p w14:paraId="1FB712EA" w14:textId="4FAEE219" w:rsidR="008F463B" w:rsidRDefault="00B27D3C" w:rsidP="00E32665">
      <w:pPr>
        <w:spacing w:after="0"/>
        <w:ind w:left="709" w:hanging="709"/>
        <w:contextualSpacing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14. </w:t>
      </w:r>
      <w:r w:rsidR="008F463B" w:rsidRPr="008F463B">
        <w:rPr>
          <w:noProof/>
          <w:sz w:val="20"/>
          <w:szCs w:val="20"/>
        </w:rPr>
        <w:t xml:space="preserve">Borchsenius F. FastGap 1.2. </w:t>
      </w:r>
      <w:r w:rsidR="00FB4E5B" w:rsidRPr="008F463B">
        <w:rPr>
          <w:noProof/>
          <w:sz w:val="20"/>
          <w:szCs w:val="20"/>
        </w:rPr>
        <w:t>Aarhaus</w:t>
      </w:r>
      <w:r w:rsidR="00FB4E5B">
        <w:rPr>
          <w:noProof/>
          <w:sz w:val="20"/>
          <w:szCs w:val="20"/>
        </w:rPr>
        <w:t>:</w:t>
      </w:r>
      <w:r w:rsidR="00FB4E5B" w:rsidRPr="008F463B">
        <w:rPr>
          <w:noProof/>
          <w:sz w:val="20"/>
          <w:szCs w:val="20"/>
        </w:rPr>
        <w:t xml:space="preserve"> </w:t>
      </w:r>
      <w:r w:rsidR="008F463B" w:rsidRPr="008F463B">
        <w:rPr>
          <w:noProof/>
          <w:sz w:val="20"/>
          <w:szCs w:val="20"/>
        </w:rPr>
        <w:t>Department of Biosciences, University Denmark; 2009.</w:t>
      </w:r>
    </w:p>
    <w:p w14:paraId="04B77C3F" w14:textId="7D08EF2A" w:rsidR="008F463B" w:rsidRPr="00D40125" w:rsidRDefault="00B27D3C" w:rsidP="00E32665">
      <w:pPr>
        <w:spacing w:after="0"/>
        <w:ind w:left="709" w:hanging="709"/>
        <w:contextualSpacing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15. </w:t>
      </w:r>
      <w:r w:rsidR="008F463B" w:rsidRPr="008F463B">
        <w:rPr>
          <w:noProof/>
          <w:sz w:val="20"/>
          <w:szCs w:val="20"/>
        </w:rPr>
        <w:t>Rambaut A. FigTree Version 1.4.4. (Computer Program). Available at http://tree.bio.ed.ac.uk/.</w:t>
      </w:r>
    </w:p>
    <w:p w14:paraId="5D8BBDD3" w14:textId="4847343E" w:rsidR="00072961" w:rsidRPr="00FB4ACF" w:rsidRDefault="00D3596B" w:rsidP="00E32665">
      <w:pPr>
        <w:spacing w:after="0"/>
        <w:ind w:left="709" w:hanging="709"/>
        <w:contextualSpacing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16. </w:t>
      </w:r>
      <w:r w:rsidR="00E82C5A" w:rsidRPr="00FB4ACF">
        <w:rPr>
          <w:noProof/>
          <w:sz w:val="20"/>
          <w:szCs w:val="20"/>
        </w:rPr>
        <w:t>Monaghan M, Wild R, Elliot M, Fuji</w:t>
      </w:r>
      <w:r w:rsidR="00E82C5A" w:rsidRPr="008A5CFE">
        <w:rPr>
          <w:noProof/>
          <w:sz w:val="20"/>
          <w:szCs w:val="20"/>
        </w:rPr>
        <w:t>sawa T, Balke M, Inward DJ,</w:t>
      </w:r>
      <w:r w:rsidR="00072961" w:rsidRPr="008A5CFE">
        <w:rPr>
          <w:noProof/>
          <w:sz w:val="20"/>
          <w:szCs w:val="20"/>
        </w:rPr>
        <w:t xml:space="preserve"> </w:t>
      </w:r>
      <w:r w:rsidR="00072961" w:rsidRPr="008A5CFE">
        <w:rPr>
          <w:iCs/>
          <w:noProof/>
          <w:sz w:val="20"/>
          <w:szCs w:val="20"/>
        </w:rPr>
        <w:t>et al</w:t>
      </w:r>
      <w:r w:rsidR="00072961" w:rsidRPr="008A5CFE">
        <w:rPr>
          <w:noProof/>
          <w:sz w:val="20"/>
          <w:szCs w:val="20"/>
        </w:rPr>
        <w:t xml:space="preserve">. </w:t>
      </w:r>
      <w:r w:rsidR="00072961" w:rsidRPr="00FB4ACF">
        <w:rPr>
          <w:noProof/>
          <w:sz w:val="20"/>
          <w:szCs w:val="20"/>
        </w:rPr>
        <w:t xml:space="preserve">Accelerated species inventory on Madagascar using coalescent-based models of species delineation. </w:t>
      </w:r>
      <w:r w:rsidR="00072961" w:rsidRPr="00FB4ACF">
        <w:rPr>
          <w:iCs/>
          <w:noProof/>
          <w:sz w:val="20"/>
          <w:szCs w:val="20"/>
        </w:rPr>
        <w:t>Syst</w:t>
      </w:r>
      <w:r w:rsidR="00E82C5A" w:rsidRPr="00FB4ACF">
        <w:rPr>
          <w:iCs/>
          <w:noProof/>
          <w:sz w:val="20"/>
          <w:szCs w:val="20"/>
        </w:rPr>
        <w:t xml:space="preserve"> </w:t>
      </w:r>
      <w:r w:rsidR="00072961" w:rsidRPr="00FB4ACF">
        <w:rPr>
          <w:iCs/>
          <w:noProof/>
          <w:sz w:val="20"/>
          <w:szCs w:val="20"/>
        </w:rPr>
        <w:t>Biol</w:t>
      </w:r>
      <w:r w:rsidR="00E82C5A" w:rsidRPr="00FB4ACF">
        <w:rPr>
          <w:iCs/>
          <w:noProof/>
          <w:sz w:val="20"/>
          <w:szCs w:val="20"/>
        </w:rPr>
        <w:t xml:space="preserve">. </w:t>
      </w:r>
      <w:r w:rsidR="00E82C5A" w:rsidRPr="00FB4ACF">
        <w:rPr>
          <w:noProof/>
          <w:sz w:val="20"/>
          <w:szCs w:val="20"/>
        </w:rPr>
        <w:t>2009;</w:t>
      </w:r>
      <w:r w:rsidR="00072961" w:rsidRPr="00FB4ACF">
        <w:rPr>
          <w:iCs/>
          <w:noProof/>
          <w:sz w:val="20"/>
          <w:szCs w:val="20"/>
        </w:rPr>
        <w:t>58</w:t>
      </w:r>
      <w:r w:rsidR="00E82C5A" w:rsidRPr="00FB4ACF">
        <w:rPr>
          <w:noProof/>
          <w:sz w:val="20"/>
          <w:szCs w:val="20"/>
        </w:rPr>
        <w:t>:</w:t>
      </w:r>
      <w:r w:rsidR="00072961" w:rsidRPr="00FB4ACF">
        <w:rPr>
          <w:noProof/>
          <w:sz w:val="20"/>
          <w:szCs w:val="20"/>
        </w:rPr>
        <w:t xml:space="preserve">298–311. </w:t>
      </w:r>
    </w:p>
    <w:p w14:paraId="59F0285C" w14:textId="7FF58C64" w:rsidR="00072961" w:rsidRPr="00FB4ACF" w:rsidRDefault="00D3596B" w:rsidP="00E32665">
      <w:pPr>
        <w:spacing w:after="0"/>
        <w:ind w:left="709" w:hanging="709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17. </w:t>
      </w:r>
      <w:r w:rsidR="00E82C5A" w:rsidRPr="00FB4ACF">
        <w:rPr>
          <w:noProof/>
          <w:sz w:val="20"/>
          <w:szCs w:val="20"/>
        </w:rPr>
        <w:t>Ceccarelli S., Sharkey</w:t>
      </w:r>
      <w:r w:rsidR="00072961" w:rsidRPr="00FB4ACF">
        <w:rPr>
          <w:noProof/>
          <w:sz w:val="20"/>
          <w:szCs w:val="20"/>
        </w:rPr>
        <w:t xml:space="preserve"> M</w:t>
      </w:r>
      <w:r w:rsidR="00E82C5A" w:rsidRPr="00FB4ACF">
        <w:rPr>
          <w:noProof/>
          <w:sz w:val="20"/>
          <w:szCs w:val="20"/>
        </w:rPr>
        <w:t>, Zaldivar-Riveron</w:t>
      </w:r>
      <w:r w:rsidR="00072961" w:rsidRPr="00FB4ACF">
        <w:rPr>
          <w:noProof/>
          <w:sz w:val="20"/>
          <w:szCs w:val="20"/>
        </w:rPr>
        <w:t xml:space="preserve"> A. Species identification in the taxonomically neglected highly diverse neotropical parasitoid wasp genus </w:t>
      </w:r>
      <w:r w:rsidR="00072961" w:rsidRPr="00FB4ACF">
        <w:rPr>
          <w:i/>
          <w:noProof/>
          <w:sz w:val="20"/>
          <w:szCs w:val="20"/>
        </w:rPr>
        <w:t>Notiospathius</w:t>
      </w:r>
      <w:r w:rsidR="00072961" w:rsidRPr="00FB4ACF">
        <w:rPr>
          <w:noProof/>
          <w:sz w:val="20"/>
          <w:szCs w:val="20"/>
        </w:rPr>
        <w:t xml:space="preserve"> (Braconidae: Doryctinae) based on an integrative molecular and morphological approach. Mol</w:t>
      </w:r>
      <w:r w:rsidR="00E82C5A" w:rsidRPr="00FB4ACF">
        <w:rPr>
          <w:noProof/>
          <w:sz w:val="20"/>
          <w:szCs w:val="20"/>
        </w:rPr>
        <w:t xml:space="preserve"> </w:t>
      </w:r>
      <w:r w:rsidR="00072961" w:rsidRPr="00FB4ACF">
        <w:rPr>
          <w:noProof/>
          <w:sz w:val="20"/>
          <w:szCs w:val="20"/>
        </w:rPr>
        <w:t>Phylogenet Evol</w:t>
      </w:r>
      <w:r w:rsidR="00E82C5A" w:rsidRPr="00FB4ACF">
        <w:rPr>
          <w:noProof/>
          <w:sz w:val="20"/>
          <w:szCs w:val="20"/>
        </w:rPr>
        <w:t>. 2012;</w:t>
      </w:r>
      <w:r w:rsidR="00072961" w:rsidRPr="00FB4ACF">
        <w:rPr>
          <w:noProof/>
          <w:sz w:val="20"/>
          <w:szCs w:val="20"/>
        </w:rPr>
        <w:t>62</w:t>
      </w:r>
      <w:r w:rsidR="00E82C5A" w:rsidRPr="00FB4ACF">
        <w:rPr>
          <w:noProof/>
          <w:sz w:val="20"/>
          <w:szCs w:val="20"/>
        </w:rPr>
        <w:t>:</w:t>
      </w:r>
      <w:r w:rsidR="00072961" w:rsidRPr="00FB4ACF">
        <w:rPr>
          <w:noProof/>
          <w:sz w:val="20"/>
          <w:szCs w:val="20"/>
        </w:rPr>
        <w:t>485</w:t>
      </w:r>
      <w:r w:rsidR="00E82C5A" w:rsidRPr="00FB4ACF">
        <w:rPr>
          <w:noProof/>
          <w:sz w:val="20"/>
          <w:szCs w:val="20"/>
        </w:rPr>
        <w:t>–</w:t>
      </w:r>
      <w:r w:rsidR="00072961" w:rsidRPr="00FB4ACF">
        <w:rPr>
          <w:noProof/>
          <w:sz w:val="20"/>
          <w:szCs w:val="20"/>
        </w:rPr>
        <w:t>495.</w:t>
      </w:r>
    </w:p>
    <w:p w14:paraId="686591E4" w14:textId="46AA6354" w:rsidR="00072961" w:rsidRPr="00FB4ACF" w:rsidRDefault="00AE0D71" w:rsidP="00E32665">
      <w:pPr>
        <w:spacing w:after="0"/>
        <w:ind w:left="709" w:hanging="709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18. </w:t>
      </w:r>
      <w:r w:rsidR="00056368" w:rsidRPr="00FB4ACF">
        <w:rPr>
          <w:noProof/>
          <w:sz w:val="20"/>
          <w:szCs w:val="20"/>
        </w:rPr>
        <w:t xml:space="preserve">Talavera G, Dincǎ </w:t>
      </w:r>
      <w:r w:rsidR="00072961" w:rsidRPr="00FB4ACF">
        <w:rPr>
          <w:noProof/>
          <w:sz w:val="20"/>
          <w:szCs w:val="20"/>
        </w:rPr>
        <w:t>V</w:t>
      </w:r>
      <w:r w:rsidR="00056368" w:rsidRPr="00FB4ACF">
        <w:rPr>
          <w:noProof/>
          <w:sz w:val="20"/>
          <w:szCs w:val="20"/>
        </w:rPr>
        <w:t>, Vila</w:t>
      </w:r>
      <w:r w:rsidR="00072961" w:rsidRPr="00FB4ACF">
        <w:rPr>
          <w:noProof/>
          <w:sz w:val="20"/>
          <w:szCs w:val="20"/>
        </w:rPr>
        <w:t xml:space="preserve"> R. Factors affecting species delimitations with the GMYC model: Insights from a butterfly survey. </w:t>
      </w:r>
      <w:r w:rsidR="00072961" w:rsidRPr="00FB4ACF">
        <w:rPr>
          <w:iCs/>
          <w:noProof/>
          <w:sz w:val="20"/>
          <w:szCs w:val="20"/>
        </w:rPr>
        <w:t>Methods Ecol Evol</w:t>
      </w:r>
      <w:r w:rsidR="00056368" w:rsidRPr="00FB4ACF">
        <w:rPr>
          <w:iCs/>
          <w:noProof/>
          <w:sz w:val="20"/>
          <w:szCs w:val="20"/>
        </w:rPr>
        <w:t xml:space="preserve">. </w:t>
      </w:r>
      <w:r w:rsidR="00056368" w:rsidRPr="00FB4ACF">
        <w:rPr>
          <w:noProof/>
          <w:sz w:val="20"/>
          <w:szCs w:val="20"/>
        </w:rPr>
        <w:t>2013;4:</w:t>
      </w:r>
      <w:r w:rsidR="00072961" w:rsidRPr="00FB4ACF">
        <w:rPr>
          <w:noProof/>
          <w:sz w:val="20"/>
          <w:szCs w:val="20"/>
        </w:rPr>
        <w:t xml:space="preserve">1101–1110. </w:t>
      </w:r>
    </w:p>
    <w:p w14:paraId="6C3AAEF4" w14:textId="3BA3A129" w:rsidR="00072961" w:rsidRDefault="00AE0D71" w:rsidP="00E32665">
      <w:pPr>
        <w:spacing w:after="0"/>
        <w:ind w:left="709" w:hanging="709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19. </w:t>
      </w:r>
      <w:r w:rsidR="00056368" w:rsidRPr="00FB4ACF">
        <w:rPr>
          <w:noProof/>
          <w:sz w:val="20"/>
          <w:szCs w:val="20"/>
        </w:rPr>
        <w:t xml:space="preserve">Paradis E, Claude J, Strimmer K.  </w:t>
      </w:r>
      <w:r w:rsidR="00072961" w:rsidRPr="00FB4ACF">
        <w:rPr>
          <w:noProof/>
          <w:sz w:val="20"/>
          <w:szCs w:val="20"/>
        </w:rPr>
        <w:t>APE: analyses of phylogenetics and evolution in R. Bioinformatics</w:t>
      </w:r>
      <w:r w:rsidR="00056368" w:rsidRPr="00FB4ACF">
        <w:rPr>
          <w:noProof/>
          <w:sz w:val="20"/>
          <w:szCs w:val="20"/>
        </w:rPr>
        <w:t>. 2004;</w:t>
      </w:r>
      <w:r w:rsidR="00072961" w:rsidRPr="00FB4ACF">
        <w:rPr>
          <w:noProof/>
          <w:sz w:val="20"/>
          <w:szCs w:val="20"/>
        </w:rPr>
        <w:t>20</w:t>
      </w:r>
      <w:r w:rsidR="00056368" w:rsidRPr="00FB4ACF">
        <w:rPr>
          <w:noProof/>
          <w:sz w:val="20"/>
          <w:szCs w:val="20"/>
        </w:rPr>
        <w:t>:</w:t>
      </w:r>
      <w:r w:rsidR="00072961" w:rsidRPr="00FB4ACF">
        <w:rPr>
          <w:noProof/>
          <w:sz w:val="20"/>
          <w:szCs w:val="20"/>
        </w:rPr>
        <w:t>289–290.</w:t>
      </w:r>
    </w:p>
    <w:p w14:paraId="4E86C167" w14:textId="77777777" w:rsidR="008A5CFE" w:rsidRDefault="00AE0D71" w:rsidP="00E32665">
      <w:pPr>
        <w:spacing w:after="0"/>
        <w:ind w:left="709" w:hanging="709"/>
        <w:contextualSpacing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20. </w:t>
      </w:r>
      <w:r w:rsidR="002F15A3" w:rsidRPr="00D40125">
        <w:rPr>
          <w:noProof/>
          <w:sz w:val="20"/>
          <w:szCs w:val="20"/>
        </w:rPr>
        <w:t xml:space="preserve">Leaché AD, Fujita MK, Minin VN, Bouckaert RR. Species delimitation using genome-wide SNP Data. </w:t>
      </w:r>
      <w:r w:rsidR="002F15A3" w:rsidRPr="00D40125">
        <w:rPr>
          <w:iCs/>
          <w:noProof/>
          <w:sz w:val="20"/>
          <w:szCs w:val="20"/>
        </w:rPr>
        <w:t xml:space="preserve">Syst Biol. </w:t>
      </w:r>
      <w:r w:rsidR="002F15A3" w:rsidRPr="00D40125">
        <w:rPr>
          <w:noProof/>
          <w:sz w:val="20"/>
          <w:szCs w:val="20"/>
        </w:rPr>
        <w:t>2014;</w:t>
      </w:r>
      <w:r w:rsidR="002F15A3" w:rsidRPr="00D40125">
        <w:rPr>
          <w:iCs/>
          <w:noProof/>
          <w:sz w:val="20"/>
          <w:szCs w:val="20"/>
        </w:rPr>
        <w:t>63</w:t>
      </w:r>
      <w:r w:rsidR="002F15A3" w:rsidRPr="00D40125">
        <w:rPr>
          <w:noProof/>
          <w:sz w:val="20"/>
          <w:szCs w:val="20"/>
        </w:rPr>
        <w:t xml:space="preserve">:534–542. </w:t>
      </w:r>
    </w:p>
    <w:p w14:paraId="7439802D" w14:textId="22B671A6" w:rsidR="008900F5" w:rsidRPr="00D40125" w:rsidRDefault="008900F5" w:rsidP="00E32665">
      <w:pPr>
        <w:spacing w:after="0"/>
        <w:ind w:left="709" w:hanging="709"/>
        <w:contextualSpacing/>
        <w:rPr>
          <w:noProof/>
          <w:sz w:val="20"/>
          <w:szCs w:val="20"/>
        </w:rPr>
      </w:pPr>
      <w:r>
        <w:rPr>
          <w:noProof/>
          <w:sz w:val="20"/>
          <w:szCs w:val="20"/>
        </w:rPr>
        <w:t>2</w:t>
      </w:r>
      <w:r w:rsidR="00FC6B65">
        <w:rPr>
          <w:noProof/>
          <w:sz w:val="20"/>
          <w:szCs w:val="20"/>
        </w:rPr>
        <w:t>1</w:t>
      </w:r>
      <w:r>
        <w:rPr>
          <w:noProof/>
          <w:sz w:val="20"/>
          <w:szCs w:val="20"/>
        </w:rPr>
        <w:t>.</w:t>
      </w:r>
      <w:r w:rsidRPr="008900F5">
        <w:t xml:space="preserve"> </w:t>
      </w:r>
      <w:r w:rsidRPr="008900F5">
        <w:rPr>
          <w:noProof/>
          <w:sz w:val="20"/>
          <w:szCs w:val="20"/>
        </w:rPr>
        <w:t>Condamine F, Nagalingum N, Marshall C, Morlon H. Origin and diversification of living cycads: a cautionary tale on the impact of the branching process prior in Bayesian molecular dating. BMC Evol Biol. 2015;15:65.</w:t>
      </w:r>
    </w:p>
    <w:p w14:paraId="0A9443D0" w14:textId="77777777" w:rsidR="002F15A3" w:rsidRPr="00FB4ACF" w:rsidRDefault="002F15A3" w:rsidP="00E32665">
      <w:pPr>
        <w:spacing w:after="0"/>
        <w:rPr>
          <w:noProof/>
          <w:sz w:val="20"/>
          <w:szCs w:val="20"/>
          <w:lang w:val="en-GB"/>
        </w:rPr>
      </w:pPr>
    </w:p>
    <w:sectPr w:rsidR="002F15A3" w:rsidRPr="00FB4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E0D59"/>
    <w:multiLevelType w:val="hybridMultilevel"/>
    <w:tmpl w:val="9A786DD4"/>
    <w:lvl w:ilvl="0" w:tplc="C0B46D5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val="en-US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D4E2072"/>
    <w:multiLevelType w:val="hybridMultilevel"/>
    <w:tmpl w:val="6C1CEC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4D3"/>
    <w:rsid w:val="00056368"/>
    <w:rsid w:val="00060156"/>
    <w:rsid w:val="00072961"/>
    <w:rsid w:val="00082242"/>
    <w:rsid w:val="000C0497"/>
    <w:rsid w:val="00104E43"/>
    <w:rsid w:val="00106EDD"/>
    <w:rsid w:val="0013216D"/>
    <w:rsid w:val="00135D44"/>
    <w:rsid w:val="001D2C9C"/>
    <w:rsid w:val="001F69AD"/>
    <w:rsid w:val="002414BC"/>
    <w:rsid w:val="002A785A"/>
    <w:rsid w:val="002F15A3"/>
    <w:rsid w:val="003174B3"/>
    <w:rsid w:val="00337008"/>
    <w:rsid w:val="003607BF"/>
    <w:rsid w:val="004302DE"/>
    <w:rsid w:val="0046659A"/>
    <w:rsid w:val="00486E68"/>
    <w:rsid w:val="004A097F"/>
    <w:rsid w:val="004E06F2"/>
    <w:rsid w:val="00507CB9"/>
    <w:rsid w:val="005349A7"/>
    <w:rsid w:val="00563B19"/>
    <w:rsid w:val="00571C6A"/>
    <w:rsid w:val="005802AE"/>
    <w:rsid w:val="0059251F"/>
    <w:rsid w:val="0059461F"/>
    <w:rsid w:val="005C4E03"/>
    <w:rsid w:val="005D0F36"/>
    <w:rsid w:val="005E7EFD"/>
    <w:rsid w:val="00695DFF"/>
    <w:rsid w:val="006B7EA3"/>
    <w:rsid w:val="006D255A"/>
    <w:rsid w:val="006F3411"/>
    <w:rsid w:val="007510CA"/>
    <w:rsid w:val="00752598"/>
    <w:rsid w:val="00753953"/>
    <w:rsid w:val="007601C8"/>
    <w:rsid w:val="00793358"/>
    <w:rsid w:val="00793EE5"/>
    <w:rsid w:val="007A38DD"/>
    <w:rsid w:val="007C048B"/>
    <w:rsid w:val="007D0D32"/>
    <w:rsid w:val="007D53EE"/>
    <w:rsid w:val="007E216F"/>
    <w:rsid w:val="00841E14"/>
    <w:rsid w:val="00844D3A"/>
    <w:rsid w:val="008900F5"/>
    <w:rsid w:val="008A5CFE"/>
    <w:rsid w:val="008B232B"/>
    <w:rsid w:val="008E3FA4"/>
    <w:rsid w:val="008F463B"/>
    <w:rsid w:val="0091733D"/>
    <w:rsid w:val="0092184C"/>
    <w:rsid w:val="0095369C"/>
    <w:rsid w:val="009645F0"/>
    <w:rsid w:val="0097297F"/>
    <w:rsid w:val="009C03E6"/>
    <w:rsid w:val="009D672D"/>
    <w:rsid w:val="009E63AB"/>
    <w:rsid w:val="00AA4160"/>
    <w:rsid w:val="00AB060D"/>
    <w:rsid w:val="00AB3211"/>
    <w:rsid w:val="00AE0D71"/>
    <w:rsid w:val="00AE1833"/>
    <w:rsid w:val="00B21078"/>
    <w:rsid w:val="00B27D3C"/>
    <w:rsid w:val="00B608D5"/>
    <w:rsid w:val="00B82E90"/>
    <w:rsid w:val="00B82F88"/>
    <w:rsid w:val="00BD7FD5"/>
    <w:rsid w:val="00BF2E90"/>
    <w:rsid w:val="00C27A79"/>
    <w:rsid w:val="00C326ED"/>
    <w:rsid w:val="00CA157D"/>
    <w:rsid w:val="00CB6F60"/>
    <w:rsid w:val="00CC17E6"/>
    <w:rsid w:val="00CD4A3D"/>
    <w:rsid w:val="00CD789F"/>
    <w:rsid w:val="00D107B0"/>
    <w:rsid w:val="00D13C0D"/>
    <w:rsid w:val="00D21606"/>
    <w:rsid w:val="00D3596B"/>
    <w:rsid w:val="00D75AB7"/>
    <w:rsid w:val="00D81469"/>
    <w:rsid w:val="00DA7238"/>
    <w:rsid w:val="00DB0878"/>
    <w:rsid w:val="00DD2353"/>
    <w:rsid w:val="00DE54D3"/>
    <w:rsid w:val="00E10522"/>
    <w:rsid w:val="00E13B86"/>
    <w:rsid w:val="00E13E97"/>
    <w:rsid w:val="00E32665"/>
    <w:rsid w:val="00E7316A"/>
    <w:rsid w:val="00E74C08"/>
    <w:rsid w:val="00E82C5A"/>
    <w:rsid w:val="00EC7BA7"/>
    <w:rsid w:val="00F225EF"/>
    <w:rsid w:val="00F6749D"/>
    <w:rsid w:val="00F915EF"/>
    <w:rsid w:val="00F91F1A"/>
    <w:rsid w:val="00F93A06"/>
    <w:rsid w:val="00FA1E1A"/>
    <w:rsid w:val="00FA7651"/>
    <w:rsid w:val="00FB36AA"/>
    <w:rsid w:val="00FB4ACF"/>
    <w:rsid w:val="00FB4E5B"/>
    <w:rsid w:val="00FC6B65"/>
    <w:rsid w:val="00FD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90A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E54D3"/>
    <w:pPr>
      <w:spacing w:after="20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DE5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54D3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DE54D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4D3"/>
    <w:rPr>
      <w:rFonts w:ascii="Segoe UI" w:eastAsia="Times New Roman" w:hAnsi="Segoe UI" w:cs="Segoe UI"/>
      <w:sz w:val="18"/>
      <w:szCs w:val="18"/>
      <w:lang w:val="en-US" w:eastAsia="hr-HR"/>
    </w:rPr>
  </w:style>
  <w:style w:type="table" w:styleId="TableGrid">
    <w:name w:val="Table Grid"/>
    <w:basedOn w:val="TableNormal"/>
    <w:uiPriority w:val="39"/>
    <w:rsid w:val="00DE5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7"/>
    <w:basedOn w:val="TableNormal"/>
    <w:rsid w:val="00CC17E6"/>
    <w:pPr>
      <w:spacing w:after="20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hr-H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FD5"/>
    <w:rPr>
      <w:rFonts w:ascii="Times New Roman" w:eastAsia="Times New Roman" w:hAnsi="Times New Roman" w:cs="Times New Roman"/>
      <w:b/>
      <w:bCs/>
      <w:sz w:val="20"/>
      <w:szCs w:val="20"/>
      <w:lang w:val="en-US" w:eastAsia="hr-HR"/>
    </w:rPr>
  </w:style>
  <w:style w:type="paragraph" w:styleId="Caption">
    <w:name w:val="caption"/>
    <w:basedOn w:val="Normal"/>
    <w:next w:val="Normal"/>
    <w:uiPriority w:val="35"/>
    <w:unhideWhenUsed/>
    <w:qFormat/>
    <w:rsid w:val="002A785A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1733D"/>
    <w:rPr>
      <w:color w:val="0563C1" w:themeColor="hyperlink"/>
      <w:u w:val="single"/>
    </w:rPr>
  </w:style>
  <w:style w:type="paragraph" w:customStyle="1" w:styleId="Default">
    <w:name w:val="Default"/>
    <w:rsid w:val="00D216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E13E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E54D3"/>
    <w:pPr>
      <w:spacing w:after="20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DE5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54D3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DE54D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4D3"/>
    <w:rPr>
      <w:rFonts w:ascii="Segoe UI" w:eastAsia="Times New Roman" w:hAnsi="Segoe UI" w:cs="Segoe UI"/>
      <w:sz w:val="18"/>
      <w:szCs w:val="18"/>
      <w:lang w:val="en-US" w:eastAsia="hr-HR"/>
    </w:rPr>
  </w:style>
  <w:style w:type="table" w:styleId="TableGrid">
    <w:name w:val="Table Grid"/>
    <w:basedOn w:val="TableNormal"/>
    <w:uiPriority w:val="39"/>
    <w:rsid w:val="00DE5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7"/>
    <w:basedOn w:val="TableNormal"/>
    <w:rsid w:val="00CC17E6"/>
    <w:pPr>
      <w:spacing w:after="20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hr-H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FD5"/>
    <w:rPr>
      <w:rFonts w:ascii="Times New Roman" w:eastAsia="Times New Roman" w:hAnsi="Times New Roman" w:cs="Times New Roman"/>
      <w:b/>
      <w:bCs/>
      <w:sz w:val="20"/>
      <w:szCs w:val="20"/>
      <w:lang w:val="en-US" w:eastAsia="hr-HR"/>
    </w:rPr>
  </w:style>
  <w:style w:type="paragraph" w:styleId="Caption">
    <w:name w:val="caption"/>
    <w:basedOn w:val="Normal"/>
    <w:next w:val="Normal"/>
    <w:uiPriority w:val="35"/>
    <w:unhideWhenUsed/>
    <w:qFormat/>
    <w:rsid w:val="002A785A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1733D"/>
    <w:rPr>
      <w:color w:val="0563C1" w:themeColor="hyperlink"/>
      <w:u w:val="single"/>
    </w:rPr>
  </w:style>
  <w:style w:type="paragraph" w:customStyle="1" w:styleId="Default">
    <w:name w:val="Default"/>
    <w:rsid w:val="00D216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E13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1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02B5E-432F-4262-B727-02BD4DC29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1860</Words>
  <Characters>10608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</dc:creator>
  <cp:lastModifiedBy>Kalyana Sundaram T.V</cp:lastModifiedBy>
  <cp:revision>4</cp:revision>
  <dcterms:created xsi:type="dcterms:W3CDTF">2020-10-26T14:19:00Z</dcterms:created>
  <dcterms:modified xsi:type="dcterms:W3CDTF">2020-10-28T06:18:00Z</dcterms:modified>
</cp:coreProperties>
</file>