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B725D" w14:textId="77777777" w:rsidR="00D74D9D" w:rsidRPr="00975454" w:rsidRDefault="00D74D9D" w:rsidP="00D74D9D">
      <w:pPr>
        <w:suppressLineNumbers/>
        <w:spacing w:line="360" w:lineRule="auto"/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</w:pPr>
      <w:bookmarkStart w:id="0" w:name="_GoBack"/>
      <w:bookmarkEnd w:id="0"/>
      <w:r w:rsidRPr="00975454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Mid- and long-term responses of land snail communities to the intensification of mountain hay meadows management</w:t>
      </w:r>
    </w:p>
    <w:p w14:paraId="511F2204" w14:textId="77777777" w:rsidR="00D74D9D" w:rsidRPr="00975454" w:rsidRDefault="00D74D9D" w:rsidP="00D74D9D">
      <w:pPr>
        <w:pStyle w:val="Manuscript"/>
        <w:suppressLineNumbers/>
        <w:spacing w:line="360" w:lineRule="auto"/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</w:pPr>
      <w:r w:rsidRPr="00975454">
        <w:rPr>
          <w:rFonts w:cs="Calibri"/>
          <w:b w:val="0"/>
          <w:bCs/>
          <w:color w:val="000000" w:themeColor="text1"/>
          <w:sz w:val="22"/>
          <w:szCs w:val="22"/>
        </w:rPr>
        <w:t>Gerard Martínez-De León</w:t>
      </w:r>
      <w:r w:rsidRPr="00975454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a, *</w:t>
      </w:r>
      <w:r w:rsidRPr="00975454">
        <w:rPr>
          <w:rFonts w:cs="Calibri"/>
          <w:b w:val="0"/>
          <w:bCs/>
          <w:color w:val="000000" w:themeColor="text1"/>
          <w:sz w:val="22"/>
          <w:szCs w:val="22"/>
        </w:rPr>
        <w:t>, Lauriane Dani</w:t>
      </w:r>
      <w:r w:rsidRPr="00975454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r w:rsidRPr="00975454">
        <w:rPr>
          <w:rFonts w:cs="Calibri"/>
          <w:b w:val="0"/>
          <w:bCs/>
          <w:color w:val="000000" w:themeColor="text1"/>
          <w:sz w:val="22"/>
          <w:szCs w:val="22"/>
        </w:rPr>
        <w:t>, Aline Hayoz-Andrey</w:t>
      </w:r>
      <w:r w:rsidRPr="00975454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r w:rsidRPr="00975454">
        <w:rPr>
          <w:rFonts w:cs="Calibri"/>
          <w:b w:val="0"/>
          <w:bCs/>
          <w:color w:val="000000" w:themeColor="text1"/>
          <w:sz w:val="22"/>
          <w:szCs w:val="22"/>
        </w:rPr>
        <w:t>, Ségolène Humann-Guilleminot</w:t>
      </w:r>
      <w:r w:rsidRPr="00975454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r w:rsidRPr="00975454">
        <w:rPr>
          <w:rFonts w:cs="Calibri"/>
          <w:b w:val="0"/>
          <w:bCs/>
          <w:color w:val="000000" w:themeColor="text1"/>
          <w:sz w:val="22"/>
          <w:szCs w:val="22"/>
        </w:rPr>
        <w:t>, Raphaël Arlettaz</w:t>
      </w:r>
      <w:r w:rsidRPr="00975454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r w:rsidRPr="00975454">
        <w:rPr>
          <w:rFonts w:cs="Calibri"/>
          <w:b w:val="0"/>
          <w:bCs/>
          <w:color w:val="000000" w:themeColor="text1"/>
          <w:sz w:val="22"/>
          <w:szCs w:val="22"/>
        </w:rPr>
        <w:t xml:space="preserve"> and Jean-Yves Humbert</w:t>
      </w:r>
      <w:r w:rsidRPr="00975454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</w:p>
    <w:p w14:paraId="3268D131" w14:textId="77777777" w:rsidR="00D74D9D" w:rsidRPr="00975454" w:rsidRDefault="00D74D9D" w:rsidP="00D74D9D">
      <w:pPr>
        <w:pStyle w:val="Manuscript"/>
        <w:suppressLineNumbers/>
        <w:spacing w:line="360" w:lineRule="auto"/>
        <w:rPr>
          <w:b w:val="0"/>
          <w:bCs/>
          <w:color w:val="000000" w:themeColor="text1"/>
          <w:sz w:val="22"/>
          <w:szCs w:val="22"/>
        </w:rPr>
      </w:pPr>
      <w:r w:rsidRPr="00975454">
        <w:rPr>
          <w:b w:val="0"/>
          <w:bCs/>
          <w:color w:val="000000" w:themeColor="text1"/>
          <w:sz w:val="22"/>
          <w:szCs w:val="22"/>
          <w:vertAlign w:val="superscript"/>
        </w:rPr>
        <w:t xml:space="preserve">a </w:t>
      </w:r>
      <w:r w:rsidRPr="00975454">
        <w:rPr>
          <w:b w:val="0"/>
          <w:bCs/>
          <w:color w:val="000000" w:themeColor="text1"/>
          <w:sz w:val="22"/>
          <w:szCs w:val="22"/>
        </w:rPr>
        <w:t>Division of Conservation Biology, Institute of Ecology and Evolution, University of Bern, Baltzerstrasse 6, 3012 Bern, Switzerland</w:t>
      </w:r>
    </w:p>
    <w:p w14:paraId="7A2E0131" w14:textId="77777777" w:rsidR="00D74D9D" w:rsidRPr="00975454" w:rsidRDefault="00D74D9D" w:rsidP="00D74D9D">
      <w:pPr>
        <w:pStyle w:val="Manuscript"/>
        <w:suppressLineNumbers/>
        <w:spacing w:line="360" w:lineRule="auto"/>
        <w:rPr>
          <w:rFonts w:cs="Calibri"/>
          <w:b w:val="0"/>
          <w:bCs/>
          <w:color w:val="000000" w:themeColor="text1"/>
          <w:sz w:val="22"/>
          <w:szCs w:val="22"/>
        </w:rPr>
      </w:pPr>
    </w:p>
    <w:p w14:paraId="51F09E13" w14:textId="77777777" w:rsidR="00D74D9D" w:rsidRPr="00975454" w:rsidRDefault="00D74D9D" w:rsidP="00D74D9D">
      <w:pPr>
        <w:suppressLineNumbers/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975454">
        <w:rPr>
          <w:rFonts w:ascii="Calibri" w:hAnsi="Calibri" w:cs="Calibri"/>
          <w:color w:val="000000" w:themeColor="text1"/>
          <w:sz w:val="22"/>
          <w:szCs w:val="22"/>
          <w:lang w:val="en-US"/>
        </w:rPr>
        <w:t>*Corresponding author</w:t>
      </w:r>
    </w:p>
    <w:p w14:paraId="419A1C96" w14:textId="362B1877" w:rsidR="00D74D9D" w:rsidRPr="00975454" w:rsidRDefault="00D74D9D" w:rsidP="00D74D9D">
      <w:pPr>
        <w:suppressLineNumbers/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val="de-DE"/>
        </w:rPr>
      </w:pPr>
      <w:r w:rsidRPr="00975454">
        <w:rPr>
          <w:rFonts w:ascii="Calibri" w:hAnsi="Calibri" w:cs="Calibri"/>
          <w:color w:val="000000" w:themeColor="text1"/>
          <w:sz w:val="22"/>
          <w:szCs w:val="22"/>
          <w:lang w:val="de-DE"/>
        </w:rPr>
        <w:t xml:space="preserve">Email: </w:t>
      </w:r>
      <w:hyperlink r:id="rId7" w:history="1">
        <w:r w:rsidRPr="00975454">
          <w:rPr>
            <w:rStyle w:val="Hyperlink"/>
            <w:rFonts w:ascii="Calibri" w:hAnsi="Calibri" w:cs="Calibri"/>
            <w:color w:val="000000" w:themeColor="text1"/>
            <w:sz w:val="22"/>
            <w:szCs w:val="22"/>
            <w:lang w:val="de-DE"/>
          </w:rPr>
          <w:t>gerard.martinezdeleon@iee.unibe.ch</w:t>
        </w:r>
      </w:hyperlink>
      <w:r w:rsidRPr="00975454">
        <w:rPr>
          <w:rFonts w:ascii="Calibri" w:hAnsi="Calibri" w:cs="Calibri"/>
          <w:color w:val="000000" w:themeColor="text1"/>
          <w:sz w:val="22"/>
          <w:szCs w:val="22"/>
          <w:lang w:val="de-DE"/>
        </w:rPr>
        <w:t xml:space="preserve">; </w:t>
      </w:r>
      <w:hyperlink r:id="rId8" w:history="1">
        <w:r w:rsidRPr="00975454">
          <w:rPr>
            <w:rStyle w:val="Hyperlink"/>
            <w:rFonts w:ascii="Calibri" w:hAnsi="Calibri" w:cs="Calibri"/>
            <w:color w:val="000000" w:themeColor="text1"/>
            <w:sz w:val="22"/>
            <w:szCs w:val="22"/>
            <w:lang w:val="de-DE"/>
          </w:rPr>
          <w:t>martinezdeleongerard@gmail.com</w:t>
        </w:r>
      </w:hyperlink>
      <w:r w:rsidRPr="00975454">
        <w:rPr>
          <w:rFonts w:ascii="Calibri" w:hAnsi="Calibri" w:cs="Calibri"/>
          <w:color w:val="000000" w:themeColor="text1"/>
          <w:sz w:val="22"/>
          <w:szCs w:val="22"/>
          <w:lang w:val="de-DE"/>
        </w:rPr>
        <w:t xml:space="preserve">    </w:t>
      </w:r>
    </w:p>
    <w:p w14:paraId="516A32A6" w14:textId="77777777" w:rsidR="002A690E" w:rsidRPr="00975454" w:rsidRDefault="002A690E" w:rsidP="002D2EAE">
      <w:pPr>
        <w:spacing w:line="480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</w:p>
    <w:p w14:paraId="1FDB153C" w14:textId="32CA5EC9" w:rsidR="002A690E" w:rsidRPr="00975454" w:rsidRDefault="00024C23" w:rsidP="002D2EAE">
      <w:pPr>
        <w:spacing w:line="480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  <w:r w:rsidRPr="00975454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Appendix </w:t>
      </w:r>
      <w:r w:rsidR="00CF4362" w:rsidRPr="00975454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S2</w:t>
      </w:r>
      <w:r w:rsidRPr="00975454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A327A2" w:rsidRPr="00975454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- </w:t>
      </w:r>
      <w:r w:rsidR="00A327A2" w:rsidRPr="00975454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Explanatory variables of the observational </w:t>
      </w:r>
      <w:r w:rsidR="000B2001" w:rsidRPr="00975454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module</w:t>
      </w:r>
    </w:p>
    <w:p w14:paraId="74824BD4" w14:textId="4662632C" w:rsidR="00F27AAE" w:rsidRPr="00975454" w:rsidRDefault="005312D3" w:rsidP="00D74D9D">
      <w:pPr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  <w:r w:rsidRPr="00975454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Table </w:t>
      </w:r>
      <w:r w:rsidR="00CF4362" w:rsidRPr="00975454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S2</w:t>
      </w:r>
      <w:r w:rsidRPr="00975454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.1.</w:t>
      </w:r>
      <w:r w:rsidRPr="00975454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024C23" w:rsidRPr="00975454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Description of all explanatory variables collected in the observational </w:t>
      </w:r>
      <w:r w:rsidR="000B2001" w:rsidRPr="00975454">
        <w:rPr>
          <w:rFonts w:ascii="Calibri" w:hAnsi="Calibri" w:cs="Calibri"/>
          <w:color w:val="000000" w:themeColor="text1"/>
          <w:sz w:val="22"/>
          <w:szCs w:val="22"/>
          <w:lang w:val="en-GB"/>
        </w:rPr>
        <w:t>module</w:t>
      </w:r>
      <w:r w:rsidR="00024C23" w:rsidRPr="00975454">
        <w:rPr>
          <w:rFonts w:ascii="Calibri" w:hAnsi="Calibri" w:cs="Calibri"/>
          <w:color w:val="000000" w:themeColor="text1"/>
          <w:sz w:val="22"/>
          <w:szCs w:val="22"/>
          <w:lang w:val="en-GB"/>
        </w:rPr>
        <w:t>. According to their properties, variables were grouped into topographical, soil, vegetation and landscape</w:t>
      </w:r>
      <w:r w:rsidR="006453B6" w:rsidRPr="00975454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024C23" w:rsidRPr="00975454">
        <w:rPr>
          <w:rFonts w:ascii="Calibri" w:hAnsi="Calibri" w:cs="Calibri"/>
          <w:color w:val="000000" w:themeColor="text1"/>
          <w:sz w:val="22"/>
          <w:szCs w:val="22"/>
          <w:lang w:val="en-GB"/>
        </w:rPr>
        <w:t>related</w:t>
      </w:r>
      <w:r w:rsidR="006453B6" w:rsidRPr="00975454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type of variables</w:t>
      </w:r>
      <w:r w:rsidR="00024C23" w:rsidRPr="00975454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. </w:t>
      </w:r>
    </w:p>
    <w:p w14:paraId="1704F26F" w14:textId="77777777" w:rsidR="002B3757" w:rsidRPr="00975454" w:rsidRDefault="002B3757" w:rsidP="002B3757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tbl>
      <w:tblPr>
        <w:tblStyle w:val="TableGrid"/>
        <w:tblpPr w:leftFromText="141" w:rightFromText="141" w:vertAnchor="text" w:tblpXSpec="center" w:tblpY="1"/>
        <w:tblOverlap w:val="never"/>
        <w:tblW w:w="96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7"/>
        <w:gridCol w:w="2407"/>
        <w:gridCol w:w="5865"/>
      </w:tblGrid>
      <w:tr w:rsidR="00975454" w:rsidRPr="00975454" w14:paraId="35419366" w14:textId="77777777" w:rsidTr="002A690E">
        <w:trPr>
          <w:trHeight w:val="239"/>
        </w:trPr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3EE0A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Type of variable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EFD05F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5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DEBE92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Definition</w:t>
            </w:r>
          </w:p>
        </w:tc>
      </w:tr>
      <w:tr w:rsidR="00975454" w:rsidRPr="00975454" w14:paraId="04561D1A" w14:textId="77777777" w:rsidTr="002A690E">
        <w:trPr>
          <w:trHeight w:val="348"/>
        </w:trPr>
        <w:tc>
          <w:tcPr>
            <w:tcW w:w="1387" w:type="dxa"/>
            <w:vMerge w:val="restart"/>
            <w:tcBorders>
              <w:top w:val="single" w:sz="4" w:space="0" w:color="auto"/>
            </w:tcBorders>
          </w:tcPr>
          <w:p w14:paraId="2FC077EA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Topographical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05C506E8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Elevation</w:t>
            </w:r>
          </w:p>
        </w:tc>
        <w:tc>
          <w:tcPr>
            <w:tcW w:w="5865" w:type="dxa"/>
            <w:tcBorders>
              <w:top w:val="single" w:sz="4" w:space="0" w:color="auto"/>
            </w:tcBorders>
          </w:tcPr>
          <w:p w14:paraId="7CDEA468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Meters above sea level</w:t>
            </w:r>
          </w:p>
        </w:tc>
      </w:tr>
      <w:tr w:rsidR="00975454" w:rsidRPr="00975454" w14:paraId="6BB6B18B" w14:textId="77777777" w:rsidTr="002A690E">
        <w:trPr>
          <w:trHeight w:val="348"/>
        </w:trPr>
        <w:tc>
          <w:tcPr>
            <w:tcW w:w="1387" w:type="dxa"/>
            <w:vMerge/>
          </w:tcPr>
          <w:p w14:paraId="76A71089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</w:tcPr>
          <w:p w14:paraId="02324A6A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Slope</w:t>
            </w:r>
          </w:p>
        </w:tc>
        <w:tc>
          <w:tcPr>
            <w:tcW w:w="5865" w:type="dxa"/>
          </w:tcPr>
          <w:p w14:paraId="425255E9" w14:textId="431BAB4B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Steepness of the meadow [</w:t>
            </w:r>
            <w:r w:rsidR="00AC700B" w:rsidRPr="00975454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°</w:t>
            </w: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 xml:space="preserve">], </w:t>
            </w:r>
            <w:r w:rsidR="00774374"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measured using</w:t>
            </w: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 xml:space="preserve"> a compass with clinometer   </w:t>
            </w:r>
          </w:p>
        </w:tc>
      </w:tr>
      <w:tr w:rsidR="00975454" w:rsidRPr="00975454" w14:paraId="38E45CAF" w14:textId="77777777" w:rsidTr="002A690E">
        <w:trPr>
          <w:trHeight w:val="348"/>
        </w:trPr>
        <w:tc>
          <w:tcPr>
            <w:tcW w:w="1387" w:type="dxa"/>
            <w:vMerge/>
          </w:tcPr>
          <w:p w14:paraId="5AC622E5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</w:tcPr>
          <w:p w14:paraId="7E359FB4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Folded aspect</w:t>
            </w:r>
          </w:p>
        </w:tc>
        <w:tc>
          <w:tcPr>
            <w:tcW w:w="5865" w:type="dxa"/>
          </w:tcPr>
          <w:p w14:paraId="33F42962" w14:textId="7DE05E88" w:rsidR="00DF3793" w:rsidRPr="00975454" w:rsidRDefault="00774374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Exposition of the meadow [</w:t>
            </w:r>
            <w:r w:rsidRPr="00975454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°</w:t>
            </w: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]</w:t>
            </w:r>
            <w:r w:rsidR="00DF3793"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 xml:space="preserve">, measured </w:t>
            </w: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using</w:t>
            </w:r>
            <w:r w:rsidR="00DF3793"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 xml:space="preserve"> a compass with clinometer. The values were later rescaled into 0-180</w:t>
            </w:r>
            <w:r w:rsidRPr="00975454">
              <w:rPr>
                <w:rFonts w:ascii="Calibri" w:hAnsi="Calibri" w:cs="Calibri"/>
                <w:color w:val="000000" w:themeColor="text1"/>
                <w:sz w:val="20"/>
                <w:szCs w:val="20"/>
                <w:lang w:val="en-US"/>
              </w:rPr>
              <w:t>°</w:t>
            </w:r>
            <w:r w:rsidR="00DF3793"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 xml:space="preserve"> following </w:t>
            </w:r>
            <w:r w:rsidR="00DF3793"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fldChar w:fldCharType="begin" w:fldLock="1"/>
            </w:r>
            <w:r w:rsidR="00DF3793"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instrText>ADDIN CSL_CITATION {"citationItems":[{"id":"ITEM-1","itemData":{"author":[{"dropping-particle":"","family":"McCune","given":"Bruce","non-dropping-particle":"","parse-names":false,"suffix":""},{"dropping-particle":"","family":"Dylan","given":"Keon","non-dropping-particle":"","parse-names":false,"suffix":""}],"container-title":"Journal of Vegetation Science","id":"ITEM-1","issued":{"date-parts":[["2002"]]},"page":"603-606","title":"Equations for potential annual direct incident radiation and heat load","type":"article-journal","volume":"13"},"uris":["http://www.mendeley.com/documents/?uuid=999abd33-ef59-4ba2-9fcc-b441f317fcad"]}],"mendeley":{"formattedCitation":"(McCune &amp; Dylan, 2002)","manualFormatting":"McCune &amp; Dylan (2002)","plainTextFormattedCitation":"(McCune &amp; Dylan, 2002)","previouslyFormattedCitation":"(McCune &amp; Dylan, 2002)"},"properties":{"noteIndex":0},"schema":"https://github.com/citation-style-language/schema/raw/master/csl-citation.json"}</w:instrText>
            </w:r>
            <w:r w:rsidR="00DF3793"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fldChar w:fldCharType="separate"/>
            </w:r>
            <w:r w:rsidR="00DF3793" w:rsidRPr="00975454">
              <w:rPr>
                <w:rFonts w:ascii="Calibri" w:hAnsi="Calibri" w:cs="Calibri"/>
                <w:iCs/>
                <w:noProof/>
                <w:color w:val="000000" w:themeColor="text1"/>
                <w:sz w:val="20"/>
                <w:szCs w:val="20"/>
                <w:lang w:val="en-GB"/>
              </w:rPr>
              <w:t>McCune &amp; Dylan (2002)</w:t>
            </w:r>
            <w:r w:rsidR="00DF3793"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fldChar w:fldCharType="end"/>
            </w:r>
            <w:r w:rsidR="00DF3793"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 xml:space="preserve">, </w:t>
            </w:r>
            <w:r w:rsidR="002B3757"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resulting into a proxy of</w:t>
            </w:r>
            <w:r w:rsidR="00DF3793"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DF3793" w:rsidRPr="00975454">
              <w:rPr>
                <w:rFonts w:ascii="Calibri" w:eastAsiaTheme="minorHAnsi" w:hAnsi="Calibri" w:cs="Calibri"/>
                <w:color w:val="000000" w:themeColor="text1"/>
                <w:sz w:val="20"/>
                <w:szCs w:val="20"/>
                <w:lang w:val="en-GB" w:eastAsia="en-US"/>
              </w:rPr>
              <w:t>potential direct incident radiation</w:t>
            </w:r>
          </w:p>
        </w:tc>
      </w:tr>
      <w:tr w:rsidR="00975454" w:rsidRPr="00975454" w14:paraId="05133ECC" w14:textId="77777777" w:rsidTr="002A690E">
        <w:trPr>
          <w:trHeight w:val="348"/>
        </w:trPr>
        <w:tc>
          <w:tcPr>
            <w:tcW w:w="1387" w:type="dxa"/>
            <w:vMerge/>
            <w:tcBorders>
              <w:bottom w:val="single" w:sz="4" w:space="0" w:color="auto"/>
            </w:tcBorders>
          </w:tcPr>
          <w:p w14:paraId="2BC47560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2AD7A883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Heat load</w:t>
            </w:r>
          </w:p>
        </w:tc>
        <w:tc>
          <w:tcPr>
            <w:tcW w:w="5865" w:type="dxa"/>
            <w:tcBorders>
              <w:bottom w:val="single" w:sz="4" w:space="0" w:color="auto"/>
            </w:tcBorders>
          </w:tcPr>
          <w:p w14:paraId="76FA8D7F" w14:textId="77777777" w:rsidR="00DF3793" w:rsidRPr="00975454" w:rsidRDefault="00DF3793" w:rsidP="007C62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 w:themeColor="text1"/>
                <w:bdr w:val="none" w:sz="0" w:space="0" w:color="auto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lang w:val="en-GB"/>
              </w:rPr>
              <w:t>Index based on latitude, slope and aspect of the sites. Higher values of this index indicate more</w:t>
            </w:r>
            <w:r w:rsidRPr="00975454">
              <w:rPr>
                <w:rFonts w:ascii="Calibri" w:eastAsiaTheme="minorHAnsi" w:hAnsi="Calibri" w:cs="Calibri"/>
                <w:color w:val="000000" w:themeColor="text1"/>
                <w:bdr w:val="none" w:sz="0" w:space="0" w:color="auto"/>
                <w:lang w:val="en-GB"/>
              </w:rPr>
              <w:t xml:space="preserve"> heat received in the meadow by incident radiation </w:t>
            </w:r>
            <w:r w:rsidRPr="00975454">
              <w:rPr>
                <w:rFonts w:ascii="Calibri" w:eastAsiaTheme="minorHAnsi" w:hAnsi="Calibri" w:cs="Calibri"/>
                <w:color w:val="000000" w:themeColor="text1"/>
                <w:lang w:val="en-GB"/>
              </w:rPr>
              <w:fldChar w:fldCharType="begin" w:fldLock="1"/>
            </w:r>
            <w:r w:rsidRPr="00975454">
              <w:rPr>
                <w:rFonts w:ascii="Calibri" w:eastAsiaTheme="minorHAnsi" w:hAnsi="Calibri" w:cs="Calibri"/>
                <w:color w:val="000000" w:themeColor="text1"/>
                <w:bdr w:val="none" w:sz="0" w:space="0" w:color="auto"/>
                <w:lang w:val="en-GB"/>
              </w:rPr>
              <w:instrText>ADDIN CSL_CITATION {"citationItems":[{"id":"ITEM-1","itemData":{"author":[{"dropping-particle":"","family":"McCune","given":"Bruce","non-dropping-particle":"","parse-names":false,"suffix":""},{"dropping-particle":"","family":"Dylan","given":"Keon","non-dropping-particle":"","parse-names":false,"suffix":""}],"container-title":"Journal of Vegetation Science","id":"ITEM-1","issued":{"date-parts":[["2002"]]},"page":"603-606","title":"Equations for potential annual direct incident radiation and heat load","type":"article-journal","volume":"13"},"uris":["http://www.mendeley.com/documents/?uuid=999abd33-ef59-4ba2-9fcc-b441f317fcad"]}],"mendeley":{"formattedCitation":"(McCune &amp; Dylan, 2002)","plainTextFormattedCitation":"(McCune &amp; Dylan, 2002)","previouslyFormattedCitation":"(McCune &amp; Dylan, 2002)"},"properties":{"noteIndex":0},"schema":"https://github.com/citation-style-language/schema/raw/master/csl-citation.json"}</w:instrText>
            </w:r>
            <w:r w:rsidRPr="00975454">
              <w:rPr>
                <w:rFonts w:ascii="Calibri" w:eastAsiaTheme="minorHAnsi" w:hAnsi="Calibri" w:cs="Calibri"/>
                <w:color w:val="000000" w:themeColor="text1"/>
                <w:lang w:val="en-GB"/>
              </w:rPr>
              <w:fldChar w:fldCharType="separate"/>
            </w:r>
            <w:r w:rsidRPr="00975454">
              <w:rPr>
                <w:rFonts w:ascii="Calibri" w:eastAsiaTheme="minorHAnsi" w:hAnsi="Calibri" w:cs="Calibri"/>
                <w:noProof/>
                <w:color w:val="000000" w:themeColor="text1"/>
                <w:bdr w:val="none" w:sz="0" w:space="0" w:color="auto"/>
                <w:lang w:val="en-GB"/>
              </w:rPr>
              <w:t>(McCune &amp; Dylan, 2002)</w:t>
            </w:r>
            <w:r w:rsidRPr="00975454">
              <w:rPr>
                <w:rFonts w:ascii="Calibri" w:eastAsiaTheme="minorHAnsi" w:hAnsi="Calibri" w:cs="Calibri"/>
                <w:color w:val="000000" w:themeColor="text1"/>
                <w:lang w:val="en-GB"/>
              </w:rPr>
              <w:fldChar w:fldCharType="end"/>
            </w:r>
          </w:p>
        </w:tc>
      </w:tr>
      <w:tr w:rsidR="00975454" w:rsidRPr="00975454" w14:paraId="05A2D767" w14:textId="77777777" w:rsidTr="002A690E">
        <w:trPr>
          <w:trHeight w:val="577"/>
        </w:trPr>
        <w:tc>
          <w:tcPr>
            <w:tcW w:w="1387" w:type="dxa"/>
            <w:vMerge w:val="restart"/>
            <w:tcBorders>
              <w:top w:val="single" w:sz="4" w:space="0" w:color="auto"/>
            </w:tcBorders>
          </w:tcPr>
          <w:p w14:paraId="4E5CBCC0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Soil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56C1E4C5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pH</w:t>
            </w:r>
          </w:p>
        </w:tc>
        <w:tc>
          <w:tcPr>
            <w:tcW w:w="5865" w:type="dxa"/>
            <w:tcBorders>
              <w:top w:val="single" w:sz="4" w:space="0" w:color="auto"/>
            </w:tcBorders>
          </w:tcPr>
          <w:p w14:paraId="24A65D62" w14:textId="77777777" w:rsidR="00DF3793" w:rsidRPr="00975454" w:rsidRDefault="00DF3793" w:rsidP="007C62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 w:themeColor="text1"/>
                <w:bdr w:val="none" w:sz="0" w:space="0" w:color="auto"/>
                <w:lang w:val="en-GB"/>
              </w:rPr>
            </w:pPr>
            <w:r w:rsidRPr="00975454">
              <w:rPr>
                <w:rFonts w:ascii="Calibri" w:hAnsi="Calibri" w:cs="Calibri"/>
                <w:color w:val="000000" w:themeColor="text1"/>
                <w:lang w:val="en-GB"/>
              </w:rPr>
              <w:t>Acidity of the soil (acid: [1-6], neutral: [7] and basic: [8-14])</w:t>
            </w:r>
          </w:p>
          <w:p w14:paraId="1D594B1A" w14:textId="77777777" w:rsidR="00DF3793" w:rsidRPr="00975454" w:rsidRDefault="00DF3793" w:rsidP="007C62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 w:themeColor="text1"/>
                <w:bdr w:val="none" w:sz="0" w:space="0" w:color="auto"/>
                <w:lang w:val="en-GB"/>
              </w:rPr>
            </w:pPr>
          </w:p>
        </w:tc>
      </w:tr>
      <w:tr w:rsidR="00975454" w:rsidRPr="00975454" w14:paraId="5F4B5624" w14:textId="77777777" w:rsidTr="002A690E">
        <w:trPr>
          <w:trHeight w:val="354"/>
        </w:trPr>
        <w:tc>
          <w:tcPr>
            <w:tcW w:w="1387" w:type="dxa"/>
            <w:vMerge/>
          </w:tcPr>
          <w:p w14:paraId="532E2B50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</w:tcPr>
          <w:p w14:paraId="2D406BF0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Grain size distribution</w:t>
            </w:r>
          </w:p>
        </w:tc>
        <w:tc>
          <w:tcPr>
            <w:tcW w:w="5865" w:type="dxa"/>
          </w:tcPr>
          <w:p w14:paraId="2440A6CA" w14:textId="77777777" w:rsidR="00DF3793" w:rsidRPr="00975454" w:rsidRDefault="00DF3793" w:rsidP="007C62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 w:themeColor="text1"/>
                <w:bdr w:val="none" w:sz="0" w:space="0" w:color="auto"/>
                <w:lang w:val="en-GB"/>
              </w:rPr>
            </w:pPr>
            <w:r w:rsidRPr="00975454">
              <w:rPr>
                <w:rFonts w:ascii="Calibri" w:eastAsiaTheme="minorHAnsi" w:hAnsi="Calibri" w:cs="Calibri"/>
                <w:color w:val="000000" w:themeColor="text1"/>
                <w:bdr w:val="none" w:sz="0" w:space="0" w:color="auto"/>
                <w:lang w:val="en-GB"/>
              </w:rPr>
              <w:t>Proportion of clay (0.02 μm - 2.00 μm), silt (2.00 – 63.00 μm) and sand (63.00 – 2000.00 μm)</w:t>
            </w:r>
          </w:p>
        </w:tc>
      </w:tr>
      <w:tr w:rsidR="00975454" w:rsidRPr="00975454" w14:paraId="5894D33D" w14:textId="77777777" w:rsidTr="002A690E">
        <w:trPr>
          <w:trHeight w:val="354"/>
        </w:trPr>
        <w:tc>
          <w:tcPr>
            <w:tcW w:w="1387" w:type="dxa"/>
            <w:vMerge/>
          </w:tcPr>
          <w:p w14:paraId="68349D36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</w:tcPr>
          <w:p w14:paraId="457FFD4E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 xml:space="preserve">Inorganic and total carbon </w:t>
            </w:r>
          </w:p>
        </w:tc>
        <w:tc>
          <w:tcPr>
            <w:tcW w:w="5865" w:type="dxa"/>
          </w:tcPr>
          <w:p w14:paraId="67F74B95" w14:textId="77777777" w:rsidR="00DF3793" w:rsidRPr="00975454" w:rsidRDefault="00DF3793" w:rsidP="007C62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color w:val="000000" w:themeColor="text1"/>
                <w:bdr w:val="none" w:sz="0" w:space="0" w:color="auto"/>
                <w:lang w:val="en-GB"/>
              </w:rPr>
            </w:pPr>
            <w:r w:rsidRPr="00975454">
              <w:rPr>
                <w:rFonts w:ascii="Calibri" w:hAnsi="Calibri" w:cs="Calibri"/>
                <w:color w:val="000000" w:themeColor="text1"/>
                <w:lang w:val="en-GB"/>
              </w:rPr>
              <w:t>Carbon concentration in the soil [% of weight]. Inorganic carbon was measured as the difference between total carbon and organic carbon after reaction with HCl</w:t>
            </w:r>
          </w:p>
          <w:p w14:paraId="151B6F98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975454" w:rsidRPr="00975454" w14:paraId="14B871E0" w14:textId="77777777" w:rsidTr="002A690E">
        <w:trPr>
          <w:trHeight w:val="354"/>
        </w:trPr>
        <w:tc>
          <w:tcPr>
            <w:tcW w:w="1387" w:type="dxa"/>
            <w:vMerge/>
          </w:tcPr>
          <w:p w14:paraId="6078ADC4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</w:tcPr>
          <w:p w14:paraId="10AF138B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Nitrogen</w:t>
            </w:r>
          </w:p>
        </w:tc>
        <w:tc>
          <w:tcPr>
            <w:tcW w:w="5865" w:type="dxa"/>
          </w:tcPr>
          <w:p w14:paraId="7A511C52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color w:val="000000" w:themeColor="text1"/>
                <w:sz w:val="20"/>
                <w:szCs w:val="20"/>
                <w:lang w:val="en-GB"/>
              </w:rPr>
              <w:t>Nitrogen concentration in the soil [% of weight]</w:t>
            </w:r>
          </w:p>
        </w:tc>
      </w:tr>
      <w:tr w:rsidR="00975454" w:rsidRPr="00975454" w14:paraId="28E5D199" w14:textId="77777777" w:rsidTr="002A690E">
        <w:trPr>
          <w:trHeight w:val="354"/>
        </w:trPr>
        <w:tc>
          <w:tcPr>
            <w:tcW w:w="1387" w:type="dxa"/>
            <w:vMerge/>
            <w:tcBorders>
              <w:bottom w:val="single" w:sz="4" w:space="0" w:color="auto"/>
            </w:tcBorders>
          </w:tcPr>
          <w:p w14:paraId="02F54A10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1726F752" w14:textId="77777777" w:rsidR="00DF3793" w:rsidRPr="00975454" w:rsidRDefault="00DF3793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C:N ratio</w:t>
            </w:r>
          </w:p>
        </w:tc>
        <w:tc>
          <w:tcPr>
            <w:tcW w:w="5865" w:type="dxa"/>
            <w:tcBorders>
              <w:bottom w:val="single" w:sz="4" w:space="0" w:color="auto"/>
            </w:tcBorders>
          </w:tcPr>
          <w:p w14:paraId="6497A6C5" w14:textId="77777777" w:rsidR="00DF3793" w:rsidRPr="00975454" w:rsidRDefault="00DF3793" w:rsidP="007C62F9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color w:val="000000" w:themeColor="text1"/>
                <w:lang w:val="en-GB"/>
              </w:rPr>
            </w:pPr>
            <w:r w:rsidRPr="00975454">
              <w:rPr>
                <w:rFonts w:ascii="Calibri" w:hAnsi="Calibri" w:cs="Calibri"/>
                <w:color w:val="000000" w:themeColor="text1"/>
                <w:lang w:val="en-GB"/>
              </w:rPr>
              <w:t xml:space="preserve">Ratio of carbon and nitrogen in the soil, as a measure </w:t>
            </w:r>
            <w:r w:rsidRPr="00975454">
              <w:rPr>
                <w:rFonts w:ascii="Calibri" w:eastAsiaTheme="minorHAnsi" w:hAnsi="Calibri" w:cs="Calibri"/>
                <w:color w:val="000000" w:themeColor="text1"/>
                <w:lang w:val="en-GB" w:eastAsia="en-US"/>
              </w:rPr>
              <w:t xml:space="preserve">of nitrogen available for plant uptake </w:t>
            </w:r>
            <w:r w:rsidRPr="00975454">
              <w:rPr>
                <w:rFonts w:ascii="Calibri" w:eastAsiaTheme="minorHAnsi" w:hAnsi="Calibri" w:cs="Calibri"/>
                <w:color w:val="000000" w:themeColor="text1"/>
                <w:lang w:val="en-GB" w:eastAsia="en-US"/>
              </w:rPr>
              <w:fldChar w:fldCharType="begin" w:fldLock="1"/>
            </w:r>
            <w:r w:rsidRPr="00975454">
              <w:rPr>
                <w:rFonts w:ascii="Calibri" w:eastAsiaTheme="minorHAnsi" w:hAnsi="Calibri" w:cs="Calibri"/>
                <w:color w:val="000000" w:themeColor="text1"/>
                <w:lang w:val="en-GB" w:eastAsia="en-US"/>
              </w:rPr>
              <w:instrText>ADDIN CSL_CITATION {"citationItems":[{"id":"ITEM-1","itemData":{"author":[{"dropping-particle":"","family":"Hodge","given":"Angela","non-dropping-particle":"","parse-names":false,"suffix":""},{"dropping-particle":"","family":"Robinson","given":"David","non-dropping-particle":"","parse-names":false,"suffix":""},{"dropping-particle":"","family":"Fitter","given":"Alastair","non-dropping-particle":"","parse-names":false,"suffix":""}],"container-title":"Trends in Plant Science","id":"ITEM-1","issue":"7","issued":{"date-parts":[["2000"]]},"page":"304-308","title":"Are microorganisms more effective than plants at competing for nitrogen?","type":"article-journal","volume":"5"},"uris":["http://www.mendeley.com/documents/?uuid=81806eac-dc4b-46ad-ab10-f63cb45ca1b7"]}],"mendeley":{"formattedCitation":"(Hodge, Robinson, &amp; Fitter, 2000)","plainTextFormattedCitation":"(Hodge, Robinson, &amp; Fitter, 2000)","previouslyFormattedCitation":"(Hodge, Robinson, &amp; Fitter, 2000)"},"properties":{"noteIndex":0},"schema":"https://github.com/citation-style-language/schema/raw/master/csl-citation.json"}</w:instrText>
            </w:r>
            <w:r w:rsidRPr="00975454">
              <w:rPr>
                <w:rFonts w:ascii="Calibri" w:eastAsiaTheme="minorHAnsi" w:hAnsi="Calibri" w:cs="Calibri"/>
                <w:color w:val="000000" w:themeColor="text1"/>
                <w:lang w:val="en-GB" w:eastAsia="en-US"/>
              </w:rPr>
              <w:fldChar w:fldCharType="separate"/>
            </w:r>
            <w:r w:rsidRPr="00975454">
              <w:rPr>
                <w:rFonts w:ascii="Calibri" w:eastAsiaTheme="minorHAnsi" w:hAnsi="Calibri" w:cs="Calibri"/>
                <w:noProof/>
                <w:color w:val="000000" w:themeColor="text1"/>
                <w:lang w:val="en-GB" w:eastAsia="en-US"/>
              </w:rPr>
              <w:t>(Hodge, Robinson, &amp; Fitter, 2000)</w:t>
            </w:r>
            <w:r w:rsidRPr="00975454">
              <w:rPr>
                <w:rFonts w:ascii="Calibri" w:eastAsiaTheme="minorHAnsi" w:hAnsi="Calibri" w:cs="Calibri"/>
                <w:color w:val="000000" w:themeColor="text1"/>
                <w:lang w:val="en-GB" w:eastAsia="en-US"/>
              </w:rPr>
              <w:fldChar w:fldCharType="end"/>
            </w:r>
          </w:p>
        </w:tc>
      </w:tr>
      <w:tr w:rsidR="00975454" w:rsidRPr="00975454" w14:paraId="42F8F9F8" w14:textId="77777777" w:rsidTr="002A690E">
        <w:trPr>
          <w:trHeight w:val="243"/>
        </w:trPr>
        <w:tc>
          <w:tcPr>
            <w:tcW w:w="1387" w:type="dxa"/>
            <w:vMerge w:val="restart"/>
            <w:tcBorders>
              <w:top w:val="single" w:sz="4" w:space="0" w:color="auto"/>
            </w:tcBorders>
          </w:tcPr>
          <w:p w14:paraId="13A6A1FE" w14:textId="77777777" w:rsidR="002A690E" w:rsidRPr="00975454" w:rsidRDefault="002A690E" w:rsidP="007C62F9">
            <w:pPr>
              <w:pStyle w:val="Cos"/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Vegetation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7AA144B8" w14:textId="77777777" w:rsidR="002A690E" w:rsidRPr="00975454" w:rsidRDefault="002A690E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Plant species richness</w:t>
            </w:r>
          </w:p>
        </w:tc>
        <w:tc>
          <w:tcPr>
            <w:tcW w:w="5865" w:type="dxa"/>
            <w:tcBorders>
              <w:top w:val="single" w:sz="4" w:space="0" w:color="auto"/>
            </w:tcBorders>
          </w:tcPr>
          <w:p w14:paraId="0F120FE8" w14:textId="6885A019" w:rsidR="002A690E" w:rsidRPr="00975454" w:rsidRDefault="002A690E" w:rsidP="00774A98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Total number of species recorded in the two vegetation plots</w:t>
            </w:r>
          </w:p>
        </w:tc>
      </w:tr>
      <w:tr w:rsidR="00975454" w:rsidRPr="00975454" w14:paraId="1D1DF48C" w14:textId="77777777" w:rsidTr="002A690E">
        <w:trPr>
          <w:trHeight w:val="243"/>
        </w:trPr>
        <w:tc>
          <w:tcPr>
            <w:tcW w:w="1387" w:type="dxa"/>
            <w:vMerge/>
          </w:tcPr>
          <w:p w14:paraId="649A6BE5" w14:textId="77777777" w:rsidR="002A690E" w:rsidRPr="00975454" w:rsidRDefault="002A690E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</w:tcPr>
          <w:p w14:paraId="132A1100" w14:textId="77777777" w:rsidR="002A690E" w:rsidRPr="00975454" w:rsidRDefault="002A690E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Shannon index of plant diversity</w:t>
            </w:r>
          </w:p>
        </w:tc>
        <w:tc>
          <w:tcPr>
            <w:tcW w:w="5865" w:type="dxa"/>
          </w:tcPr>
          <w:p w14:paraId="1ECACCFD" w14:textId="77777777" w:rsidR="002A690E" w:rsidRPr="00975454" w:rsidRDefault="002A690E" w:rsidP="007C62F9">
            <w:pPr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975454">
              <w:rPr>
                <w:rFonts w:ascii="Calibri" w:hAnsi="Calibri" w:cs="Calibri"/>
                <w:color w:val="000000" w:themeColor="text1"/>
                <w:lang w:val="en-GB"/>
              </w:rPr>
              <w:t>Plant species richness weighted with the percentage cover</w:t>
            </w:r>
          </w:p>
          <w:p w14:paraId="6526D09D" w14:textId="77777777" w:rsidR="002A690E" w:rsidRPr="00975454" w:rsidRDefault="002A690E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975454" w:rsidRPr="00975454" w14:paraId="42CE22BE" w14:textId="77777777" w:rsidTr="002A690E">
        <w:trPr>
          <w:trHeight w:val="243"/>
        </w:trPr>
        <w:tc>
          <w:tcPr>
            <w:tcW w:w="1387" w:type="dxa"/>
            <w:vMerge/>
          </w:tcPr>
          <w:p w14:paraId="213B6CB6" w14:textId="77777777" w:rsidR="002A690E" w:rsidRPr="00975454" w:rsidRDefault="002A690E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</w:tcPr>
          <w:p w14:paraId="7FC65163" w14:textId="77777777" w:rsidR="002A690E" w:rsidRPr="00975454" w:rsidRDefault="002A690E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Landolt humidity - Community Weighted Mean</w:t>
            </w:r>
          </w:p>
        </w:tc>
        <w:tc>
          <w:tcPr>
            <w:tcW w:w="5865" w:type="dxa"/>
          </w:tcPr>
          <w:p w14:paraId="42794EBB" w14:textId="77777777" w:rsidR="002A690E" w:rsidRPr="00975454" w:rsidRDefault="002A690E" w:rsidP="007C62F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 w:themeColor="text1"/>
                <w:lang w:val="en-GB" w:eastAsia="en-US"/>
              </w:rPr>
            </w:pPr>
            <w:r w:rsidRPr="00975454">
              <w:rPr>
                <w:rFonts w:ascii="Calibri" w:eastAsiaTheme="minorHAnsi" w:hAnsi="Calibri" w:cs="Calibri"/>
                <w:color w:val="000000" w:themeColor="text1"/>
                <w:lang w:val="en-GB" w:eastAsia="en-US"/>
              </w:rPr>
              <w:t xml:space="preserve">Value of each plant species according to their soil humidity requirements, from 1 (very dry) to 5 (aquatic), weighted by their cover in the plot </w:t>
            </w:r>
            <w:r w:rsidRPr="00975454">
              <w:rPr>
                <w:rFonts w:ascii="Calibri" w:eastAsiaTheme="minorHAnsi" w:hAnsi="Calibri" w:cs="Calibri"/>
                <w:color w:val="000000" w:themeColor="text1"/>
                <w:lang w:val="en-GB" w:eastAsia="en-US"/>
              </w:rPr>
              <w:fldChar w:fldCharType="begin" w:fldLock="1"/>
            </w:r>
            <w:r w:rsidRPr="00975454">
              <w:rPr>
                <w:rFonts w:ascii="Calibri" w:eastAsiaTheme="minorHAnsi" w:hAnsi="Calibri" w:cs="Calibri"/>
                <w:color w:val="000000" w:themeColor="text1"/>
                <w:lang w:val="en-GB" w:eastAsia="en-US"/>
              </w:rPr>
              <w:instrText>ADDIN CSL_CITATION {"citationItems":[{"id":"ITEM-1","itemData":{"author":[{"dropping-particle":"","family":"Landolt","given":"E","non-dropping-particle":"","parse-names":false,"suffix":""},{"dropping-particle":"","family":"Bäumler","given":"B","non-dropping-particle":"","parse-names":false,"suffix":""},{"dropping-particle":"","family":"Erhardt","given":"A","non-dropping-particle":"","parse-names":false,"suffix":""},{"dropping-particle":"","family":"Hegg","given":"O","non-dropping-particle":"","parse-names":false,"suffix":""},{"dropping-particle":"","family":"Klötzli","given":"F","non-dropping-particle":"","parse-names":false,"suffix":""},{"dropping-particle":"","family":"Lämmler","given":"W","non-dropping-particle":"","parse-names":false,"suffix":""},{"dropping-particle":"","family":"Nobis","given":"M","non-dropping-particle":"","parse-names":false,"suffix":""},{"dropping-particle":"","family":"Rudmann-Maurer","given":"K","non-dropping-particle":"","parse-names":false,"suffix":""},{"dropping-particle":"","family":"Schweingruber","given":"FH","non-dropping-particle":"","parse-names":false,"suffix":""},{"dropping-particle":"","family":"Theurillat","given":"J-P","non-dropping-particle":"","parse-names":false,"suffix":""},{"dropping-particle":"","family":"Urmi","given":"E","non-dropping-particle":"","parse-names":false,"suffix":""},{"dropping-particle":"","family":"Vust","given":"M","non-dropping-particle":"","parse-names":false,"suffix":""},{"dropping-particle":"","family":"Wohlgemuth","given":"T","non-dropping-particle":"","parse-names":false,"suffix":""}],"edition":"2","id":"ITEM-1","issued":{"date-parts":[["2010"]]},"number-of-pages":"376","publisher":"Haupt","title":"Flora indicativa. Ökologische Zeigerwerte und biologische Kennzeichen zur Flora der Schweiz und der Alpen. Ecological indicators values and biological attributes of the flora of Switzerland and the Alps (2nd ed.)","type":"book"},"uris":["http://www.mendeley.com/documents/?uuid=01a54162-901c-4783-adad-6b66e57bd89b"]}],"mendeley":{"formattedCitation":"(Landolt et al., 2010)","plainTextFormattedCitation":"(Landolt et al., 2010)","previouslyFormattedCitation":"(Landolt et al., 2010)"},"properties":{"noteIndex":0},"schema":"https://github.com/citation-style-language/schema/raw/master/csl-citation.json"}</w:instrText>
            </w:r>
            <w:r w:rsidRPr="00975454">
              <w:rPr>
                <w:rFonts w:ascii="Calibri" w:eastAsiaTheme="minorHAnsi" w:hAnsi="Calibri" w:cs="Calibri"/>
                <w:color w:val="000000" w:themeColor="text1"/>
                <w:lang w:val="en-GB" w:eastAsia="en-US"/>
              </w:rPr>
              <w:fldChar w:fldCharType="separate"/>
            </w:r>
            <w:r w:rsidRPr="00975454">
              <w:rPr>
                <w:rFonts w:ascii="Calibri" w:eastAsiaTheme="minorHAnsi" w:hAnsi="Calibri" w:cs="Calibri"/>
                <w:noProof/>
                <w:color w:val="000000" w:themeColor="text1"/>
                <w:lang w:val="en-GB" w:eastAsia="en-US"/>
              </w:rPr>
              <w:t>(Landolt et al., 2010)</w:t>
            </w:r>
            <w:r w:rsidRPr="00975454">
              <w:rPr>
                <w:rFonts w:ascii="Calibri" w:eastAsiaTheme="minorHAnsi" w:hAnsi="Calibri" w:cs="Calibri"/>
                <w:color w:val="000000" w:themeColor="text1"/>
                <w:lang w:val="en-GB" w:eastAsia="en-US"/>
              </w:rPr>
              <w:fldChar w:fldCharType="end"/>
            </w:r>
          </w:p>
        </w:tc>
      </w:tr>
      <w:tr w:rsidR="00975454" w:rsidRPr="00975454" w14:paraId="11252CF8" w14:textId="77777777" w:rsidTr="002A690E">
        <w:trPr>
          <w:trHeight w:val="243"/>
        </w:trPr>
        <w:tc>
          <w:tcPr>
            <w:tcW w:w="1387" w:type="dxa"/>
            <w:vMerge/>
            <w:tcBorders>
              <w:bottom w:val="single" w:sz="4" w:space="0" w:color="auto"/>
            </w:tcBorders>
          </w:tcPr>
          <w:p w14:paraId="79179F72" w14:textId="77777777" w:rsidR="002A690E" w:rsidRPr="00975454" w:rsidRDefault="002A690E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1A4CE31C" w14:textId="77777777" w:rsidR="002A690E" w:rsidRPr="00975454" w:rsidRDefault="002A690E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Cover of plant functional groups (forbs, grasses, legumes)</w:t>
            </w:r>
          </w:p>
        </w:tc>
        <w:tc>
          <w:tcPr>
            <w:tcW w:w="5865" w:type="dxa"/>
            <w:tcBorders>
              <w:bottom w:val="single" w:sz="4" w:space="0" w:color="auto"/>
            </w:tcBorders>
          </w:tcPr>
          <w:p w14:paraId="3A7E0F7E" w14:textId="77777777" w:rsidR="002A690E" w:rsidRPr="00975454" w:rsidRDefault="002A690E" w:rsidP="007C62F9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Groups were defined according to the family to which each plant species belonged: legumes (Fabaceae), grasses (Poaceae, Juncaceae, Cyperaceae) and forbs (other families).</w:t>
            </w:r>
          </w:p>
        </w:tc>
      </w:tr>
      <w:tr w:rsidR="00975454" w:rsidRPr="00975454" w14:paraId="20A50BB9" w14:textId="77777777" w:rsidTr="002A690E">
        <w:trPr>
          <w:trHeight w:val="555"/>
        </w:trPr>
        <w:tc>
          <w:tcPr>
            <w:tcW w:w="1387" w:type="dxa"/>
            <w:tcBorders>
              <w:top w:val="single" w:sz="4" w:space="0" w:color="auto"/>
            </w:tcBorders>
          </w:tcPr>
          <w:p w14:paraId="6CCB3866" w14:textId="24792EC5" w:rsidR="002A690E" w:rsidRPr="00975454" w:rsidRDefault="002A690E" w:rsidP="002A690E">
            <w:pPr>
              <w:pStyle w:val="Cos"/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lastRenderedPageBreak/>
              <w:t>Type of variable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14:paraId="4B3F9E69" w14:textId="58040705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5865" w:type="dxa"/>
            <w:tcBorders>
              <w:top w:val="single" w:sz="4" w:space="0" w:color="auto"/>
              <w:bottom w:val="single" w:sz="4" w:space="0" w:color="auto"/>
            </w:tcBorders>
          </w:tcPr>
          <w:p w14:paraId="62ACF7A3" w14:textId="2D8E2149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Definition</w:t>
            </w:r>
          </w:p>
        </w:tc>
      </w:tr>
      <w:tr w:rsidR="00975454" w:rsidRPr="00975454" w14:paraId="6397AE2E" w14:textId="77777777" w:rsidTr="002A690E">
        <w:trPr>
          <w:trHeight w:val="269"/>
        </w:trPr>
        <w:tc>
          <w:tcPr>
            <w:tcW w:w="1387" w:type="dxa"/>
            <w:vMerge w:val="restart"/>
            <w:tcBorders>
              <w:top w:val="single" w:sz="4" w:space="0" w:color="auto"/>
            </w:tcBorders>
          </w:tcPr>
          <w:p w14:paraId="130C0ED2" w14:textId="244B8E34" w:rsidR="002A690E" w:rsidRPr="00975454" w:rsidRDefault="002A690E" w:rsidP="002A690E">
            <w:pPr>
              <w:pStyle w:val="Cos"/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Vegetation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50A1534C" w14:textId="06CF0ECE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Bare ground</w:t>
            </w:r>
          </w:p>
        </w:tc>
        <w:tc>
          <w:tcPr>
            <w:tcW w:w="5865" w:type="dxa"/>
            <w:tcBorders>
              <w:top w:val="single" w:sz="4" w:space="0" w:color="auto"/>
            </w:tcBorders>
          </w:tcPr>
          <w:p w14:paraId="58056F9D" w14:textId="50779FB2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Visual estimation of the cover of bare ground [%]</w:t>
            </w:r>
          </w:p>
        </w:tc>
      </w:tr>
      <w:tr w:rsidR="00975454" w:rsidRPr="00975454" w14:paraId="5DEFA869" w14:textId="77777777" w:rsidTr="002A690E">
        <w:trPr>
          <w:trHeight w:val="43"/>
        </w:trPr>
        <w:tc>
          <w:tcPr>
            <w:tcW w:w="1387" w:type="dxa"/>
            <w:vMerge/>
          </w:tcPr>
          <w:p w14:paraId="5A3AD18D" w14:textId="2EDE6168" w:rsidR="002A690E" w:rsidRPr="00975454" w:rsidRDefault="002A690E" w:rsidP="002A690E">
            <w:pPr>
              <w:pStyle w:val="Cos"/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</w:tcPr>
          <w:p w14:paraId="1D85F58D" w14:textId="1836459C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Litter</w:t>
            </w:r>
          </w:p>
        </w:tc>
        <w:tc>
          <w:tcPr>
            <w:tcW w:w="5865" w:type="dxa"/>
          </w:tcPr>
          <w:p w14:paraId="5DBE05C1" w14:textId="75193242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Visual estimation of the cover of litter [%]</w:t>
            </w:r>
          </w:p>
        </w:tc>
      </w:tr>
      <w:tr w:rsidR="00975454" w:rsidRPr="00975454" w14:paraId="39F0CA19" w14:textId="77777777" w:rsidTr="003743EC">
        <w:trPr>
          <w:trHeight w:val="243"/>
        </w:trPr>
        <w:tc>
          <w:tcPr>
            <w:tcW w:w="1387" w:type="dxa"/>
            <w:vMerge/>
          </w:tcPr>
          <w:p w14:paraId="4E1CA22E" w14:textId="3A87EB19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</w:tcPr>
          <w:p w14:paraId="3B8696FA" w14:textId="62A9FDD8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Mean vegetation height</w:t>
            </w:r>
          </w:p>
        </w:tc>
        <w:tc>
          <w:tcPr>
            <w:tcW w:w="5865" w:type="dxa"/>
          </w:tcPr>
          <w:p w14:paraId="778EBCE0" w14:textId="2E7C28A7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eastAsiaTheme="minorHAnsi" w:hAnsi="Calibri" w:cs="Calibri"/>
                <w:color w:val="000000" w:themeColor="text1"/>
                <w:sz w:val="20"/>
                <w:szCs w:val="20"/>
                <w:lang w:val="en-GB" w:eastAsia="en-US"/>
              </w:rPr>
              <w:t xml:space="preserve">Mean height [cm] of every contact point with a plant in measuring location. This was done in 10 locations along two diagonal transects crossing the entire meadow, once before each hay cut. </w:t>
            </w:r>
          </w:p>
        </w:tc>
      </w:tr>
      <w:tr w:rsidR="00975454" w:rsidRPr="00975454" w14:paraId="78F7E6C9" w14:textId="77777777" w:rsidTr="002A690E">
        <w:trPr>
          <w:trHeight w:val="37"/>
        </w:trPr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</w:tcPr>
          <w:p w14:paraId="5D980685" w14:textId="77777777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Management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14:paraId="2C3F0691" w14:textId="77777777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 xml:space="preserve">Irrigation </w:t>
            </w:r>
          </w:p>
        </w:tc>
        <w:tc>
          <w:tcPr>
            <w:tcW w:w="5865" w:type="dxa"/>
            <w:tcBorders>
              <w:top w:val="single" w:sz="4" w:space="0" w:color="auto"/>
              <w:bottom w:val="single" w:sz="4" w:space="0" w:color="auto"/>
            </w:tcBorders>
          </w:tcPr>
          <w:p w14:paraId="5513F056" w14:textId="77777777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Presence or absence of irrigation with sprinklers</w:t>
            </w:r>
          </w:p>
        </w:tc>
      </w:tr>
      <w:tr w:rsidR="00975454" w:rsidRPr="00975454" w14:paraId="2B544974" w14:textId="77777777" w:rsidTr="002A690E">
        <w:trPr>
          <w:trHeight w:val="202"/>
        </w:trPr>
        <w:tc>
          <w:tcPr>
            <w:tcW w:w="1387" w:type="dxa"/>
            <w:vMerge w:val="restart"/>
            <w:tcBorders>
              <w:top w:val="single" w:sz="4" w:space="0" w:color="auto"/>
            </w:tcBorders>
          </w:tcPr>
          <w:p w14:paraId="595D9B2A" w14:textId="77777777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 xml:space="preserve">Landscape 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771674B1" w14:textId="77777777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 xml:space="preserve">Grassland </w:t>
            </w:r>
          </w:p>
        </w:tc>
        <w:tc>
          <w:tcPr>
            <w:tcW w:w="5865" w:type="dxa"/>
            <w:tcBorders>
              <w:top w:val="single" w:sz="4" w:space="0" w:color="auto"/>
            </w:tcBorders>
          </w:tcPr>
          <w:p w14:paraId="780678C6" w14:textId="158889CD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Relative cover of semi-natural grasslands (i.e. meadows and pastures) in a 50 m buffer around the study meadows [%]</w:t>
            </w:r>
          </w:p>
        </w:tc>
      </w:tr>
      <w:tr w:rsidR="00975454" w:rsidRPr="00975454" w14:paraId="6F223D93" w14:textId="77777777" w:rsidTr="002A690E">
        <w:trPr>
          <w:trHeight w:val="234"/>
        </w:trPr>
        <w:tc>
          <w:tcPr>
            <w:tcW w:w="1387" w:type="dxa"/>
            <w:vMerge/>
          </w:tcPr>
          <w:p w14:paraId="5B92B4FD" w14:textId="77777777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i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</w:tcPr>
          <w:p w14:paraId="2636438D" w14:textId="77777777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 xml:space="preserve">Forest </w:t>
            </w:r>
          </w:p>
        </w:tc>
        <w:tc>
          <w:tcPr>
            <w:tcW w:w="5865" w:type="dxa"/>
          </w:tcPr>
          <w:p w14:paraId="09FDF810" w14:textId="77777777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Relative cover of forests (i.e. coniferous, mixed, broadleaved) in a 50 m buffer around the study meadows [%]</w:t>
            </w:r>
          </w:p>
        </w:tc>
      </w:tr>
      <w:tr w:rsidR="00975454" w:rsidRPr="00975454" w14:paraId="0E9D6BA7" w14:textId="77777777" w:rsidTr="002A690E">
        <w:trPr>
          <w:trHeight w:val="296"/>
        </w:trPr>
        <w:tc>
          <w:tcPr>
            <w:tcW w:w="1387" w:type="dxa"/>
            <w:vMerge/>
          </w:tcPr>
          <w:p w14:paraId="0FA12059" w14:textId="77777777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i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</w:tcPr>
          <w:p w14:paraId="3362B832" w14:textId="4E47049B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 xml:space="preserve">Extensive semi-natural structures </w:t>
            </w:r>
          </w:p>
        </w:tc>
        <w:tc>
          <w:tcPr>
            <w:tcW w:w="5865" w:type="dxa"/>
          </w:tcPr>
          <w:p w14:paraId="76EA1E68" w14:textId="77777777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 xml:space="preserve">Relative cover of extensively managed structures </w:t>
            </w:r>
            <w:r w:rsidRPr="00975454">
              <w:rPr>
                <w:rFonts w:ascii="Calibri" w:eastAsiaTheme="minorHAnsi" w:hAnsi="Calibri" w:cs="Calibri"/>
                <w:color w:val="000000" w:themeColor="text1"/>
                <w:sz w:val="20"/>
                <w:szCs w:val="20"/>
                <w:lang w:val="en-GB" w:eastAsia="en-US"/>
              </w:rPr>
              <w:t xml:space="preserve">(i.e. grasslands with low productivity, steppe-like vegetation) </w:t>
            </w: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in a 50 m buffer around the study meadows [%]</w:t>
            </w:r>
          </w:p>
        </w:tc>
      </w:tr>
      <w:tr w:rsidR="00975454" w:rsidRPr="00975454" w14:paraId="2D08AB11" w14:textId="77777777" w:rsidTr="002A690E">
        <w:trPr>
          <w:trHeight w:val="220"/>
        </w:trPr>
        <w:tc>
          <w:tcPr>
            <w:tcW w:w="1387" w:type="dxa"/>
            <w:vMerge/>
            <w:tcBorders>
              <w:bottom w:val="single" w:sz="4" w:space="0" w:color="auto"/>
            </w:tcBorders>
          </w:tcPr>
          <w:p w14:paraId="4837A07D" w14:textId="77777777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 w:cs="Calibri"/>
                <w:i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1914A571" w14:textId="77777777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>Artificial structures</w:t>
            </w:r>
          </w:p>
        </w:tc>
        <w:tc>
          <w:tcPr>
            <w:tcW w:w="5865" w:type="dxa"/>
            <w:tcBorders>
              <w:bottom w:val="single" w:sz="4" w:space="0" w:color="auto"/>
            </w:tcBorders>
          </w:tcPr>
          <w:p w14:paraId="679DD531" w14:textId="77777777" w:rsidR="002A690E" w:rsidRPr="00975454" w:rsidRDefault="002A690E" w:rsidP="002A690E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</w:pP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 xml:space="preserve">Relative cover of artificial structures </w:t>
            </w:r>
            <w:r w:rsidRPr="00975454">
              <w:rPr>
                <w:rFonts w:ascii="Calibri" w:eastAsiaTheme="minorHAnsi" w:hAnsi="Calibri" w:cs="Calibri"/>
                <w:color w:val="000000" w:themeColor="text1"/>
                <w:sz w:val="20"/>
                <w:szCs w:val="20"/>
                <w:lang w:val="en-GB" w:eastAsia="en-US"/>
              </w:rPr>
              <w:t>(i.e. buildings, paved roads)</w:t>
            </w:r>
            <w:r w:rsidRPr="00975454">
              <w:rPr>
                <w:rFonts w:ascii="Calibri" w:hAnsi="Calibri" w:cs="Calibri"/>
                <w:iCs/>
                <w:color w:val="000000" w:themeColor="text1"/>
                <w:sz w:val="20"/>
                <w:szCs w:val="20"/>
                <w:lang w:val="en-GB"/>
              </w:rPr>
              <w:t xml:space="preserve"> in a 50 m buffer around the study meadows [%]</w:t>
            </w:r>
          </w:p>
        </w:tc>
      </w:tr>
    </w:tbl>
    <w:p w14:paraId="2A96B2CC" w14:textId="6C40E3D7" w:rsidR="00D74D9D" w:rsidRPr="00975454" w:rsidRDefault="00D74D9D" w:rsidP="005312D3">
      <w:pPr>
        <w:pStyle w:val="Cos"/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  <w:lang w:val="en-GB"/>
        </w:rPr>
      </w:pPr>
    </w:p>
    <w:p w14:paraId="188CCA7D" w14:textId="15A45A34" w:rsidR="000B2001" w:rsidRPr="00975454" w:rsidRDefault="00D74D9D" w:rsidP="002A690E">
      <w:pPr>
        <w:rPr>
          <w:rFonts w:ascii="Calibri" w:eastAsia="Arial Unicode MS" w:hAnsi="Calibri" w:cs="Calibri"/>
          <w:b/>
          <w:bCs/>
          <w:color w:val="000000" w:themeColor="text1"/>
          <w:sz w:val="20"/>
          <w:szCs w:val="20"/>
          <w:bdr w:val="nil"/>
          <w:lang w:val="en-GB"/>
        </w:rPr>
      </w:pPr>
      <w:r w:rsidRPr="00975454">
        <w:rPr>
          <w:rFonts w:ascii="Calibri" w:hAnsi="Calibri" w:cs="Calibri"/>
          <w:b/>
          <w:bCs/>
          <w:color w:val="000000" w:themeColor="text1"/>
          <w:sz w:val="20"/>
          <w:szCs w:val="20"/>
          <w:lang w:val="en-GB"/>
        </w:rPr>
        <w:br w:type="page"/>
      </w:r>
    </w:p>
    <w:p w14:paraId="6A13AE47" w14:textId="742FE82D" w:rsidR="000B2001" w:rsidRPr="00975454" w:rsidRDefault="001B30A0" w:rsidP="001B30A0">
      <w:pPr>
        <w:pStyle w:val="Cos"/>
        <w:jc w:val="center"/>
        <w:rPr>
          <w:rFonts w:ascii="Calibri" w:hAnsi="Calibri" w:cs="Calibri"/>
          <w:b/>
          <w:bCs/>
          <w:color w:val="000000" w:themeColor="text1"/>
          <w:sz w:val="20"/>
          <w:szCs w:val="20"/>
          <w:lang w:val="en-GB"/>
        </w:rPr>
      </w:pPr>
      <w:r w:rsidRPr="00975454">
        <w:rPr>
          <w:rFonts w:ascii="Calibri" w:hAnsi="Calibri" w:cs="Calibri"/>
          <w:b/>
          <w:bCs/>
          <w:noProof/>
          <w:color w:val="000000" w:themeColor="text1"/>
          <w:sz w:val="20"/>
          <w:szCs w:val="20"/>
          <w:lang w:val="en-IN" w:eastAsia="en-IN"/>
        </w:rPr>
        <w:lastRenderedPageBreak/>
        <w:drawing>
          <wp:inline distT="0" distB="0" distL="0" distR="0" wp14:anchorId="6CEAF1F1" wp14:editId="2C38D3B0">
            <wp:extent cx="5227983" cy="4353166"/>
            <wp:effectExtent l="0" t="0" r="4445" b="3175"/>
            <wp:docPr id="1" name="Imagen 1" descr="Captura de pantalla de un celular con let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aptura de pantalla de un celular con letras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2513" cy="435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F5BE4" w14:textId="77777777" w:rsidR="001B30A0" w:rsidRPr="00975454" w:rsidRDefault="001B30A0" w:rsidP="005312D3">
      <w:pPr>
        <w:pStyle w:val="Cos"/>
        <w:jc w:val="both"/>
        <w:rPr>
          <w:rFonts w:ascii="Calibri" w:hAnsi="Calibri" w:cs="Calibri"/>
          <w:b/>
          <w:bCs/>
          <w:color w:val="000000" w:themeColor="text1"/>
          <w:lang w:val="en-GB"/>
        </w:rPr>
      </w:pPr>
    </w:p>
    <w:p w14:paraId="4EA644E1" w14:textId="7DAEBF64" w:rsidR="007C62F9" w:rsidRPr="00975454" w:rsidRDefault="0038495C" w:rsidP="005312D3">
      <w:pPr>
        <w:pStyle w:val="Cos"/>
        <w:jc w:val="both"/>
        <w:rPr>
          <w:rFonts w:ascii="Calibri" w:hAnsi="Calibri" w:cs="Calibri"/>
          <w:color w:val="000000" w:themeColor="text1"/>
          <w:shd w:val="clear" w:color="auto" w:fill="FFFFFF"/>
          <w:lang w:val="en-GB"/>
        </w:rPr>
      </w:pPr>
      <w:r w:rsidRPr="00975454">
        <w:rPr>
          <w:rFonts w:ascii="Calibri" w:hAnsi="Calibri" w:cs="Calibri"/>
          <w:b/>
          <w:bCs/>
          <w:color w:val="000000" w:themeColor="text1"/>
          <w:lang w:val="en-GB"/>
        </w:rPr>
        <w:t xml:space="preserve">Figure </w:t>
      </w:r>
      <w:r w:rsidR="00CF4362" w:rsidRPr="00975454">
        <w:rPr>
          <w:rFonts w:ascii="Calibri" w:hAnsi="Calibri" w:cs="Calibri"/>
          <w:b/>
          <w:bCs/>
          <w:color w:val="000000" w:themeColor="text1"/>
          <w:lang w:val="en-GB"/>
        </w:rPr>
        <w:t>S2</w:t>
      </w:r>
      <w:r w:rsidR="005312D3" w:rsidRPr="00975454">
        <w:rPr>
          <w:rFonts w:ascii="Calibri" w:hAnsi="Calibri" w:cs="Calibri"/>
          <w:b/>
          <w:bCs/>
          <w:color w:val="000000" w:themeColor="text1"/>
          <w:lang w:val="en-GB"/>
        </w:rPr>
        <w:t>.1</w:t>
      </w:r>
      <w:r w:rsidRPr="00975454">
        <w:rPr>
          <w:rFonts w:ascii="Calibri" w:hAnsi="Calibri" w:cs="Calibri"/>
          <w:b/>
          <w:bCs/>
          <w:color w:val="000000" w:themeColor="text1"/>
          <w:lang w:val="en-GB"/>
        </w:rPr>
        <w:t xml:space="preserve">. </w:t>
      </w:r>
      <w:r w:rsidRPr="00975454">
        <w:rPr>
          <w:rFonts w:ascii="Calibri" w:hAnsi="Calibri" w:cs="Calibri"/>
          <w:color w:val="000000" w:themeColor="text1"/>
          <w:lang w:val="en-GB"/>
        </w:rPr>
        <w:t>Correlation plot of all continuous variables with Spearman correlation values. Significant correlations (</w:t>
      </w:r>
      <w:r w:rsidRPr="00975454">
        <w:rPr>
          <w:rFonts w:ascii="Calibri" w:hAnsi="Calibri" w:cs="Calibri"/>
          <w:i/>
          <w:iCs/>
          <w:color w:val="000000" w:themeColor="text1"/>
          <w:lang w:val="en-GB"/>
        </w:rPr>
        <w:t xml:space="preserve">P </w:t>
      </w:r>
      <w:r w:rsidRPr="00975454">
        <w:rPr>
          <w:rFonts w:ascii="Calibri" w:hAnsi="Calibri" w:cs="Calibri"/>
          <w:color w:val="000000" w:themeColor="text1"/>
          <w:lang w:val="en-GB"/>
        </w:rPr>
        <w:t>&lt; 0.0</w:t>
      </w:r>
      <w:r w:rsidR="001B7241" w:rsidRPr="00975454">
        <w:rPr>
          <w:rFonts w:ascii="Calibri" w:hAnsi="Calibri" w:cs="Calibri"/>
          <w:color w:val="000000" w:themeColor="text1"/>
          <w:lang w:val="en-GB"/>
        </w:rPr>
        <w:t>5</w:t>
      </w:r>
      <w:r w:rsidRPr="00975454">
        <w:rPr>
          <w:rFonts w:ascii="Calibri" w:hAnsi="Calibri" w:cs="Calibri"/>
          <w:color w:val="000000" w:themeColor="text1"/>
          <w:lang w:val="en-GB"/>
        </w:rPr>
        <w:t xml:space="preserve">) have a coloured background in blue (positive correlation) or red (negative correlation). After assessing the variables having a pairwise correlation coefficient &gt; 0.7, the following variables were removed from the analyses: </w:t>
      </w:r>
      <w:r w:rsidRPr="00975454">
        <w:rPr>
          <w:rFonts w:ascii="Calibri" w:hAnsi="Calibri" w:cs="Calibri"/>
          <w:i/>
          <w:iCs/>
          <w:color w:val="000000" w:themeColor="text1"/>
          <w:lang w:val="en-GB"/>
        </w:rPr>
        <w:t>inorganic C</w:t>
      </w:r>
      <w:r w:rsidRPr="00975454">
        <w:rPr>
          <w:rFonts w:ascii="Calibri" w:hAnsi="Calibri" w:cs="Calibri"/>
          <w:color w:val="000000" w:themeColor="text1"/>
          <w:lang w:val="en-GB"/>
        </w:rPr>
        <w:t xml:space="preserve">, </w:t>
      </w:r>
      <w:r w:rsidRPr="00975454">
        <w:rPr>
          <w:rFonts w:ascii="Calibri" w:hAnsi="Calibri" w:cs="Calibri"/>
          <w:i/>
          <w:iCs/>
          <w:color w:val="000000" w:themeColor="text1"/>
          <w:lang w:val="en-GB"/>
        </w:rPr>
        <w:t>N content</w:t>
      </w:r>
      <w:r w:rsidRPr="00975454">
        <w:rPr>
          <w:rFonts w:ascii="Calibri" w:hAnsi="Calibri" w:cs="Calibri"/>
          <w:color w:val="000000" w:themeColor="text1"/>
          <w:lang w:val="en-GB"/>
        </w:rPr>
        <w:t xml:space="preserve">, </w:t>
      </w:r>
      <w:r w:rsidRPr="00975454">
        <w:rPr>
          <w:rFonts w:ascii="Calibri" w:hAnsi="Calibri" w:cs="Calibri"/>
          <w:i/>
          <w:iCs/>
          <w:color w:val="000000" w:themeColor="text1"/>
          <w:lang w:val="en-GB"/>
        </w:rPr>
        <w:t xml:space="preserve">plant richness, sand, silt </w:t>
      </w:r>
      <w:r w:rsidRPr="00975454">
        <w:rPr>
          <w:rFonts w:ascii="Calibri" w:hAnsi="Calibri" w:cs="Calibri"/>
          <w:color w:val="000000" w:themeColor="text1"/>
          <w:lang w:val="en-GB"/>
        </w:rPr>
        <w:t xml:space="preserve">and </w:t>
      </w:r>
      <w:r w:rsidRPr="00975454">
        <w:rPr>
          <w:rFonts w:ascii="Calibri" w:hAnsi="Calibri" w:cs="Calibri"/>
          <w:i/>
          <w:iCs/>
          <w:color w:val="000000" w:themeColor="text1"/>
          <w:lang w:val="en-GB"/>
        </w:rPr>
        <w:t>slope</w:t>
      </w:r>
      <w:r w:rsidRPr="00975454">
        <w:rPr>
          <w:rFonts w:ascii="Calibri" w:hAnsi="Calibri" w:cs="Calibri"/>
          <w:color w:val="000000" w:themeColor="text1"/>
          <w:lang w:val="en-GB"/>
        </w:rPr>
        <w:t xml:space="preserve">. </w:t>
      </w:r>
      <w:r w:rsidRPr="00975454">
        <w:rPr>
          <w:rFonts w:ascii="Calibri" w:hAnsi="Calibri" w:cs="Calibri"/>
          <w:i/>
          <w:iCs/>
          <w:color w:val="000000" w:themeColor="text1"/>
          <w:lang w:val="en-GB"/>
        </w:rPr>
        <w:t>Silt</w:t>
      </w:r>
      <w:r w:rsidRPr="00975454">
        <w:rPr>
          <w:rFonts w:ascii="Calibri" w:hAnsi="Calibri" w:cs="Calibri"/>
          <w:color w:val="000000" w:themeColor="text1"/>
          <w:lang w:val="en-GB"/>
        </w:rPr>
        <w:t xml:space="preserve"> and </w:t>
      </w:r>
      <w:r w:rsidRPr="00975454">
        <w:rPr>
          <w:rFonts w:ascii="Calibri" w:hAnsi="Calibri" w:cs="Calibri"/>
          <w:i/>
          <w:iCs/>
          <w:color w:val="000000" w:themeColor="text1"/>
          <w:lang w:val="en-GB"/>
        </w:rPr>
        <w:t>sand</w:t>
      </w:r>
      <w:r w:rsidRPr="00975454">
        <w:rPr>
          <w:rFonts w:ascii="Calibri" w:hAnsi="Calibri" w:cs="Calibri"/>
          <w:color w:val="000000" w:themeColor="text1"/>
          <w:lang w:val="en-GB"/>
        </w:rPr>
        <w:t xml:space="preserve"> could be merged into a single variable, but instead we decided to use the variable </w:t>
      </w:r>
      <w:r w:rsidRPr="00975454">
        <w:rPr>
          <w:rFonts w:ascii="Calibri" w:hAnsi="Calibri" w:cs="Calibri"/>
          <w:i/>
          <w:iCs/>
          <w:color w:val="000000" w:themeColor="text1"/>
          <w:lang w:val="en-GB"/>
        </w:rPr>
        <w:t xml:space="preserve">clay, </w:t>
      </w:r>
      <w:r w:rsidRPr="00975454">
        <w:rPr>
          <w:rFonts w:ascii="Calibri" w:hAnsi="Calibri" w:cs="Calibri"/>
          <w:color w:val="000000" w:themeColor="text1"/>
          <w:lang w:val="en-GB"/>
        </w:rPr>
        <w:t>as</w:t>
      </w:r>
      <w:r w:rsidRPr="00975454">
        <w:rPr>
          <w:rFonts w:ascii="Calibri" w:hAnsi="Calibri" w:cs="Calibri"/>
          <w:i/>
          <w:iCs/>
          <w:color w:val="000000" w:themeColor="text1"/>
          <w:lang w:val="en-GB"/>
        </w:rPr>
        <w:t xml:space="preserve"> </w:t>
      </w:r>
      <w:r w:rsidRPr="00975454">
        <w:rPr>
          <w:rFonts w:ascii="Calibri" w:hAnsi="Calibri" w:cs="Calibri"/>
          <w:color w:val="000000" w:themeColor="text1"/>
          <w:lang w:val="en-GB"/>
        </w:rPr>
        <w:t xml:space="preserve">it represents the complementary proportion. </w:t>
      </w:r>
      <w:r w:rsidRPr="00975454">
        <w:rPr>
          <w:rFonts w:ascii="Calibri" w:hAnsi="Calibri" w:cs="Calibri"/>
          <w:i/>
          <w:iCs/>
          <w:color w:val="000000" w:themeColor="text1"/>
          <w:lang w:val="en-GB"/>
        </w:rPr>
        <w:t>Folded aspect</w:t>
      </w:r>
      <w:r w:rsidRPr="00975454">
        <w:rPr>
          <w:rFonts w:ascii="Calibri" w:hAnsi="Calibri" w:cs="Calibri"/>
          <w:color w:val="000000" w:themeColor="text1"/>
          <w:lang w:val="en-GB"/>
        </w:rPr>
        <w:t xml:space="preserve"> was also removed </w:t>
      </w:r>
      <w:r w:rsidRPr="00975454">
        <w:rPr>
          <w:rFonts w:ascii="Calibri" w:hAnsi="Calibri" w:cs="Calibri"/>
          <w:color w:val="000000" w:themeColor="text1"/>
          <w:shd w:val="clear" w:color="auto" w:fill="FFFFFF"/>
          <w:lang w:val="en-GB"/>
        </w:rPr>
        <w:t xml:space="preserve">because it is involved in the calculation of </w:t>
      </w:r>
      <w:r w:rsidRPr="00975454">
        <w:rPr>
          <w:rFonts w:ascii="Calibri" w:hAnsi="Calibri" w:cs="Calibri"/>
          <w:i/>
          <w:iCs/>
          <w:color w:val="000000" w:themeColor="text1"/>
          <w:shd w:val="clear" w:color="auto" w:fill="FFFFFF"/>
          <w:lang w:val="en-GB"/>
        </w:rPr>
        <w:t>heat load</w:t>
      </w:r>
      <w:r w:rsidRPr="00975454">
        <w:rPr>
          <w:rFonts w:ascii="Calibri" w:hAnsi="Calibri" w:cs="Calibri"/>
          <w:color w:val="000000" w:themeColor="text1"/>
          <w:shd w:val="clear" w:color="auto" w:fill="FFFFFF"/>
          <w:lang w:val="en-GB"/>
        </w:rPr>
        <w:t xml:space="preserve"> and it is considerably correlated with this variable (ρ = 0.66). </w:t>
      </w:r>
    </w:p>
    <w:p w14:paraId="5BAD5A55" w14:textId="77777777" w:rsidR="007C62F9" w:rsidRPr="00975454" w:rsidRDefault="007C62F9">
      <w:pPr>
        <w:rPr>
          <w:rFonts w:ascii="Calibri" w:eastAsia="Arial Unicode MS" w:hAnsi="Calibri" w:cs="Calibri"/>
          <w:color w:val="000000" w:themeColor="text1"/>
          <w:sz w:val="22"/>
          <w:szCs w:val="22"/>
          <w:bdr w:val="nil"/>
          <w:shd w:val="clear" w:color="auto" w:fill="FFFFFF"/>
          <w:lang w:val="en-GB"/>
        </w:rPr>
      </w:pPr>
      <w:r w:rsidRPr="00975454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en-GB"/>
        </w:rPr>
        <w:br w:type="page"/>
      </w:r>
    </w:p>
    <w:p w14:paraId="246F4C9E" w14:textId="77777777" w:rsidR="0038495C" w:rsidRPr="00975454" w:rsidRDefault="007C62F9" w:rsidP="0038495C">
      <w:pPr>
        <w:pStyle w:val="Cos"/>
        <w:spacing w:line="480" w:lineRule="auto"/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  <w:lang w:val="en-GB"/>
        </w:rPr>
      </w:pPr>
      <w:r w:rsidRPr="00975454">
        <w:rPr>
          <w:rFonts w:ascii="Calibri" w:hAnsi="Calibri" w:cs="Calibri"/>
          <w:b/>
          <w:bCs/>
          <w:color w:val="000000" w:themeColor="text1"/>
          <w:sz w:val="20"/>
          <w:szCs w:val="20"/>
          <w:lang w:val="en-GB"/>
        </w:rPr>
        <w:lastRenderedPageBreak/>
        <w:t>References</w:t>
      </w:r>
    </w:p>
    <w:p w14:paraId="30902BEC" w14:textId="65B946E2" w:rsidR="00CF4362" w:rsidRPr="00975454" w:rsidRDefault="007C62F9" w:rsidP="00CF4362">
      <w:pPr>
        <w:widowControl w:val="0"/>
        <w:autoSpaceDE w:val="0"/>
        <w:autoSpaceDN w:val="0"/>
        <w:adjustRightInd w:val="0"/>
        <w:ind w:left="480" w:hanging="480"/>
        <w:rPr>
          <w:rFonts w:ascii="Calibri" w:hAnsi="Calibri" w:cs="Calibri"/>
          <w:noProof/>
          <w:color w:val="000000" w:themeColor="text1"/>
          <w:sz w:val="20"/>
          <w:lang w:val="en-US"/>
        </w:rPr>
      </w:pPr>
      <w:r w:rsidRPr="00975454">
        <w:rPr>
          <w:rFonts w:ascii="Calibri" w:hAnsi="Calibri" w:cs="Calibri"/>
          <w:color w:val="000000" w:themeColor="text1"/>
          <w:sz w:val="20"/>
          <w:szCs w:val="20"/>
          <w:lang w:val="en-GB"/>
        </w:rPr>
        <w:fldChar w:fldCharType="begin" w:fldLock="1"/>
      </w:r>
      <w:r w:rsidRPr="00975454">
        <w:rPr>
          <w:rFonts w:ascii="Calibri" w:hAnsi="Calibri" w:cs="Calibri"/>
          <w:color w:val="000000" w:themeColor="text1"/>
          <w:sz w:val="20"/>
          <w:szCs w:val="20"/>
          <w:lang w:val="en-GB"/>
        </w:rPr>
        <w:instrText xml:space="preserve">ADDIN Mendeley Bibliography CSL_BIBLIOGRAPHY </w:instrText>
      </w:r>
      <w:r w:rsidRPr="00975454">
        <w:rPr>
          <w:rFonts w:ascii="Calibri" w:hAnsi="Calibri" w:cs="Calibri"/>
          <w:color w:val="000000" w:themeColor="text1"/>
          <w:sz w:val="20"/>
          <w:szCs w:val="20"/>
          <w:lang w:val="en-GB"/>
        </w:rPr>
        <w:fldChar w:fldCharType="separate"/>
      </w:r>
      <w:r w:rsidR="00CF4362" w:rsidRPr="00975454">
        <w:rPr>
          <w:rFonts w:ascii="Calibri" w:hAnsi="Calibri" w:cs="Calibri"/>
          <w:noProof/>
          <w:color w:val="000000" w:themeColor="text1"/>
          <w:sz w:val="20"/>
          <w:lang w:val="en-US"/>
        </w:rPr>
        <w:t xml:space="preserve">Hodge, A., Robinson, D., &amp; Fitter, A. (2000). Are microorganisms more effective than plants at competing for nitrogen? </w:t>
      </w:r>
      <w:r w:rsidR="00CF4362" w:rsidRPr="00975454">
        <w:rPr>
          <w:rFonts w:ascii="Calibri" w:hAnsi="Calibri" w:cs="Calibri"/>
          <w:i/>
          <w:iCs/>
          <w:noProof/>
          <w:color w:val="000000" w:themeColor="text1"/>
          <w:sz w:val="20"/>
          <w:lang w:val="en-US"/>
        </w:rPr>
        <w:t>Trends in Plant Science</w:t>
      </w:r>
      <w:r w:rsidR="00CF4362" w:rsidRPr="00975454">
        <w:rPr>
          <w:rFonts w:ascii="Calibri" w:hAnsi="Calibri" w:cs="Calibri"/>
          <w:noProof/>
          <w:color w:val="000000" w:themeColor="text1"/>
          <w:sz w:val="20"/>
          <w:lang w:val="en-US"/>
        </w:rPr>
        <w:t xml:space="preserve">, </w:t>
      </w:r>
      <w:r w:rsidR="00CF4362" w:rsidRPr="00975454">
        <w:rPr>
          <w:rFonts w:ascii="Calibri" w:hAnsi="Calibri" w:cs="Calibri"/>
          <w:i/>
          <w:iCs/>
          <w:noProof/>
          <w:color w:val="000000" w:themeColor="text1"/>
          <w:sz w:val="20"/>
          <w:lang w:val="en-US"/>
        </w:rPr>
        <w:t>5</w:t>
      </w:r>
      <w:r w:rsidR="00CF4362" w:rsidRPr="00975454">
        <w:rPr>
          <w:rFonts w:ascii="Calibri" w:hAnsi="Calibri" w:cs="Calibri"/>
          <w:noProof/>
          <w:color w:val="000000" w:themeColor="text1"/>
          <w:sz w:val="20"/>
          <w:lang w:val="en-US"/>
        </w:rPr>
        <w:t>(7), 304–308.</w:t>
      </w:r>
    </w:p>
    <w:p w14:paraId="25F1D18E" w14:textId="77777777" w:rsidR="00CF4362" w:rsidRPr="00975454" w:rsidRDefault="00CF4362" w:rsidP="00CF4362">
      <w:pPr>
        <w:widowControl w:val="0"/>
        <w:autoSpaceDE w:val="0"/>
        <w:autoSpaceDN w:val="0"/>
        <w:adjustRightInd w:val="0"/>
        <w:ind w:left="480" w:hanging="480"/>
        <w:rPr>
          <w:rFonts w:ascii="Calibri" w:hAnsi="Calibri" w:cs="Calibri"/>
          <w:noProof/>
          <w:color w:val="000000" w:themeColor="text1"/>
          <w:sz w:val="20"/>
          <w:lang w:val="en-US"/>
        </w:rPr>
      </w:pPr>
      <w:r w:rsidRPr="00975454">
        <w:rPr>
          <w:rFonts w:ascii="Calibri" w:hAnsi="Calibri" w:cs="Calibri"/>
          <w:noProof/>
          <w:color w:val="000000" w:themeColor="text1"/>
          <w:sz w:val="20"/>
          <w:lang w:val="en-US"/>
        </w:rPr>
        <w:t xml:space="preserve">Landolt, E., Bäumler, B., Erhardt, A., Hegg, O., Klötzli, F., Lämmler, W., … Wohlgemuth, T. (2010). </w:t>
      </w:r>
      <w:r w:rsidRPr="00975454">
        <w:rPr>
          <w:rFonts w:ascii="Calibri" w:hAnsi="Calibri" w:cs="Calibri"/>
          <w:i/>
          <w:iCs/>
          <w:noProof/>
          <w:color w:val="000000" w:themeColor="text1"/>
          <w:sz w:val="20"/>
          <w:lang w:val="en-US"/>
        </w:rPr>
        <w:t>Flora indicativa. Ökologische Zeigerwerte und biologische Kennzeichen zur Flora der Schweiz und der Alpen. Ecological indicators values and biological attributes of the flora of Switzerland and the Alps (2nd ed.)</w:t>
      </w:r>
      <w:r w:rsidRPr="00975454">
        <w:rPr>
          <w:rFonts w:ascii="Calibri" w:hAnsi="Calibri" w:cs="Calibri"/>
          <w:noProof/>
          <w:color w:val="000000" w:themeColor="text1"/>
          <w:sz w:val="20"/>
          <w:lang w:val="en-US"/>
        </w:rPr>
        <w:t xml:space="preserve"> (2nd ed.). Haupt.</w:t>
      </w:r>
    </w:p>
    <w:p w14:paraId="4900FFBD" w14:textId="77777777" w:rsidR="00CF4362" w:rsidRPr="00975454" w:rsidRDefault="00CF4362" w:rsidP="00CF4362">
      <w:pPr>
        <w:widowControl w:val="0"/>
        <w:autoSpaceDE w:val="0"/>
        <w:autoSpaceDN w:val="0"/>
        <w:adjustRightInd w:val="0"/>
        <w:ind w:left="480" w:hanging="480"/>
        <w:rPr>
          <w:rFonts w:ascii="Calibri" w:hAnsi="Calibri" w:cs="Calibri"/>
          <w:noProof/>
          <w:color w:val="000000" w:themeColor="text1"/>
          <w:sz w:val="20"/>
        </w:rPr>
      </w:pPr>
      <w:r w:rsidRPr="00975454">
        <w:rPr>
          <w:rFonts w:ascii="Calibri" w:hAnsi="Calibri" w:cs="Calibri"/>
          <w:noProof/>
          <w:color w:val="000000" w:themeColor="text1"/>
          <w:sz w:val="20"/>
          <w:lang w:val="en-US"/>
        </w:rPr>
        <w:t xml:space="preserve">McCune, B., &amp; Dylan, K. (2002). Equations for potential annual direct incident radiation and heat load. </w:t>
      </w:r>
      <w:r w:rsidRPr="00975454">
        <w:rPr>
          <w:rFonts w:ascii="Calibri" w:hAnsi="Calibri" w:cs="Calibri"/>
          <w:i/>
          <w:iCs/>
          <w:noProof/>
          <w:color w:val="000000" w:themeColor="text1"/>
          <w:sz w:val="20"/>
          <w:lang w:val="es-ES_tradnl"/>
        </w:rPr>
        <w:t>Journal of Vegetation Science</w:t>
      </w:r>
      <w:r w:rsidRPr="00975454">
        <w:rPr>
          <w:rFonts w:ascii="Calibri" w:hAnsi="Calibri" w:cs="Calibri"/>
          <w:noProof/>
          <w:color w:val="000000" w:themeColor="text1"/>
          <w:sz w:val="20"/>
          <w:lang w:val="es-ES_tradnl"/>
        </w:rPr>
        <w:t xml:space="preserve">, </w:t>
      </w:r>
      <w:r w:rsidRPr="00975454">
        <w:rPr>
          <w:rFonts w:ascii="Calibri" w:hAnsi="Calibri" w:cs="Calibri"/>
          <w:i/>
          <w:iCs/>
          <w:noProof/>
          <w:color w:val="000000" w:themeColor="text1"/>
          <w:sz w:val="20"/>
          <w:lang w:val="es-ES_tradnl"/>
        </w:rPr>
        <w:t>13</w:t>
      </w:r>
      <w:r w:rsidRPr="00975454">
        <w:rPr>
          <w:rFonts w:ascii="Calibri" w:hAnsi="Calibri" w:cs="Calibri"/>
          <w:noProof/>
          <w:color w:val="000000" w:themeColor="text1"/>
          <w:sz w:val="20"/>
          <w:lang w:val="es-ES_tradnl"/>
        </w:rPr>
        <w:t>, 603–606.</w:t>
      </w:r>
    </w:p>
    <w:p w14:paraId="311C741B" w14:textId="465FD69E" w:rsidR="00F84074" w:rsidRPr="00975454" w:rsidRDefault="007C62F9" w:rsidP="00CF4362">
      <w:pPr>
        <w:widowControl w:val="0"/>
        <w:autoSpaceDE w:val="0"/>
        <w:autoSpaceDN w:val="0"/>
        <w:adjustRightInd w:val="0"/>
        <w:ind w:left="480" w:hanging="480"/>
        <w:rPr>
          <w:rFonts w:ascii="Calibri" w:hAnsi="Calibri" w:cs="Calibri"/>
          <w:color w:val="000000" w:themeColor="text1"/>
          <w:sz w:val="20"/>
          <w:szCs w:val="20"/>
          <w:lang w:val="en-GB"/>
        </w:rPr>
      </w:pPr>
      <w:r w:rsidRPr="00975454">
        <w:rPr>
          <w:rFonts w:ascii="Calibri" w:hAnsi="Calibri" w:cs="Calibri"/>
          <w:color w:val="000000" w:themeColor="text1"/>
          <w:sz w:val="20"/>
          <w:szCs w:val="20"/>
          <w:lang w:val="en-GB"/>
        </w:rPr>
        <w:fldChar w:fldCharType="end"/>
      </w:r>
    </w:p>
    <w:sectPr w:rsidR="00F84074" w:rsidRPr="00975454" w:rsidSect="0097545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36B29D" w14:textId="77777777" w:rsidR="00CA7E92" w:rsidRDefault="00CA7E92" w:rsidP="00024C23">
      <w:r>
        <w:separator/>
      </w:r>
    </w:p>
  </w:endnote>
  <w:endnote w:type="continuationSeparator" w:id="0">
    <w:p w14:paraId="61C1455C" w14:textId="77777777" w:rsidR="00CA7E92" w:rsidRDefault="00CA7E92" w:rsidP="00024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0020A" w14:textId="77777777" w:rsidR="00CA7E92" w:rsidRDefault="00CA7E92" w:rsidP="00024C23">
      <w:r>
        <w:separator/>
      </w:r>
    </w:p>
  </w:footnote>
  <w:footnote w:type="continuationSeparator" w:id="0">
    <w:p w14:paraId="55ED1B13" w14:textId="77777777" w:rsidR="00CA7E92" w:rsidRDefault="00CA7E92" w:rsidP="00024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B7"/>
    <w:rsid w:val="0001776E"/>
    <w:rsid w:val="00024C23"/>
    <w:rsid w:val="00066FEB"/>
    <w:rsid w:val="00082CF4"/>
    <w:rsid w:val="0008389F"/>
    <w:rsid w:val="000B2001"/>
    <w:rsid w:val="000E0A75"/>
    <w:rsid w:val="00161314"/>
    <w:rsid w:val="001B30A0"/>
    <w:rsid w:val="001B7241"/>
    <w:rsid w:val="001E1D44"/>
    <w:rsid w:val="002072CB"/>
    <w:rsid w:val="002528F9"/>
    <w:rsid w:val="002A3FC1"/>
    <w:rsid w:val="002A690E"/>
    <w:rsid w:val="002B3757"/>
    <w:rsid w:val="002D2EAE"/>
    <w:rsid w:val="0038495C"/>
    <w:rsid w:val="003A40C4"/>
    <w:rsid w:val="004F29D1"/>
    <w:rsid w:val="005312D3"/>
    <w:rsid w:val="006453B6"/>
    <w:rsid w:val="00774374"/>
    <w:rsid w:val="00774A98"/>
    <w:rsid w:val="007A62B7"/>
    <w:rsid w:val="007B607D"/>
    <w:rsid w:val="007C62F9"/>
    <w:rsid w:val="007E2D74"/>
    <w:rsid w:val="007F4E31"/>
    <w:rsid w:val="00930D56"/>
    <w:rsid w:val="00975454"/>
    <w:rsid w:val="00986791"/>
    <w:rsid w:val="009E51F8"/>
    <w:rsid w:val="00A104E7"/>
    <w:rsid w:val="00A30A3D"/>
    <w:rsid w:val="00A327A2"/>
    <w:rsid w:val="00AC700B"/>
    <w:rsid w:val="00B70F87"/>
    <w:rsid w:val="00BA6BA6"/>
    <w:rsid w:val="00BF2E7A"/>
    <w:rsid w:val="00BF36A3"/>
    <w:rsid w:val="00CA7E92"/>
    <w:rsid w:val="00CC7E7A"/>
    <w:rsid w:val="00CF4362"/>
    <w:rsid w:val="00D321AD"/>
    <w:rsid w:val="00D66D21"/>
    <w:rsid w:val="00D74D9D"/>
    <w:rsid w:val="00D85BE3"/>
    <w:rsid w:val="00DC220C"/>
    <w:rsid w:val="00DF3793"/>
    <w:rsid w:val="00DF6011"/>
    <w:rsid w:val="00E86605"/>
    <w:rsid w:val="00EF2A19"/>
    <w:rsid w:val="00F27AAE"/>
    <w:rsid w:val="00F84074"/>
    <w:rsid w:val="00F84BA5"/>
    <w:rsid w:val="00F95440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F62869"/>
  <w15:docId w15:val="{55C600E1-5C2F-8B48-8E42-475D3DD6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314"/>
    <w:rPr>
      <w:rFonts w:ascii="Times New Roman" w:eastAsia="Times New Roman" w:hAnsi="Times New Roman" w:cs="Times New Roman"/>
      <w:lang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s">
    <w:name w:val="Cos"/>
    <w:rsid w:val="007A62B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 w:eastAsia="es-ES_tradnl"/>
    </w:rPr>
  </w:style>
  <w:style w:type="table" w:styleId="TableGrid">
    <w:name w:val="Table Grid"/>
    <w:basedOn w:val="TableNormal"/>
    <w:uiPriority w:val="39"/>
    <w:rsid w:val="007A62B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4C2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C23"/>
    <w:rPr>
      <w:rFonts w:ascii="Times New Roman" w:eastAsia="Times New Roman" w:hAnsi="Times New Roman" w:cs="Times New Roman"/>
      <w:lang w:eastAsia="es-ES_tradnl"/>
    </w:rPr>
  </w:style>
  <w:style w:type="paragraph" w:styleId="Footer">
    <w:name w:val="footer"/>
    <w:basedOn w:val="Normal"/>
    <w:link w:val="FooterChar"/>
    <w:uiPriority w:val="99"/>
    <w:unhideWhenUsed/>
    <w:rsid w:val="00024C2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C23"/>
    <w:rPr>
      <w:rFonts w:ascii="Times New Roman" w:eastAsia="Times New Roman" w:hAnsi="Times New Roman" w:cs="Times New Roman"/>
      <w:lang w:eastAsia="es-ES_tradnl"/>
    </w:rPr>
  </w:style>
  <w:style w:type="character" w:styleId="CommentReference">
    <w:name w:val="annotation reference"/>
    <w:basedOn w:val="DefaultParagraphFont"/>
    <w:uiPriority w:val="99"/>
    <w:semiHidden/>
    <w:unhideWhenUsed/>
    <w:rsid w:val="00066F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F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FEB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F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FEB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F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FEB"/>
    <w:rPr>
      <w:rFonts w:ascii="Segoe UI" w:eastAsia="Times New Roman" w:hAnsi="Segoe UI" w:cs="Segoe UI"/>
      <w:sz w:val="18"/>
      <w:szCs w:val="18"/>
      <w:lang w:eastAsia="es-ES_tradnl"/>
    </w:rPr>
  </w:style>
  <w:style w:type="paragraph" w:styleId="Revision">
    <w:name w:val="Revision"/>
    <w:hidden/>
    <w:uiPriority w:val="99"/>
    <w:semiHidden/>
    <w:rsid w:val="00CF4362"/>
    <w:rPr>
      <w:rFonts w:ascii="Times New Roman" w:eastAsia="Times New Roman" w:hAnsi="Times New Roman" w:cs="Times New Roman"/>
      <w:lang w:eastAsia="es-ES_tradnl"/>
    </w:rPr>
  </w:style>
  <w:style w:type="character" w:styleId="Hyperlink">
    <w:name w:val="Hyperlink"/>
    <w:rsid w:val="00D74D9D"/>
    <w:rPr>
      <w:u w:val="single"/>
    </w:rPr>
  </w:style>
  <w:style w:type="paragraph" w:customStyle="1" w:styleId="Manuscript">
    <w:name w:val="Manuscript"/>
    <w:basedOn w:val="Header"/>
    <w:link w:val="ManuscriptChar"/>
    <w:qFormat/>
    <w:rsid w:val="00D74D9D"/>
    <w:pPr>
      <w:spacing w:line="480" w:lineRule="auto"/>
    </w:pPr>
    <w:rPr>
      <w:rFonts w:ascii="Calibri" w:eastAsiaTheme="minorEastAsia" w:hAnsi="Calibri"/>
      <w:b/>
      <w:lang w:val="en-GB" w:eastAsia="fr-CH"/>
    </w:rPr>
  </w:style>
  <w:style w:type="character" w:customStyle="1" w:styleId="ManuscriptChar">
    <w:name w:val="Manuscript Char"/>
    <w:basedOn w:val="DefaultParagraphFont"/>
    <w:link w:val="Manuscript"/>
    <w:rsid w:val="00D74D9D"/>
    <w:rPr>
      <w:rFonts w:ascii="Calibri" w:eastAsiaTheme="minorEastAsia" w:hAnsi="Calibri" w:cs="Times New Roman"/>
      <w:b/>
      <w:lang w:val="en-GB" w:eastAsia="fr-CH"/>
    </w:rPr>
  </w:style>
  <w:style w:type="character" w:styleId="FollowedHyperlink">
    <w:name w:val="FollowedHyperlink"/>
    <w:basedOn w:val="DefaultParagraphFont"/>
    <w:uiPriority w:val="99"/>
    <w:semiHidden/>
    <w:unhideWhenUsed/>
    <w:rsid w:val="00D74D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8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ezdeleongerard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ard.martinezdeleon@iee.unibe.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14CEA6-DF0C-4CDC-8675-D15A93649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1558</Words>
  <Characters>8886</Characters>
  <Application>Microsoft Office Word</Application>
  <DocSecurity>0</DocSecurity>
  <Lines>74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De Leon, Gerard (STUDENTS)</dc:creator>
  <cp:keywords/>
  <dc:description/>
  <cp:lastModifiedBy>Radha S</cp:lastModifiedBy>
  <cp:revision>25</cp:revision>
  <dcterms:created xsi:type="dcterms:W3CDTF">2020-07-03T08:04:00Z</dcterms:created>
  <dcterms:modified xsi:type="dcterms:W3CDTF">2022-02-08T15:17:00Z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http://www.zotero.org/styles/basic-and-applied-ecology</vt:lpwstr>
  </property>
  <property fmtid="{D5CDD505-2E9C-101B-9397-08002B2CF9AE}" pid="7" name="Mendeley Recent Style Name 2_1">
    <vt:lpwstr>Basic and Applied Ecology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http://www.zotero.org/styles/journal-of-applied-ecology</vt:lpwstr>
  </property>
  <property fmtid="{D5CDD505-2E9C-101B-9397-08002B2CF9AE}" pid="15" name="Mendeley Recent Style Name 6_1">
    <vt:lpwstr>Journal of Applied Ecology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8c303002-2126-301f-a0f8-43051be90347</vt:lpwstr>
  </property>
  <property fmtid="{D5CDD505-2E9C-101B-9397-08002B2CF9AE}" pid="24" name="Mendeley Citation Style_1">
    <vt:lpwstr>http://www.zotero.org/styles/apa</vt:lpwstr>
  </property>
</Properties>
</file>