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AB21" w14:textId="690860AE" w:rsidR="00E806AB" w:rsidRDefault="00CE176A">
      <w:pPr>
        <w:rPr>
          <w:lang w:val="en-US"/>
        </w:rPr>
      </w:pPr>
      <w:r w:rsidRPr="00CE176A">
        <w:rPr>
          <w:noProof/>
          <w:lang w:eastAsia="de-DE"/>
        </w:rPr>
        <w:drawing>
          <wp:inline distT="0" distB="0" distL="0" distR="0" wp14:anchorId="5707940E" wp14:editId="58C7B38D">
            <wp:extent cx="5760720" cy="9190312"/>
            <wp:effectExtent l="0" t="0" r="0" b="0"/>
            <wp:docPr id="9" name="Grafik 9" descr="C:\Users\ths06cu\Desktop\Hedychrum_manuscript_ON March 2020\Hedychrum final Nov 2020\for elife\Figures png\FigS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hs06cu\Desktop\Hedychrum_manuscript_ON March 2020\Hedychrum final Nov 2020\for elife\Figures png\FigSM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9190312"/>
                    </a:xfrm>
                    <a:prstGeom prst="rect">
                      <a:avLst/>
                    </a:prstGeom>
                    <a:noFill/>
                    <a:ln>
                      <a:noFill/>
                    </a:ln>
                  </pic:spPr>
                </pic:pic>
              </a:graphicData>
            </a:graphic>
          </wp:inline>
        </w:drawing>
      </w:r>
    </w:p>
    <w:p w14:paraId="4C85E150" w14:textId="77777777" w:rsidR="00E806AB" w:rsidRDefault="00E806AB">
      <w:pPr>
        <w:rPr>
          <w:lang w:val="en-US"/>
        </w:rPr>
      </w:pPr>
    </w:p>
    <w:p w14:paraId="4721891D" w14:textId="77777777" w:rsidR="00E806AB" w:rsidRDefault="00E806AB" w:rsidP="00E806AB">
      <w:pPr>
        <w:spacing w:line="360" w:lineRule="auto"/>
        <w:rPr>
          <w:sz w:val="24"/>
          <w:szCs w:val="24"/>
          <w:lang w:val="en-US"/>
        </w:rPr>
      </w:pPr>
      <w:r w:rsidRPr="00E806AB">
        <w:rPr>
          <w:sz w:val="24"/>
          <w:szCs w:val="24"/>
          <w:lang w:val="en-US"/>
        </w:rPr>
        <w:t>SM-Figure 1: Boxplots of the number of a) total CHC compounds and b) methyl-branched alkanes and the c) proportion of methyl-branc</w:t>
      </w:r>
      <w:r>
        <w:rPr>
          <w:sz w:val="24"/>
          <w:szCs w:val="24"/>
          <w:lang w:val="en-US"/>
        </w:rPr>
        <w:t>hed alkanes in the profiles of H</w:t>
      </w:r>
      <w:r w:rsidRPr="00E806AB">
        <w:rPr>
          <w:sz w:val="24"/>
          <w:szCs w:val="24"/>
          <w:lang w:val="en-US"/>
        </w:rPr>
        <w:t>ymenoptera preying (</w:t>
      </w:r>
      <w:proofErr w:type="spellStart"/>
      <w:r w:rsidRPr="00E806AB">
        <w:rPr>
          <w:sz w:val="24"/>
          <w:szCs w:val="24"/>
          <w:lang w:val="en-US"/>
        </w:rPr>
        <w:t>HYMw</w:t>
      </w:r>
      <w:proofErr w:type="spellEnd"/>
      <w:r w:rsidRPr="00E806AB">
        <w:rPr>
          <w:sz w:val="24"/>
          <w:szCs w:val="24"/>
          <w:lang w:val="en-US"/>
        </w:rPr>
        <w:t>) and Coleoptera preying (</w:t>
      </w:r>
      <w:proofErr w:type="spellStart"/>
      <w:r w:rsidRPr="00E806AB">
        <w:rPr>
          <w:sz w:val="24"/>
          <w:szCs w:val="24"/>
          <w:lang w:val="en-US"/>
        </w:rPr>
        <w:t>COLw</w:t>
      </w:r>
      <w:proofErr w:type="spellEnd"/>
      <w:r w:rsidRPr="00E806AB">
        <w:rPr>
          <w:sz w:val="24"/>
          <w:szCs w:val="24"/>
          <w:lang w:val="en-US"/>
        </w:rPr>
        <w:t xml:space="preserve">) </w:t>
      </w:r>
      <w:proofErr w:type="spellStart"/>
      <w:r w:rsidRPr="00E806AB">
        <w:rPr>
          <w:sz w:val="24"/>
          <w:szCs w:val="24"/>
          <w:lang w:val="en-US"/>
        </w:rPr>
        <w:t>apoid</w:t>
      </w:r>
      <w:proofErr w:type="spellEnd"/>
      <w:r w:rsidRPr="00E806AB">
        <w:rPr>
          <w:sz w:val="24"/>
          <w:szCs w:val="24"/>
          <w:lang w:val="en-US"/>
        </w:rPr>
        <w:t xml:space="preserve"> wasps, hosts to </w:t>
      </w:r>
      <w:proofErr w:type="spellStart"/>
      <w:r w:rsidRPr="00E806AB">
        <w:rPr>
          <w:i/>
          <w:sz w:val="24"/>
          <w:szCs w:val="24"/>
          <w:lang w:val="en-US"/>
        </w:rPr>
        <w:t>Hedychrum</w:t>
      </w:r>
      <w:proofErr w:type="spellEnd"/>
      <w:r w:rsidRPr="00E806AB">
        <w:rPr>
          <w:sz w:val="24"/>
          <w:szCs w:val="24"/>
          <w:lang w:val="en-US"/>
        </w:rPr>
        <w:t xml:space="preserve"> species in this study. Females are depicted in dark grey and males in light gray colors.</w:t>
      </w:r>
    </w:p>
    <w:p w14:paraId="6C95E936" w14:textId="77777777" w:rsidR="00E806AB" w:rsidRDefault="00E806AB" w:rsidP="00E806AB">
      <w:pPr>
        <w:spacing w:line="360" w:lineRule="auto"/>
        <w:rPr>
          <w:sz w:val="24"/>
          <w:szCs w:val="24"/>
          <w:lang w:val="en-US"/>
        </w:rPr>
      </w:pPr>
    </w:p>
    <w:p w14:paraId="4E20A7FD" w14:textId="77777777" w:rsidR="00E806AB" w:rsidRDefault="00E806AB" w:rsidP="00E806AB">
      <w:pPr>
        <w:spacing w:line="360" w:lineRule="auto"/>
        <w:rPr>
          <w:sz w:val="24"/>
          <w:szCs w:val="24"/>
          <w:lang w:val="en-US"/>
        </w:rPr>
      </w:pPr>
      <w:r>
        <w:rPr>
          <w:sz w:val="24"/>
          <w:szCs w:val="24"/>
          <w:lang w:val="en-US"/>
        </w:rPr>
        <w:br w:type="page"/>
      </w:r>
    </w:p>
    <w:p w14:paraId="55D979FD" w14:textId="77777777" w:rsidR="00E806AB" w:rsidRDefault="00E806AB" w:rsidP="00E806AB">
      <w:pPr>
        <w:spacing w:line="360" w:lineRule="auto"/>
        <w:rPr>
          <w:sz w:val="24"/>
          <w:szCs w:val="24"/>
          <w:lang w:val="en-US"/>
        </w:rPr>
      </w:pPr>
    </w:p>
    <w:p w14:paraId="1329BA07" w14:textId="77777777" w:rsidR="00E806AB" w:rsidRDefault="00CE176A" w:rsidP="00E806AB">
      <w:pPr>
        <w:spacing w:line="360" w:lineRule="auto"/>
        <w:rPr>
          <w:sz w:val="24"/>
          <w:szCs w:val="24"/>
          <w:lang w:val="en-US"/>
        </w:rPr>
      </w:pPr>
      <w:r w:rsidRPr="00CE176A">
        <w:rPr>
          <w:noProof/>
          <w:sz w:val="24"/>
          <w:szCs w:val="24"/>
          <w:lang w:eastAsia="de-DE"/>
        </w:rPr>
        <w:drawing>
          <wp:inline distT="0" distB="0" distL="0" distR="0" wp14:anchorId="00401998" wp14:editId="362288E0">
            <wp:extent cx="5760720" cy="2117005"/>
            <wp:effectExtent l="0" t="0" r="0" b="0"/>
            <wp:docPr id="10" name="Grafik 10" descr="C:\Users\ths06cu\Desktop\Hedychrum_manuscript_ON March 2020\Hedychrum final Nov 2020\for elife\Figures png\FigSM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hs06cu\Desktop\Hedychrum_manuscript_ON March 2020\Hedychrum final Nov 2020\for elife\Figures png\FigSM2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117005"/>
                    </a:xfrm>
                    <a:prstGeom prst="rect">
                      <a:avLst/>
                    </a:prstGeom>
                    <a:noFill/>
                    <a:ln>
                      <a:noFill/>
                    </a:ln>
                  </pic:spPr>
                </pic:pic>
              </a:graphicData>
            </a:graphic>
          </wp:inline>
        </w:drawing>
      </w:r>
    </w:p>
    <w:p w14:paraId="42D24D39" w14:textId="77777777" w:rsidR="00EB7EFE" w:rsidRDefault="00CE176A" w:rsidP="00E806AB">
      <w:pPr>
        <w:spacing w:line="360" w:lineRule="auto"/>
        <w:rPr>
          <w:sz w:val="24"/>
          <w:szCs w:val="24"/>
          <w:lang w:val="en-US"/>
        </w:rPr>
      </w:pPr>
      <w:r w:rsidRPr="00CE176A">
        <w:rPr>
          <w:noProof/>
          <w:sz w:val="24"/>
          <w:szCs w:val="24"/>
          <w:lang w:eastAsia="de-DE"/>
        </w:rPr>
        <w:drawing>
          <wp:inline distT="0" distB="0" distL="0" distR="0" wp14:anchorId="65E9DD1B" wp14:editId="57D433F7">
            <wp:extent cx="5760720" cy="2135145"/>
            <wp:effectExtent l="0" t="0" r="0" b="0"/>
            <wp:docPr id="11" name="Grafik 11" descr="C:\Users\ths06cu\Desktop\Hedychrum_manuscript_ON March 2020\Hedychrum final Nov 2020\for elife\Figures png\FigSM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hs06cu\Desktop\Hedychrum_manuscript_ON March 2020\Hedychrum final Nov 2020\for elife\Figures png\FigSM2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135145"/>
                    </a:xfrm>
                    <a:prstGeom prst="rect">
                      <a:avLst/>
                    </a:prstGeom>
                    <a:noFill/>
                    <a:ln>
                      <a:noFill/>
                    </a:ln>
                  </pic:spPr>
                </pic:pic>
              </a:graphicData>
            </a:graphic>
          </wp:inline>
        </w:drawing>
      </w:r>
    </w:p>
    <w:p w14:paraId="18E963C5" w14:textId="77777777" w:rsidR="00CE176A" w:rsidRDefault="00CE176A" w:rsidP="00E806AB">
      <w:pPr>
        <w:spacing w:line="360" w:lineRule="auto"/>
        <w:rPr>
          <w:sz w:val="24"/>
          <w:szCs w:val="24"/>
          <w:lang w:val="en-US"/>
        </w:rPr>
      </w:pPr>
    </w:p>
    <w:p w14:paraId="4CA52ACC" w14:textId="77777777" w:rsidR="00EB7EFE" w:rsidRPr="00EB7EFE" w:rsidRDefault="00EB7EFE" w:rsidP="00EB7EFE">
      <w:pPr>
        <w:spacing w:line="360" w:lineRule="auto"/>
        <w:jc w:val="both"/>
        <w:rPr>
          <w:sz w:val="24"/>
          <w:szCs w:val="24"/>
          <w:lang w:val="en-US"/>
        </w:rPr>
      </w:pPr>
      <w:r w:rsidRPr="00EB7EFE">
        <w:rPr>
          <w:sz w:val="24"/>
          <w:szCs w:val="24"/>
          <w:lang w:val="en-US"/>
        </w:rPr>
        <w:t>SM-Figure 2: Intra- and interspecific variability of cuticular hydrocarbon profiles in a) female and b) male individuals of all host species. Bray-Curtis dissimilarities were calculated between all individuals of species hunting the same type of prey (“between species”) and between individuals of the same species (species name indicated). In this case, however, in comparison to the figure presented in the text, only a maximum of five individuals were randomly selected for each group so that the number of specimens used in each group remains the same (5).</w:t>
      </w:r>
    </w:p>
    <w:p w14:paraId="7767B0B8" w14:textId="77777777" w:rsidR="00E806AB" w:rsidRDefault="00E806AB">
      <w:pPr>
        <w:rPr>
          <w:lang w:val="en-US"/>
        </w:rPr>
      </w:pPr>
    </w:p>
    <w:p w14:paraId="5FF3702A" w14:textId="77777777" w:rsidR="00EB7EFE" w:rsidRDefault="00EB7EFE">
      <w:pPr>
        <w:rPr>
          <w:lang w:val="en-US"/>
        </w:rPr>
      </w:pPr>
    </w:p>
    <w:p w14:paraId="1922D5B3" w14:textId="77777777" w:rsidR="00EB7EFE" w:rsidRDefault="00EB7EFE">
      <w:pPr>
        <w:rPr>
          <w:lang w:val="en-US"/>
        </w:rPr>
      </w:pPr>
      <w:r>
        <w:rPr>
          <w:lang w:val="en-US"/>
        </w:rPr>
        <w:br w:type="page"/>
      </w:r>
    </w:p>
    <w:p w14:paraId="686CF0B8" w14:textId="77777777" w:rsidR="00EB7EFE" w:rsidRDefault="00CE176A">
      <w:pPr>
        <w:rPr>
          <w:lang w:val="en-US"/>
        </w:rPr>
      </w:pPr>
      <w:r w:rsidRPr="00CE176A">
        <w:rPr>
          <w:noProof/>
          <w:lang w:eastAsia="de-DE"/>
        </w:rPr>
        <w:lastRenderedPageBreak/>
        <w:drawing>
          <wp:inline distT="0" distB="0" distL="0" distR="0" wp14:anchorId="02DA7ECC" wp14:editId="133F1973">
            <wp:extent cx="5760720" cy="2836415"/>
            <wp:effectExtent l="0" t="0" r="0" b="2540"/>
            <wp:docPr id="12" name="Grafik 12" descr="C:\Users\ths06cu\Desktop\Hedychrum_manuscript_ON March 2020\Hedychrum final Nov 2020\for elife\Figures png\Fig_S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hs06cu\Desktop\Hedychrum_manuscript_ON March 2020\Hedychrum final Nov 2020\for elife\Figures png\Fig_SM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836415"/>
                    </a:xfrm>
                    <a:prstGeom prst="rect">
                      <a:avLst/>
                    </a:prstGeom>
                    <a:noFill/>
                    <a:ln>
                      <a:noFill/>
                    </a:ln>
                  </pic:spPr>
                </pic:pic>
              </a:graphicData>
            </a:graphic>
          </wp:inline>
        </w:drawing>
      </w:r>
    </w:p>
    <w:p w14:paraId="365BA1A1" w14:textId="77777777" w:rsidR="00EB7EFE" w:rsidRDefault="00EB7EFE">
      <w:pPr>
        <w:rPr>
          <w:lang w:val="en-US"/>
        </w:rPr>
      </w:pPr>
    </w:p>
    <w:p w14:paraId="74546EB5" w14:textId="77777777" w:rsidR="00EB7EFE" w:rsidRPr="00EB7EFE" w:rsidRDefault="008A2225" w:rsidP="00EB7EFE">
      <w:pPr>
        <w:spacing w:line="360" w:lineRule="auto"/>
        <w:jc w:val="both"/>
        <w:rPr>
          <w:sz w:val="24"/>
          <w:szCs w:val="24"/>
          <w:lang w:val="en-US"/>
        </w:rPr>
      </w:pPr>
      <w:r>
        <w:rPr>
          <w:sz w:val="24"/>
          <w:szCs w:val="24"/>
          <w:lang w:val="en-US"/>
        </w:rPr>
        <w:t>SM-</w:t>
      </w:r>
      <w:r w:rsidR="00EB7EFE" w:rsidRPr="00EB7EFE">
        <w:rPr>
          <w:sz w:val="24"/>
          <w:szCs w:val="24"/>
          <w:lang w:val="en-US"/>
        </w:rPr>
        <w:t xml:space="preserve">Figure 3: Bray-Curtis dissimilarities between two randomly selected CHC profiles of samples collected from the same population of a species belonging to </w:t>
      </w:r>
      <w:proofErr w:type="spellStart"/>
      <w:r w:rsidR="00EB7EFE" w:rsidRPr="00EB7EFE">
        <w:rPr>
          <w:sz w:val="24"/>
          <w:szCs w:val="24"/>
          <w:lang w:val="en-US"/>
        </w:rPr>
        <w:t>HYMw</w:t>
      </w:r>
      <w:proofErr w:type="spellEnd"/>
      <w:r w:rsidR="00EB7EFE" w:rsidRPr="00EB7EFE">
        <w:rPr>
          <w:sz w:val="24"/>
          <w:szCs w:val="24"/>
          <w:lang w:val="en-US"/>
        </w:rPr>
        <w:t xml:space="preserve"> or to </w:t>
      </w:r>
      <w:proofErr w:type="spellStart"/>
      <w:r w:rsidR="00EB7EFE" w:rsidRPr="00EB7EFE">
        <w:rPr>
          <w:sz w:val="24"/>
          <w:szCs w:val="24"/>
          <w:lang w:val="en-US"/>
        </w:rPr>
        <w:t>COLw</w:t>
      </w:r>
      <w:proofErr w:type="spellEnd"/>
      <w:r w:rsidR="00EB7EFE" w:rsidRPr="00EB7EFE">
        <w:rPr>
          <w:sz w:val="24"/>
          <w:szCs w:val="24"/>
          <w:lang w:val="en-US"/>
        </w:rPr>
        <w:t xml:space="preserve"> in females (a) and males (b). Pairwise distances between two individuals coming from the same species were randomly selected in 1000 simulations in each case.</w:t>
      </w:r>
    </w:p>
    <w:p w14:paraId="6628120F" w14:textId="77777777" w:rsidR="00EB7EFE" w:rsidRPr="00972517" w:rsidRDefault="00EB7EFE">
      <w:pPr>
        <w:rPr>
          <w:lang w:val="en-US"/>
        </w:rPr>
      </w:pPr>
    </w:p>
    <w:sectPr w:rsidR="00EB7EFE" w:rsidRPr="00972517" w:rsidSect="003C2B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oto Sans CJK SC Regular">
    <w:altName w:val="Calibri"/>
    <w:charset w:val="00"/>
    <w:family w:val="auto"/>
    <w:pitch w:val="variable"/>
  </w:font>
  <w:font w:name="FreeSans">
    <w:altName w:val="Cambria"/>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decimal"/>
      <w:lvlText w:val="%1."/>
      <w:lvlJc w:val="left"/>
      <w:pPr>
        <w:tabs>
          <w:tab w:val="num" w:pos="504"/>
        </w:tabs>
        <w:ind w:left="504" w:hanging="288"/>
      </w:pPr>
    </w:lvl>
    <w:lvl w:ilvl="1">
      <w:start w:val="1"/>
      <w:numFmt w:val="lowerLetter"/>
      <w:lvlText w:val="(%2)"/>
      <w:lvlJc w:val="left"/>
      <w:pPr>
        <w:tabs>
          <w:tab w:val="num" w:pos="792"/>
        </w:tabs>
        <w:ind w:left="792" w:hanging="288"/>
      </w:pPr>
    </w:lvl>
    <w:lvl w:ilvl="2">
      <w:start w:val="1"/>
      <w:numFmt w:val="lowerRoman"/>
      <w:lvlText w:val="%3."/>
      <w:lvlJc w:val="left"/>
      <w:pPr>
        <w:tabs>
          <w:tab w:val="num" w:pos="1152"/>
        </w:tabs>
        <w:ind w:left="1152" w:hanging="288"/>
      </w:pPr>
    </w:lvl>
    <w:lvl w:ilvl="3">
      <w:start w:val="1"/>
      <w:numFmt w:val="upperLetter"/>
      <w:lvlText w:val="%4."/>
      <w:lvlJc w:val="left"/>
      <w:pPr>
        <w:tabs>
          <w:tab w:val="num" w:pos="1440"/>
        </w:tabs>
        <w:ind w:left="1440" w:hanging="288"/>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408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C5"/>
    <w:rsid w:val="003C2BC5"/>
    <w:rsid w:val="0044225F"/>
    <w:rsid w:val="0055210E"/>
    <w:rsid w:val="00864F67"/>
    <w:rsid w:val="008A2225"/>
    <w:rsid w:val="00972517"/>
    <w:rsid w:val="00990A27"/>
    <w:rsid w:val="00C27C8E"/>
    <w:rsid w:val="00CE176A"/>
    <w:rsid w:val="00E806AB"/>
    <w:rsid w:val="00EB7EFE"/>
    <w:rsid w:val="00FB5E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006C"/>
  <w15:chartTrackingRefBased/>
  <w15:docId w15:val="{13D34B50-39F1-42DB-B675-A08F4A49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it">
    <w:name w:val="textit"/>
    <w:rsid w:val="00972517"/>
    <w:rPr>
      <w:i/>
    </w:rPr>
  </w:style>
  <w:style w:type="paragraph" w:customStyle="1" w:styleId="Inside-enumerate">
    <w:name w:val="Inside-enumerate"/>
    <w:basedOn w:val="Standard"/>
    <w:rsid w:val="00972517"/>
    <w:pPr>
      <w:suppressAutoHyphens/>
      <w:spacing w:after="216" w:line="288" w:lineRule="auto"/>
      <w:jc w:val="both"/>
    </w:pPr>
    <w:rPr>
      <w:rFonts w:ascii="Liberation Serif" w:eastAsia="Noto Sans CJK SC Regular" w:hAnsi="Liberation Serif" w:cs="FreeSans"/>
      <w:kern w:val="2"/>
      <w:sz w:val="24"/>
      <w:szCs w:val="24"/>
      <w:lang w:eastAsia="zh-CN" w:bidi="hi-IN"/>
    </w:rPr>
  </w:style>
  <w:style w:type="character" w:customStyle="1" w:styleId="gmail-textit">
    <w:name w:val="gmail-textit"/>
    <w:basedOn w:val="Absatz-Standardschriftart"/>
    <w:rsid w:val="00CE1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9176A-95A5-4D5D-9C03-B5BE6D8F3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171</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Schmitt</dc:creator>
  <cp:keywords/>
  <dc:description/>
  <cp:lastModifiedBy>Thomas Schmitt</cp:lastModifiedBy>
  <cp:revision>2</cp:revision>
  <dcterms:created xsi:type="dcterms:W3CDTF">2022-08-01T21:07:00Z</dcterms:created>
  <dcterms:modified xsi:type="dcterms:W3CDTF">2022-08-01T21:07:00Z</dcterms:modified>
</cp:coreProperties>
</file>