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DD9" w:rsidRDefault="00BD0700" w:rsidP="00283DD9">
      <w:pPr>
        <w:spacing w:after="0" w:line="360" w:lineRule="auto"/>
        <w:jc w:val="center"/>
        <w:rPr>
          <w:rFonts w:ascii="Times New Roman" w:hAnsi="Times New Roman" w:cs="Times New Roman"/>
          <w:b/>
          <w:sz w:val="24"/>
          <w:szCs w:val="24"/>
        </w:rPr>
      </w:pPr>
      <w:r w:rsidRPr="00460CD4">
        <w:rPr>
          <w:rFonts w:ascii="Times New Roman" w:hAnsi="Times New Roman" w:cs="Times New Roman"/>
          <w:b/>
          <w:sz w:val="24"/>
          <w:szCs w:val="24"/>
        </w:rPr>
        <w:t xml:space="preserve">Additional </w:t>
      </w:r>
      <w:r w:rsidR="00460CD4">
        <w:rPr>
          <w:rFonts w:ascii="Times New Roman" w:hAnsi="Times New Roman" w:cs="Times New Roman"/>
          <w:b/>
          <w:sz w:val="24"/>
          <w:szCs w:val="24"/>
        </w:rPr>
        <w:t>File 1</w:t>
      </w:r>
    </w:p>
    <w:p w:rsidR="00BD0700" w:rsidRPr="00460CD4" w:rsidRDefault="00283DD9" w:rsidP="00283DD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Pr="00460CD4">
        <w:rPr>
          <w:rFonts w:ascii="Times New Roman" w:hAnsi="Times New Roman" w:cs="Times New Roman"/>
          <w:b/>
          <w:sz w:val="24"/>
          <w:szCs w:val="24"/>
        </w:rPr>
        <w:t>This file contains the Supplementary Tables and Figures</w:t>
      </w:r>
      <w:r>
        <w:rPr>
          <w:rFonts w:ascii="Times New Roman" w:hAnsi="Times New Roman" w:cs="Times New Roman"/>
          <w:b/>
          <w:sz w:val="24"/>
          <w:szCs w:val="24"/>
        </w:rPr>
        <w:t>)</w:t>
      </w:r>
    </w:p>
    <w:p w:rsidR="00DC7489" w:rsidRPr="002250FB" w:rsidRDefault="00DC7489" w:rsidP="00DC7489">
      <w:pPr>
        <w:spacing w:line="360" w:lineRule="auto"/>
        <w:jc w:val="center"/>
        <w:rPr>
          <w:rFonts w:ascii="Times New Roman" w:hAnsi="Times New Roman" w:cs="Times New Roman"/>
          <w:b/>
          <w:bCs/>
          <w:color w:val="000000" w:themeColor="text1"/>
          <w:sz w:val="28"/>
          <w:szCs w:val="24"/>
        </w:rPr>
      </w:pPr>
      <w:r w:rsidRPr="002250FB">
        <w:rPr>
          <w:rFonts w:ascii="Times New Roman" w:hAnsi="Times New Roman" w:cs="Times New Roman"/>
          <w:b/>
          <w:color w:val="000000" w:themeColor="text1"/>
          <w:sz w:val="28"/>
          <w:szCs w:val="24"/>
        </w:rPr>
        <w:t xml:space="preserve">An integrated </w:t>
      </w:r>
      <w:r w:rsidRPr="002250FB">
        <w:rPr>
          <w:rFonts w:ascii="Times New Roman" w:hAnsi="Times New Roman" w:cs="Times New Roman"/>
          <w:b/>
          <w:i/>
          <w:color w:val="000000" w:themeColor="text1"/>
          <w:sz w:val="28"/>
          <w:szCs w:val="24"/>
        </w:rPr>
        <w:t>in silico</w:t>
      </w:r>
      <w:r w:rsidRPr="002250FB">
        <w:rPr>
          <w:rFonts w:ascii="Times New Roman" w:hAnsi="Times New Roman" w:cs="Times New Roman"/>
          <w:b/>
          <w:color w:val="000000" w:themeColor="text1"/>
          <w:sz w:val="28"/>
          <w:szCs w:val="24"/>
        </w:rPr>
        <w:t xml:space="preserve"> approach for functional and structural impact of </w:t>
      </w:r>
      <w:r w:rsidRPr="002250FB">
        <w:rPr>
          <w:rFonts w:ascii="Times New Roman" w:hAnsi="Times New Roman" w:cs="Times New Roman"/>
          <w:b/>
          <w:bCs/>
          <w:color w:val="000000" w:themeColor="text1"/>
          <w:sz w:val="28"/>
          <w:szCs w:val="24"/>
        </w:rPr>
        <w:t>non- synonymous SNPs</w:t>
      </w:r>
      <w:r w:rsidRPr="002250FB">
        <w:rPr>
          <w:rFonts w:ascii="Times New Roman" w:hAnsi="Times New Roman" w:cs="Times New Roman"/>
          <w:b/>
          <w:color w:val="000000" w:themeColor="text1"/>
          <w:sz w:val="28"/>
          <w:szCs w:val="24"/>
        </w:rPr>
        <w:t xml:space="preserve"> in the </w:t>
      </w:r>
      <w:r w:rsidRPr="002250FB">
        <w:rPr>
          <w:rFonts w:ascii="Times New Roman" w:hAnsi="Times New Roman" w:cs="Times New Roman"/>
          <w:b/>
          <w:bCs/>
          <w:i/>
          <w:color w:val="000000" w:themeColor="text1"/>
          <w:sz w:val="28"/>
          <w:szCs w:val="24"/>
        </w:rPr>
        <w:t>MYH1</w:t>
      </w:r>
      <w:r w:rsidRPr="002250FB">
        <w:rPr>
          <w:rFonts w:ascii="Times New Roman" w:hAnsi="Times New Roman" w:cs="Times New Roman"/>
          <w:b/>
          <w:bCs/>
          <w:color w:val="000000" w:themeColor="text1"/>
          <w:sz w:val="28"/>
          <w:szCs w:val="24"/>
        </w:rPr>
        <w:t xml:space="preserve"> gene</w:t>
      </w:r>
      <w:r w:rsidRPr="002250FB">
        <w:rPr>
          <w:rFonts w:ascii="Times New Roman" w:hAnsi="Times New Roman" w:cs="Times New Roman"/>
          <w:b/>
          <w:bCs/>
          <w:i/>
          <w:color w:val="000000" w:themeColor="text1"/>
          <w:sz w:val="28"/>
          <w:szCs w:val="24"/>
        </w:rPr>
        <w:t xml:space="preserve"> </w:t>
      </w:r>
      <w:r w:rsidRPr="002250FB">
        <w:rPr>
          <w:rFonts w:ascii="Times New Roman" w:hAnsi="Times New Roman" w:cs="Times New Roman"/>
          <w:b/>
          <w:bCs/>
          <w:color w:val="000000" w:themeColor="text1"/>
          <w:sz w:val="28"/>
          <w:szCs w:val="24"/>
        </w:rPr>
        <w:t xml:space="preserve">in Jeju Native Pigs </w:t>
      </w:r>
    </w:p>
    <w:p w:rsidR="00DC7489" w:rsidRPr="00A81610" w:rsidRDefault="00DC7489" w:rsidP="00DC7489">
      <w:pPr>
        <w:spacing w:line="360" w:lineRule="auto"/>
        <w:jc w:val="both"/>
        <w:rPr>
          <w:rFonts w:ascii="Times New Roman" w:hAnsi="Times New Roman" w:cs="Times New Roman"/>
          <w:sz w:val="24"/>
          <w:szCs w:val="24"/>
        </w:rPr>
      </w:pPr>
      <w:r w:rsidRPr="000124B2">
        <w:rPr>
          <w:rFonts w:ascii="Times New Roman" w:hAnsi="Times New Roman" w:cs="Times New Roman"/>
          <w:sz w:val="24"/>
          <w:szCs w:val="24"/>
        </w:rPr>
        <w:t>Mrinmoy Ghosh</w:t>
      </w:r>
      <w:r w:rsidRPr="000124B2">
        <w:rPr>
          <w:rFonts w:ascii="Times New Roman" w:hAnsi="Times New Roman" w:cs="Times New Roman"/>
          <w:sz w:val="24"/>
          <w:szCs w:val="24"/>
          <w:vertAlign w:val="superscript"/>
        </w:rPr>
        <w:t>1</w:t>
      </w:r>
      <w:r w:rsidRPr="000124B2">
        <w:rPr>
          <w:rFonts w:ascii="Times New Roman" w:hAnsi="Times New Roman" w:cs="Times New Roman"/>
          <w:sz w:val="24"/>
          <w:szCs w:val="24"/>
        </w:rPr>
        <w:t>, Simrinder Singh Sodhi</w:t>
      </w:r>
      <w:r w:rsidRPr="000124B2">
        <w:rPr>
          <w:rFonts w:ascii="Times New Roman" w:hAnsi="Times New Roman" w:cs="Times New Roman"/>
          <w:sz w:val="24"/>
          <w:szCs w:val="24"/>
          <w:vertAlign w:val="superscript"/>
        </w:rPr>
        <w:t>1</w:t>
      </w:r>
      <w:r w:rsidRPr="000124B2">
        <w:rPr>
          <w:rFonts w:ascii="Times New Roman" w:hAnsi="Times New Roman" w:cs="Times New Roman"/>
          <w:sz w:val="24"/>
          <w:szCs w:val="24"/>
        </w:rPr>
        <w:t>, Neelesh Sharma</w:t>
      </w:r>
      <w:r w:rsidRPr="000124B2">
        <w:rPr>
          <w:rFonts w:ascii="Times New Roman" w:hAnsi="Times New Roman" w:cs="Times New Roman"/>
          <w:sz w:val="24"/>
          <w:szCs w:val="24"/>
          <w:vertAlign w:val="superscript"/>
        </w:rPr>
        <w:t>2</w:t>
      </w:r>
      <w:r w:rsidRPr="000124B2">
        <w:rPr>
          <w:rFonts w:ascii="Times-Roman" w:hAnsi="Times-Roman" w:cs="Times-Roman"/>
          <w:sz w:val="16"/>
          <w:szCs w:val="16"/>
        </w:rPr>
        <w:t xml:space="preserve">, </w:t>
      </w:r>
      <w:r w:rsidRPr="000124B2">
        <w:rPr>
          <w:rFonts w:ascii="Times New Roman" w:hAnsi="Times New Roman" w:cs="Times New Roman"/>
          <w:sz w:val="24"/>
          <w:szCs w:val="24"/>
        </w:rPr>
        <w:t>Raj Kumar Mongre</w:t>
      </w:r>
      <w:r w:rsidRPr="000124B2">
        <w:rPr>
          <w:rFonts w:ascii="Times New Roman" w:hAnsi="Times New Roman" w:cs="Times New Roman"/>
          <w:sz w:val="24"/>
          <w:szCs w:val="24"/>
          <w:vertAlign w:val="superscript"/>
        </w:rPr>
        <w:t>1</w:t>
      </w:r>
      <w:r w:rsidRPr="000124B2">
        <w:rPr>
          <w:rFonts w:ascii="Times New Roman" w:hAnsi="Times New Roman" w:cs="Times New Roman"/>
          <w:sz w:val="24"/>
          <w:szCs w:val="24"/>
        </w:rPr>
        <w:t>, Nameun Kim</w:t>
      </w:r>
      <w:r w:rsidRPr="000124B2">
        <w:rPr>
          <w:rFonts w:ascii="Times New Roman" w:hAnsi="Times New Roman" w:cs="Times New Roman"/>
          <w:sz w:val="24"/>
          <w:szCs w:val="24"/>
          <w:vertAlign w:val="superscript"/>
        </w:rPr>
        <w:t>1</w:t>
      </w:r>
      <w:r w:rsidRPr="000124B2">
        <w:rPr>
          <w:rFonts w:ascii="Times-Roman" w:hAnsi="Times-Roman" w:cs="Times-Roman"/>
          <w:sz w:val="16"/>
          <w:szCs w:val="16"/>
        </w:rPr>
        <w:t xml:space="preserve">, </w:t>
      </w:r>
      <w:r w:rsidRPr="000124B2">
        <w:rPr>
          <w:rFonts w:ascii="Times New Roman" w:hAnsi="Times New Roman" w:cs="Times New Roman"/>
          <w:sz w:val="24"/>
          <w:szCs w:val="24"/>
        </w:rPr>
        <w:t>Amit Kumar Singh</w:t>
      </w:r>
      <w:r w:rsidRPr="000124B2">
        <w:rPr>
          <w:rFonts w:ascii="Times New Roman" w:hAnsi="Times New Roman" w:cs="Times New Roman"/>
          <w:sz w:val="24"/>
          <w:szCs w:val="24"/>
          <w:vertAlign w:val="superscript"/>
        </w:rPr>
        <w:t>1</w:t>
      </w:r>
      <w:r w:rsidRPr="000124B2">
        <w:rPr>
          <w:rFonts w:ascii="Times-Roman" w:hAnsi="Times-Roman" w:cs="Times-Roman"/>
          <w:sz w:val="16"/>
          <w:szCs w:val="16"/>
        </w:rPr>
        <w:t xml:space="preserve">, </w:t>
      </w:r>
      <w:r w:rsidRPr="000124B2">
        <w:rPr>
          <w:rFonts w:ascii="Times New Roman" w:hAnsi="Times New Roman" w:cs="Times New Roman"/>
          <w:sz w:val="24"/>
          <w:szCs w:val="24"/>
        </w:rPr>
        <w:t>Sung</w:t>
      </w:r>
      <w:r w:rsidRPr="00A81610">
        <w:rPr>
          <w:rFonts w:ascii="Times New Roman" w:hAnsi="Times New Roman" w:cs="Times New Roman"/>
          <w:sz w:val="24"/>
          <w:szCs w:val="24"/>
        </w:rPr>
        <w:t xml:space="preserve"> Jin Lee</w:t>
      </w:r>
      <w:r w:rsidRPr="00A81610">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826D28">
        <w:rPr>
          <w:rFonts w:ascii="Times New Roman" w:hAnsi="Times New Roman" w:cs="Times New Roman"/>
          <w:color w:val="0070C0"/>
          <w:sz w:val="24"/>
          <w:szCs w:val="24"/>
        </w:rPr>
        <w:t>Dae Cheol Kim</w:t>
      </w:r>
      <w:r w:rsidRPr="00FF3654">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A81610">
        <w:rPr>
          <w:rFonts w:ascii="Times New Roman" w:hAnsi="Times New Roman" w:cs="Times New Roman"/>
          <w:sz w:val="24"/>
          <w:szCs w:val="24"/>
        </w:rPr>
        <w:t>Sung Woo Kim</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A81610">
        <w:rPr>
          <w:rFonts w:ascii="Times New Roman" w:hAnsi="Times New Roman" w:cs="Times New Roman"/>
          <w:sz w:val="24"/>
          <w:szCs w:val="24"/>
        </w:rPr>
        <w:t>Hak</w:t>
      </w:r>
      <w:r>
        <w:rPr>
          <w:rFonts w:ascii="Times New Roman" w:hAnsi="Times New Roman" w:cs="Times New Roman"/>
          <w:sz w:val="24"/>
          <w:szCs w:val="24"/>
        </w:rPr>
        <w:t xml:space="preserve"> </w:t>
      </w:r>
      <w:r w:rsidRPr="00A81610">
        <w:rPr>
          <w:rFonts w:ascii="Times New Roman" w:hAnsi="Times New Roman" w:cs="Times New Roman"/>
          <w:sz w:val="24"/>
          <w:szCs w:val="24"/>
        </w:rPr>
        <w:t>Kyo Lee</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A81610">
        <w:rPr>
          <w:rFonts w:ascii="Times New Roman" w:hAnsi="Times New Roman" w:cs="Times New Roman"/>
          <w:sz w:val="24"/>
          <w:szCs w:val="24"/>
        </w:rPr>
        <w:t>Ki-Duk Song</w:t>
      </w:r>
      <w:r>
        <w:rPr>
          <w:rFonts w:ascii="Times New Roman" w:hAnsi="Times New Roman" w:cs="Times New Roman"/>
          <w:sz w:val="24"/>
          <w:szCs w:val="24"/>
          <w:vertAlign w:val="superscript"/>
        </w:rPr>
        <w:t>6</w:t>
      </w:r>
      <w:r w:rsidRPr="00EB0752">
        <w:rPr>
          <w:rFonts w:ascii="Times New Roman" w:hAnsi="Times New Roman" w:cs="Times New Roman"/>
          <w:sz w:val="24"/>
          <w:szCs w:val="24"/>
          <w:vertAlign w:val="superscript"/>
        </w:rPr>
        <w:t>*</w:t>
      </w:r>
      <w:r>
        <w:rPr>
          <w:rFonts w:ascii="Times New Roman" w:hAnsi="Times New Roman" w:cs="Times New Roman"/>
          <w:sz w:val="24"/>
          <w:szCs w:val="24"/>
        </w:rPr>
        <w:t xml:space="preserve"> and </w:t>
      </w:r>
      <w:r w:rsidRPr="00A81610">
        <w:rPr>
          <w:rFonts w:ascii="Times New Roman" w:hAnsi="Times New Roman" w:cs="Times New Roman"/>
          <w:sz w:val="24"/>
          <w:szCs w:val="24"/>
        </w:rPr>
        <w:t>Dong Kee Jeong</w:t>
      </w:r>
      <w:r w:rsidRPr="00A8161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p>
    <w:p w:rsidR="00DC7489" w:rsidRDefault="00DC7489" w:rsidP="00DC7489">
      <w:pPr>
        <w:pStyle w:val="ListParagraph"/>
        <w:numPr>
          <w:ilvl w:val="0"/>
          <w:numId w:val="1"/>
        </w:numPr>
        <w:spacing w:before="240" w:line="480" w:lineRule="auto"/>
        <w:ind w:left="360"/>
        <w:rPr>
          <w:rFonts w:ascii="Times New Roman" w:hAnsi="Times New Roman" w:cs="Times New Roman"/>
          <w:sz w:val="24"/>
          <w:szCs w:val="24"/>
        </w:rPr>
      </w:pPr>
      <w:r w:rsidRPr="00A81610">
        <w:rPr>
          <w:rFonts w:ascii="Times New Roman" w:hAnsi="Times New Roman" w:cs="Times New Roman"/>
          <w:sz w:val="24"/>
          <w:szCs w:val="24"/>
        </w:rPr>
        <w:t>Department of Animal Biotechnology, Faculty of Biotechnology, Jeju National University, Jeju</w:t>
      </w:r>
      <w:r>
        <w:rPr>
          <w:rFonts w:ascii="Times New Roman" w:hAnsi="Times New Roman" w:cs="Times New Roman"/>
          <w:sz w:val="24"/>
          <w:szCs w:val="24"/>
        </w:rPr>
        <w:t>-</w:t>
      </w:r>
      <w:r w:rsidRPr="00A81610">
        <w:rPr>
          <w:rFonts w:ascii="Times New Roman" w:hAnsi="Times New Roman" w:cs="Times New Roman"/>
          <w:sz w:val="24"/>
          <w:szCs w:val="24"/>
        </w:rPr>
        <w:t>Do</w:t>
      </w:r>
      <w:r>
        <w:rPr>
          <w:rFonts w:ascii="Times New Roman" w:hAnsi="Times New Roman" w:cs="Times New Roman"/>
          <w:sz w:val="24"/>
          <w:szCs w:val="24"/>
        </w:rPr>
        <w:t xml:space="preserve"> </w:t>
      </w:r>
      <w:r w:rsidRPr="00A81610">
        <w:rPr>
          <w:rFonts w:ascii="Times New Roman" w:hAnsi="Times New Roman" w:cs="Times New Roman"/>
          <w:sz w:val="24"/>
          <w:szCs w:val="24"/>
        </w:rPr>
        <w:t>690-756, Republic of Korea</w:t>
      </w:r>
    </w:p>
    <w:p w:rsidR="00DC7489" w:rsidRDefault="00DC7489" w:rsidP="00DC7489">
      <w:pPr>
        <w:pStyle w:val="ListParagraph"/>
        <w:numPr>
          <w:ilvl w:val="0"/>
          <w:numId w:val="1"/>
        </w:numPr>
        <w:spacing w:before="240" w:line="480" w:lineRule="auto"/>
        <w:ind w:left="360"/>
        <w:rPr>
          <w:rFonts w:ascii="Times New Roman" w:hAnsi="Times New Roman" w:cs="Times New Roman"/>
          <w:sz w:val="24"/>
          <w:szCs w:val="24"/>
        </w:rPr>
      </w:pPr>
      <w:r w:rsidRPr="000F4207">
        <w:rPr>
          <w:rFonts w:ascii="Times New Roman" w:hAnsi="Times New Roman" w:cs="Times New Roman"/>
          <w:sz w:val="24"/>
          <w:szCs w:val="24"/>
        </w:rPr>
        <w:t>Sher-e-Kashmir University of Agricultural Sciences and Technology, R.S. Pura, Jammu, India</w:t>
      </w:r>
    </w:p>
    <w:p w:rsidR="00DC7489" w:rsidRDefault="00DC7489" w:rsidP="00DC7489">
      <w:pPr>
        <w:pStyle w:val="ListParagraph"/>
        <w:numPr>
          <w:ilvl w:val="0"/>
          <w:numId w:val="1"/>
        </w:numPr>
        <w:spacing w:before="240" w:line="480" w:lineRule="auto"/>
        <w:ind w:left="360"/>
        <w:rPr>
          <w:rFonts w:ascii="Times New Roman" w:hAnsi="Times New Roman" w:cs="Times New Roman"/>
          <w:sz w:val="24"/>
          <w:szCs w:val="24"/>
        </w:rPr>
      </w:pPr>
      <w:r w:rsidRPr="000F4207">
        <w:rPr>
          <w:rFonts w:ascii="Times New Roman" w:hAnsi="Times New Roman" w:cs="Times New Roman"/>
          <w:sz w:val="24"/>
          <w:szCs w:val="24"/>
        </w:rPr>
        <w:t>Department of Animal Biotechnology, College of Animal Bioscience and Technology, Kangwon National University, Chuncheon 200-701, Republic of Korea</w:t>
      </w:r>
    </w:p>
    <w:p w:rsidR="00DC7489" w:rsidRPr="00FF3654" w:rsidRDefault="00DC7489" w:rsidP="00DC7489">
      <w:pPr>
        <w:pStyle w:val="ListParagraph"/>
        <w:numPr>
          <w:ilvl w:val="0"/>
          <w:numId w:val="1"/>
        </w:numPr>
        <w:shd w:val="clear" w:color="auto" w:fill="FFFFFF"/>
        <w:spacing w:after="0" w:line="480" w:lineRule="auto"/>
        <w:ind w:left="360"/>
        <w:rPr>
          <w:rFonts w:ascii="Times New Roman" w:eastAsia="Times New Roman" w:hAnsi="Times New Roman" w:cs="Times New Roman"/>
          <w:color w:val="222222"/>
          <w:sz w:val="24"/>
          <w:szCs w:val="24"/>
        </w:rPr>
      </w:pPr>
      <w:r w:rsidRPr="00FF3654">
        <w:rPr>
          <w:rFonts w:ascii="Times New Roman" w:eastAsia="Times New Roman" w:hAnsi="Times New Roman" w:cs="Times New Roman"/>
          <w:color w:val="222222"/>
          <w:sz w:val="24"/>
          <w:szCs w:val="24"/>
        </w:rPr>
        <w:t xml:space="preserve">Livestock Promotion Institute, Jeju Special Self-governing Province, </w:t>
      </w:r>
      <w:r w:rsidRPr="00A81610">
        <w:rPr>
          <w:rFonts w:ascii="Times New Roman" w:hAnsi="Times New Roman" w:cs="Times New Roman"/>
          <w:sz w:val="24"/>
          <w:szCs w:val="24"/>
        </w:rPr>
        <w:t>Jeju</w:t>
      </w:r>
      <w:r>
        <w:rPr>
          <w:rFonts w:ascii="Times New Roman" w:hAnsi="Times New Roman" w:cs="Times New Roman"/>
          <w:sz w:val="24"/>
          <w:szCs w:val="24"/>
        </w:rPr>
        <w:t>-</w:t>
      </w:r>
      <w:r w:rsidRPr="00A81610">
        <w:rPr>
          <w:rFonts w:ascii="Times New Roman" w:hAnsi="Times New Roman" w:cs="Times New Roman"/>
          <w:sz w:val="24"/>
          <w:szCs w:val="24"/>
        </w:rPr>
        <w:t>Do</w:t>
      </w:r>
      <w:r>
        <w:rPr>
          <w:rFonts w:ascii="Times New Roman" w:hAnsi="Times New Roman" w:cs="Times New Roman"/>
          <w:sz w:val="24"/>
          <w:szCs w:val="24"/>
        </w:rPr>
        <w:t xml:space="preserve"> </w:t>
      </w:r>
      <w:r w:rsidRPr="00A81610">
        <w:rPr>
          <w:rFonts w:ascii="Times New Roman" w:hAnsi="Times New Roman" w:cs="Times New Roman"/>
          <w:sz w:val="24"/>
          <w:szCs w:val="24"/>
        </w:rPr>
        <w:t>690-756</w:t>
      </w:r>
      <w:r w:rsidRPr="00FF3654">
        <w:rPr>
          <w:rFonts w:ascii="Times New Roman" w:eastAsia="Times New Roman" w:hAnsi="Times New Roman" w:cs="Times New Roman"/>
          <w:color w:val="222222"/>
          <w:sz w:val="24"/>
          <w:szCs w:val="24"/>
        </w:rPr>
        <w:t>Republic of Korea.</w:t>
      </w:r>
    </w:p>
    <w:p w:rsidR="00DC7489" w:rsidRDefault="00DC7489" w:rsidP="00DC7489">
      <w:pPr>
        <w:pStyle w:val="ListParagraph"/>
        <w:numPr>
          <w:ilvl w:val="0"/>
          <w:numId w:val="1"/>
        </w:numPr>
        <w:spacing w:before="240" w:line="480" w:lineRule="auto"/>
        <w:ind w:left="360"/>
        <w:rPr>
          <w:rFonts w:ascii="Times New Roman" w:hAnsi="Times New Roman" w:cs="Times New Roman"/>
          <w:sz w:val="24"/>
          <w:szCs w:val="24"/>
        </w:rPr>
      </w:pPr>
      <w:r w:rsidRPr="00B20455">
        <w:rPr>
          <w:rFonts w:ascii="Times New Roman" w:hAnsi="Times New Roman" w:cs="Times New Roman"/>
          <w:color w:val="222222"/>
          <w:sz w:val="24"/>
          <w:szCs w:val="24"/>
          <w:shd w:val="clear" w:color="auto" w:fill="FFFFFF"/>
        </w:rPr>
        <w:t xml:space="preserve">Animal Genetic Resources Station, National Institute of Animal Science, Rural Administration, Namwon, </w:t>
      </w:r>
      <w:r w:rsidRPr="00A81610">
        <w:rPr>
          <w:rFonts w:ascii="Times New Roman" w:hAnsi="Times New Roman" w:cs="Times New Roman"/>
          <w:sz w:val="24"/>
          <w:szCs w:val="24"/>
        </w:rPr>
        <w:t>Republic of</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K</w:t>
      </w:r>
      <w:r w:rsidRPr="00B20455">
        <w:rPr>
          <w:rFonts w:ascii="Times New Roman" w:hAnsi="Times New Roman" w:cs="Times New Roman"/>
          <w:color w:val="222222"/>
          <w:sz w:val="24"/>
          <w:szCs w:val="24"/>
          <w:shd w:val="clear" w:color="auto" w:fill="FFFFFF"/>
        </w:rPr>
        <w:t>orea</w:t>
      </w:r>
    </w:p>
    <w:p w:rsidR="00DC7489" w:rsidRPr="00914F29" w:rsidRDefault="00DC7489" w:rsidP="00DC7489">
      <w:pPr>
        <w:pStyle w:val="ListParagraph"/>
        <w:numPr>
          <w:ilvl w:val="0"/>
          <w:numId w:val="1"/>
        </w:numPr>
        <w:spacing w:before="240" w:line="480" w:lineRule="auto"/>
        <w:ind w:left="360"/>
        <w:rPr>
          <w:rFonts w:ascii="Times New Roman" w:hAnsi="Times New Roman" w:cs="Times New Roman"/>
          <w:sz w:val="24"/>
          <w:szCs w:val="24"/>
        </w:rPr>
      </w:pPr>
      <w:r w:rsidRPr="00914F29">
        <w:rPr>
          <w:rFonts w:ascii="Times New Roman" w:hAnsi="Times New Roman" w:cs="Times New Roman"/>
          <w:color w:val="262626"/>
          <w:sz w:val="24"/>
          <w:szCs w:val="24"/>
          <w:shd w:val="clear" w:color="auto" w:fill="FFFFFF"/>
        </w:rPr>
        <w:t xml:space="preserve">Department of Animal Biotechnology, Chonbuk National University, Jeonju, 561-756, </w:t>
      </w:r>
      <w:r w:rsidRPr="00914F29">
        <w:rPr>
          <w:rFonts w:ascii="Times New Roman" w:eastAsia="Times New Roman" w:hAnsi="Times New Roman" w:cs="Times New Roman"/>
          <w:color w:val="000000"/>
          <w:sz w:val="24"/>
          <w:szCs w:val="24"/>
        </w:rPr>
        <w:t>Republic of Korea</w:t>
      </w:r>
      <w:r w:rsidRPr="00914F29">
        <w:rPr>
          <w:rFonts w:ascii="Times New Roman" w:hAnsi="Times New Roman" w:cs="Times New Roman"/>
          <w:color w:val="262626"/>
          <w:sz w:val="24"/>
          <w:szCs w:val="24"/>
          <w:shd w:val="clear" w:color="auto" w:fill="FFFFFF"/>
        </w:rPr>
        <w:t xml:space="preserve"> </w:t>
      </w:r>
    </w:p>
    <w:p w:rsidR="00DC7489" w:rsidRDefault="00DC7489" w:rsidP="00DC7489">
      <w:pPr>
        <w:autoSpaceDE w:val="0"/>
        <w:autoSpaceDN w:val="0"/>
        <w:adjustRightInd w:val="0"/>
        <w:spacing w:after="0" w:line="240" w:lineRule="auto"/>
        <w:rPr>
          <w:rFonts w:ascii="Times New Roman" w:hAnsi="Times New Roman" w:cs="Times New Roman"/>
          <w:sz w:val="24"/>
          <w:szCs w:val="24"/>
        </w:rPr>
      </w:pPr>
    </w:p>
    <w:p w:rsidR="00DC7489" w:rsidRDefault="00DC7489" w:rsidP="00DC7489">
      <w:pPr>
        <w:pStyle w:val="ListParagraph"/>
        <w:ind w:left="360"/>
        <w:rPr>
          <w:rFonts w:ascii="Times New Roman" w:hAnsi="Times New Roman" w:cs="Times New Roman"/>
          <w:sz w:val="24"/>
          <w:szCs w:val="24"/>
        </w:rPr>
      </w:pPr>
      <w:r>
        <w:rPr>
          <w:rFonts w:ascii="Times New Roman" w:hAnsi="Times New Roman" w:cs="Times New Roman"/>
          <w:sz w:val="24"/>
          <w:szCs w:val="24"/>
        </w:rPr>
        <w:t>*Correspondence</w:t>
      </w:r>
    </w:p>
    <w:p w:rsidR="00DC7489" w:rsidRDefault="00DC7489" w:rsidP="00DC7489">
      <w:pPr>
        <w:pStyle w:val="ListParagraph"/>
        <w:ind w:left="360"/>
        <w:rPr>
          <w:rFonts w:ascii="Times New Roman" w:hAnsi="Times New Roman" w:cs="Times New Roman"/>
          <w:sz w:val="24"/>
          <w:szCs w:val="24"/>
        </w:rPr>
      </w:pPr>
    </w:p>
    <w:p w:rsidR="00DC7489" w:rsidRPr="008B5515" w:rsidRDefault="00DC7489" w:rsidP="00DC7489">
      <w:pPr>
        <w:pStyle w:val="ListParagraph"/>
        <w:spacing w:after="0"/>
        <w:ind w:left="360"/>
        <w:rPr>
          <w:rFonts w:ascii="Times New Roman" w:hAnsi="Times New Roman" w:cs="Times New Roman"/>
          <w:sz w:val="24"/>
          <w:szCs w:val="24"/>
        </w:rPr>
      </w:pPr>
      <w:r w:rsidRPr="008B5515">
        <w:rPr>
          <w:rFonts w:ascii="Times New Roman" w:hAnsi="Times New Roman" w:cs="Times New Roman"/>
          <w:sz w:val="24"/>
          <w:szCs w:val="24"/>
        </w:rPr>
        <w:t>Dong Kee</w:t>
      </w:r>
      <w:r>
        <w:rPr>
          <w:rFonts w:ascii="Times New Roman" w:hAnsi="Times New Roman" w:cs="Times New Roman"/>
          <w:sz w:val="24"/>
          <w:szCs w:val="24"/>
        </w:rPr>
        <w:t xml:space="preserve"> </w:t>
      </w:r>
      <w:r w:rsidRPr="008B5515">
        <w:rPr>
          <w:rFonts w:ascii="Times New Roman" w:hAnsi="Times New Roman" w:cs="Times New Roman"/>
          <w:sz w:val="24"/>
          <w:szCs w:val="24"/>
        </w:rPr>
        <w:t>Jeong</w:t>
      </w:r>
    </w:p>
    <w:p w:rsidR="00DC7489" w:rsidRPr="003125BE" w:rsidRDefault="00DC7489" w:rsidP="00DC7489">
      <w:pPr>
        <w:spacing w:after="0"/>
        <w:ind w:firstLine="360"/>
        <w:rPr>
          <w:rFonts w:ascii="Times New Roman" w:hAnsi="Times New Roman" w:cs="Times New Roman"/>
          <w:sz w:val="24"/>
          <w:szCs w:val="24"/>
        </w:rPr>
      </w:pPr>
      <w:r w:rsidRPr="003125BE">
        <w:rPr>
          <w:rFonts w:ascii="Times New Roman" w:hAnsi="Times New Roman" w:cs="Times New Roman"/>
          <w:sz w:val="24"/>
          <w:szCs w:val="24"/>
        </w:rPr>
        <w:t>E mail: dkjeong@jejunu.ac.kr</w:t>
      </w:r>
    </w:p>
    <w:p w:rsidR="00DC7489" w:rsidRPr="00EB0752" w:rsidRDefault="00DC7489" w:rsidP="00DC7489">
      <w:pPr>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B0752">
        <w:rPr>
          <w:rFonts w:ascii="Times New Roman" w:hAnsi="Times New Roman" w:cs="Times New Roman"/>
          <w:sz w:val="24"/>
          <w:szCs w:val="24"/>
        </w:rPr>
        <w:t>Ki-Duk Song</w:t>
      </w:r>
    </w:p>
    <w:p w:rsidR="00DC7489" w:rsidRPr="00AB1E28" w:rsidRDefault="00DC7489" w:rsidP="00DC7489">
      <w:pPr>
        <w:spacing w:line="240" w:lineRule="auto"/>
        <w:rPr>
          <w:rFonts w:ascii="Times New Roman" w:hAnsi="Times New Roman" w:cs="Times New Roman"/>
          <w:sz w:val="24"/>
          <w:szCs w:val="24"/>
        </w:rPr>
      </w:pPr>
      <w:r>
        <w:rPr>
          <w:rFonts w:ascii="Times New Roman" w:hAnsi="Times New Roman" w:cs="Times New Roman"/>
          <w:sz w:val="24"/>
          <w:szCs w:val="24"/>
        </w:rPr>
        <w:t xml:space="preserve">      E </w:t>
      </w:r>
      <w:r w:rsidRPr="008B5515">
        <w:rPr>
          <w:rFonts w:ascii="Times New Roman" w:hAnsi="Times New Roman" w:cs="Times New Roman"/>
          <w:sz w:val="24"/>
          <w:szCs w:val="24"/>
        </w:rPr>
        <w:t>mail:</w:t>
      </w:r>
      <w:r w:rsidRPr="00AB1E28">
        <w:rPr>
          <w:rFonts w:ascii="Arial" w:hAnsi="Arial" w:cs="Arial"/>
          <w:color w:val="777777"/>
          <w:sz w:val="14"/>
          <w:szCs w:val="14"/>
          <w:shd w:val="clear" w:color="auto" w:fill="FFFFFF"/>
        </w:rPr>
        <w:t xml:space="preserve"> </w:t>
      </w:r>
      <w:r w:rsidRPr="00AB1E28">
        <w:rPr>
          <w:rFonts w:ascii="Times New Roman" w:hAnsi="Times New Roman" w:cs="Times New Roman"/>
          <w:sz w:val="24"/>
          <w:szCs w:val="24"/>
          <w:shd w:val="clear" w:color="auto" w:fill="FFFFFF"/>
        </w:rPr>
        <w:t>kiduk.song@gmail.com</w:t>
      </w:r>
    </w:p>
    <w:p w:rsidR="00460CD4" w:rsidRDefault="00460CD4" w:rsidP="00EA0174">
      <w:pPr>
        <w:spacing w:line="360" w:lineRule="auto"/>
        <w:jc w:val="both"/>
        <w:rPr>
          <w:rFonts w:ascii="Times New Roman" w:hAnsi="Times New Roman" w:cs="Times New Roman"/>
          <w:b/>
          <w:color w:val="000000" w:themeColor="text1"/>
          <w:sz w:val="24"/>
          <w:szCs w:val="24"/>
        </w:rPr>
      </w:pPr>
    </w:p>
    <w:p w:rsidR="007D0B29" w:rsidRPr="00FC163A" w:rsidRDefault="007D0B29" w:rsidP="007D0B29">
      <w:pPr>
        <w:rPr>
          <w:rFonts w:ascii="Times New Roman" w:hAnsi="Times New Roman" w:cs="Times New Roman"/>
          <w:b/>
          <w:bCs/>
          <w:i/>
          <w:iCs/>
          <w:sz w:val="24"/>
          <w:szCs w:val="24"/>
        </w:rPr>
      </w:pPr>
      <w:r w:rsidRPr="00FC163A">
        <w:rPr>
          <w:rFonts w:ascii="Times New Roman" w:hAnsi="Times New Roman" w:cs="Times New Roman"/>
          <w:b/>
          <w:sz w:val="24"/>
          <w:szCs w:val="24"/>
        </w:rPr>
        <w:lastRenderedPageBreak/>
        <w:t xml:space="preserve">Table S1 </w:t>
      </w:r>
      <w:r w:rsidRPr="00FC163A">
        <w:rPr>
          <w:rFonts w:ascii="Times New Roman" w:hAnsi="Times New Roman" w:cs="Times New Roman"/>
          <w:b/>
          <w:bCs/>
          <w:sz w:val="24"/>
          <w:szCs w:val="24"/>
        </w:rPr>
        <w:t xml:space="preserve">Ontology of </w:t>
      </w:r>
      <w:r w:rsidRPr="00FC163A">
        <w:rPr>
          <w:rFonts w:ascii="Times New Roman" w:hAnsi="Times New Roman" w:cs="Times New Roman"/>
          <w:b/>
          <w:bCs/>
          <w:i/>
          <w:sz w:val="24"/>
          <w:szCs w:val="24"/>
        </w:rPr>
        <w:t>MYH1</w:t>
      </w:r>
      <w:r w:rsidRPr="00FC163A">
        <w:rPr>
          <w:rFonts w:ascii="Times New Roman" w:hAnsi="Times New Roman" w:cs="Times New Roman"/>
          <w:b/>
          <w:bCs/>
          <w:sz w:val="24"/>
          <w:szCs w:val="24"/>
        </w:rPr>
        <w:t xml:space="preserve"> gene of </w:t>
      </w:r>
      <w:r w:rsidRPr="00FC163A">
        <w:rPr>
          <w:rFonts w:ascii="Times New Roman" w:hAnsi="Times New Roman" w:cs="Times New Roman"/>
          <w:b/>
          <w:bCs/>
          <w:i/>
          <w:iCs/>
          <w:sz w:val="24"/>
          <w:szCs w:val="24"/>
        </w:rPr>
        <w:t>Sus scrofa</w:t>
      </w:r>
    </w:p>
    <w:tbl>
      <w:tblPr>
        <w:tblStyle w:val="TableGrid"/>
        <w:tblW w:w="4832" w:type="pct"/>
        <w:jc w:val="center"/>
        <w:tblBorders>
          <w:left w:val="none" w:sz="0" w:space="0" w:color="auto"/>
          <w:right w:val="none" w:sz="0" w:space="0" w:color="auto"/>
          <w:insideH w:val="none" w:sz="0" w:space="0" w:color="auto"/>
          <w:insideV w:val="none" w:sz="0" w:space="0" w:color="auto"/>
        </w:tblBorders>
        <w:tblLook w:val="04A0"/>
      </w:tblPr>
      <w:tblGrid>
        <w:gridCol w:w="3337"/>
        <w:gridCol w:w="3071"/>
        <w:gridCol w:w="2524"/>
      </w:tblGrid>
      <w:tr w:rsidR="007D0B29" w:rsidRPr="005860BD" w:rsidTr="008005E3">
        <w:trPr>
          <w:jc w:val="center"/>
        </w:trPr>
        <w:tc>
          <w:tcPr>
            <w:tcW w:w="1868" w:type="pct"/>
            <w:tcBorders>
              <w:top w:val="single" w:sz="12" w:space="0" w:color="auto"/>
              <w:bottom w:val="single" w:sz="12" w:space="0" w:color="auto"/>
            </w:tcBorders>
            <w:vAlign w:val="center"/>
          </w:tcPr>
          <w:p w:rsidR="007D0B29" w:rsidRPr="005860BD" w:rsidRDefault="007D0B29" w:rsidP="008005E3">
            <w:pPr>
              <w:tabs>
                <w:tab w:val="left" w:pos="2916"/>
              </w:tabs>
              <w:spacing w:line="360" w:lineRule="auto"/>
              <w:jc w:val="center"/>
              <w:rPr>
                <w:rFonts w:ascii="Times New Roman" w:hAnsi="Times New Roman" w:cs="Times New Roman"/>
                <w:b/>
                <w:bCs/>
                <w:iCs/>
                <w:sz w:val="24"/>
                <w:szCs w:val="24"/>
              </w:rPr>
            </w:pPr>
            <w:r w:rsidRPr="005860BD">
              <w:rPr>
                <w:rFonts w:ascii="Times New Roman" w:hAnsi="Times New Roman" w:cs="Times New Roman"/>
                <w:b/>
                <w:sz w:val="24"/>
                <w:szCs w:val="24"/>
              </w:rPr>
              <w:t>GO biological process</w:t>
            </w:r>
          </w:p>
        </w:tc>
        <w:tc>
          <w:tcPr>
            <w:tcW w:w="1719" w:type="pct"/>
            <w:tcBorders>
              <w:top w:val="single" w:sz="12" w:space="0" w:color="auto"/>
              <w:bottom w:val="single" w:sz="12" w:space="0" w:color="auto"/>
            </w:tcBorders>
            <w:vAlign w:val="center"/>
          </w:tcPr>
          <w:p w:rsidR="007D0B29" w:rsidRPr="005860BD" w:rsidRDefault="007D0B29" w:rsidP="008005E3">
            <w:pPr>
              <w:spacing w:line="360" w:lineRule="auto"/>
              <w:jc w:val="center"/>
              <w:rPr>
                <w:rFonts w:ascii="Times New Roman" w:hAnsi="Times New Roman" w:cs="Times New Roman"/>
                <w:b/>
                <w:bCs/>
                <w:iCs/>
                <w:sz w:val="24"/>
                <w:szCs w:val="24"/>
              </w:rPr>
            </w:pPr>
            <w:r w:rsidRPr="005860BD">
              <w:rPr>
                <w:rFonts w:ascii="Times New Roman" w:hAnsi="Times New Roman" w:cs="Times New Roman"/>
                <w:b/>
                <w:sz w:val="24"/>
                <w:szCs w:val="24"/>
              </w:rPr>
              <w:t>GO molecular function</w:t>
            </w:r>
          </w:p>
        </w:tc>
        <w:tc>
          <w:tcPr>
            <w:tcW w:w="1413" w:type="pct"/>
            <w:tcBorders>
              <w:top w:val="single" w:sz="12" w:space="0" w:color="auto"/>
              <w:bottom w:val="single" w:sz="12" w:space="0" w:color="auto"/>
            </w:tcBorders>
            <w:vAlign w:val="center"/>
          </w:tcPr>
          <w:p w:rsidR="007D0B29" w:rsidRPr="005860BD" w:rsidRDefault="007D0B29" w:rsidP="008005E3">
            <w:pPr>
              <w:spacing w:line="360" w:lineRule="auto"/>
              <w:jc w:val="center"/>
              <w:rPr>
                <w:rFonts w:ascii="Times New Roman" w:hAnsi="Times New Roman" w:cs="Times New Roman"/>
                <w:b/>
                <w:bCs/>
                <w:iCs/>
                <w:sz w:val="24"/>
                <w:szCs w:val="24"/>
              </w:rPr>
            </w:pPr>
            <w:r w:rsidRPr="005860BD">
              <w:rPr>
                <w:rFonts w:ascii="Times New Roman" w:hAnsi="Times New Roman" w:cs="Times New Roman"/>
                <w:b/>
                <w:sz w:val="24"/>
                <w:szCs w:val="24"/>
              </w:rPr>
              <w:t>GO cellular component</w:t>
            </w:r>
          </w:p>
        </w:tc>
      </w:tr>
      <w:tr w:rsidR="007D0B29" w:rsidRPr="005860BD" w:rsidTr="008005E3">
        <w:trPr>
          <w:jc w:val="center"/>
        </w:trPr>
        <w:tc>
          <w:tcPr>
            <w:tcW w:w="1868" w:type="pct"/>
            <w:tcBorders>
              <w:top w:val="single" w:sz="12" w:space="0" w:color="auto"/>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Cytokinesis (GO:0000910)</w:t>
            </w:r>
          </w:p>
        </w:tc>
        <w:tc>
          <w:tcPr>
            <w:tcW w:w="1719" w:type="pct"/>
            <w:tcBorders>
              <w:top w:val="single" w:sz="12" w:space="0" w:color="auto"/>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Motor activity (GO:0003774)</w:t>
            </w:r>
          </w:p>
        </w:tc>
        <w:tc>
          <w:tcPr>
            <w:tcW w:w="1413" w:type="pct"/>
            <w:tcBorders>
              <w:top w:val="single" w:sz="12" w:space="0" w:color="auto"/>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r w:rsidRPr="005860BD">
              <w:rPr>
                <w:rFonts w:ascii="Times New Roman" w:hAnsi="Times New Roman" w:cs="Times New Roman"/>
                <w:sz w:val="24"/>
                <w:szCs w:val="24"/>
              </w:rPr>
              <w:t>Plasma membrane (GO:0005886)</w:t>
            </w: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Cellular component movement (GO:0006928)</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Structural constituent of cytoskeleton (GO:0005200)</w:t>
            </w: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Cell junction (GO:0030054)</w:t>
            </w: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Mitosis (GO:0007067)</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Protein binding  (GO:0005515)</w:t>
            </w: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r w:rsidRPr="005860BD">
              <w:rPr>
                <w:rFonts w:ascii="Times New Roman" w:hAnsi="Times New Roman" w:cs="Times New Roman"/>
                <w:sz w:val="24"/>
                <w:szCs w:val="24"/>
              </w:rPr>
              <w:t>Actin cytoskeleton (GO:0015629)</w:t>
            </w: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Cell communication (GO:0007154)</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r w:rsidRPr="005860BD">
              <w:rPr>
                <w:rFonts w:ascii="Times New Roman" w:hAnsi="Times New Roman" w:cs="Times New Roman"/>
                <w:sz w:val="24"/>
                <w:szCs w:val="24"/>
              </w:rPr>
              <w:t>Enzyme regulator activity  (GO:0030234)</w:t>
            </w: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r w:rsidRPr="005860BD">
              <w:rPr>
                <w:rFonts w:ascii="Times New Roman" w:hAnsi="Times New Roman" w:cs="Times New Roman"/>
                <w:sz w:val="24"/>
                <w:szCs w:val="24"/>
              </w:rPr>
              <w:t>Intracellular (GO:0005622)</w:t>
            </w: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Muscle contraction (GO:0006936)</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Sensory perception of sound (GO:0007605)</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Sensory perception (GO:0007600)</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Mesoderm development (GO:0007498)</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Cellular component morphogenesis (GO:0032989)</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Muscle organ development (GO:0007517)</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Intracellular protein transport (GO:0006886)</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Intracellular protein transport (GO:0006886)</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Vesicle-mediated transport (GO:0016192)</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nil"/>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Regulation of catalytic activity (GO:0050790)</w:t>
            </w:r>
          </w:p>
        </w:tc>
        <w:tc>
          <w:tcPr>
            <w:tcW w:w="1719"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nil"/>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r w:rsidR="007D0B29" w:rsidRPr="005860BD" w:rsidTr="008005E3">
        <w:trPr>
          <w:jc w:val="center"/>
        </w:trPr>
        <w:tc>
          <w:tcPr>
            <w:tcW w:w="1868" w:type="pct"/>
            <w:tcBorders>
              <w:top w:val="nil"/>
              <w:bottom w:val="single" w:sz="12" w:space="0" w:color="auto"/>
            </w:tcBorders>
            <w:vAlign w:val="center"/>
          </w:tcPr>
          <w:p w:rsidR="007D0B29" w:rsidRPr="005860BD" w:rsidRDefault="007D0B29" w:rsidP="008005E3">
            <w:pPr>
              <w:spacing w:before="240"/>
              <w:jc w:val="center"/>
              <w:rPr>
                <w:rFonts w:ascii="Times New Roman" w:hAnsi="Times New Roman" w:cs="Times New Roman"/>
                <w:sz w:val="24"/>
                <w:szCs w:val="24"/>
              </w:rPr>
            </w:pPr>
            <w:r w:rsidRPr="005860BD">
              <w:rPr>
                <w:rFonts w:ascii="Times New Roman" w:hAnsi="Times New Roman" w:cs="Times New Roman"/>
                <w:sz w:val="24"/>
                <w:szCs w:val="24"/>
              </w:rPr>
              <w:t>Cellular component organization (GO:0016043)</w:t>
            </w:r>
          </w:p>
        </w:tc>
        <w:tc>
          <w:tcPr>
            <w:tcW w:w="1719" w:type="pct"/>
            <w:tcBorders>
              <w:top w:val="nil"/>
              <w:bottom w:val="single" w:sz="12" w:space="0" w:color="auto"/>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c>
          <w:tcPr>
            <w:tcW w:w="1413" w:type="pct"/>
            <w:tcBorders>
              <w:top w:val="nil"/>
              <w:bottom w:val="single" w:sz="12" w:space="0" w:color="auto"/>
            </w:tcBorders>
            <w:vAlign w:val="center"/>
          </w:tcPr>
          <w:p w:rsidR="007D0B29" w:rsidRPr="005860BD" w:rsidRDefault="007D0B29" w:rsidP="008005E3">
            <w:pPr>
              <w:spacing w:before="240"/>
              <w:jc w:val="center"/>
              <w:rPr>
                <w:rFonts w:ascii="Times New Roman" w:hAnsi="Times New Roman" w:cs="Times New Roman"/>
                <w:b/>
                <w:bCs/>
                <w:iCs/>
                <w:sz w:val="24"/>
                <w:szCs w:val="24"/>
              </w:rPr>
            </w:pPr>
          </w:p>
        </w:tc>
      </w:tr>
    </w:tbl>
    <w:p w:rsidR="007D0B29" w:rsidRDefault="007D0B29" w:rsidP="007D0B29">
      <w:pPr>
        <w:spacing w:before="240"/>
        <w:rPr>
          <w:rFonts w:ascii="Times New Roman" w:hAnsi="Times New Roman" w:cs="Times New Roman"/>
          <w:sz w:val="24"/>
          <w:szCs w:val="24"/>
        </w:rPr>
        <w:sectPr w:rsidR="007D0B29" w:rsidSect="00961184">
          <w:pgSz w:w="11907" w:h="16839" w:code="9"/>
          <w:pgMar w:top="1440" w:right="1440" w:bottom="1440" w:left="1440" w:header="720" w:footer="720" w:gutter="0"/>
          <w:cols w:space="720"/>
          <w:docGrid w:linePitch="360"/>
        </w:sectPr>
      </w:pPr>
    </w:p>
    <w:p w:rsidR="007D0B29" w:rsidRPr="00FC163A" w:rsidRDefault="007D0B29" w:rsidP="007D0B29">
      <w:pPr>
        <w:rPr>
          <w:rFonts w:ascii="Times New Roman" w:hAnsi="Times New Roman" w:cs="Times New Roman"/>
          <w:b/>
          <w:sz w:val="24"/>
          <w:szCs w:val="24"/>
        </w:rPr>
      </w:pPr>
      <w:r w:rsidRPr="00FC163A">
        <w:rPr>
          <w:rFonts w:ascii="Times New Roman" w:hAnsi="Times New Roman" w:cs="Times New Roman"/>
          <w:b/>
          <w:sz w:val="24"/>
          <w:szCs w:val="24"/>
        </w:rPr>
        <w:lastRenderedPageBreak/>
        <w:t xml:space="preserve">Table S2 Pathways of </w:t>
      </w:r>
      <w:r w:rsidRPr="00FC163A">
        <w:rPr>
          <w:rFonts w:ascii="Times New Roman" w:hAnsi="Times New Roman" w:cs="Times New Roman"/>
          <w:b/>
          <w:i/>
          <w:sz w:val="24"/>
          <w:szCs w:val="24"/>
        </w:rPr>
        <w:t>MYH1</w:t>
      </w:r>
      <w:r w:rsidRPr="00FC163A">
        <w:rPr>
          <w:rFonts w:ascii="Times New Roman" w:hAnsi="Times New Roman" w:cs="Times New Roman"/>
          <w:b/>
          <w:sz w:val="24"/>
          <w:szCs w:val="24"/>
        </w:rPr>
        <w:t xml:space="preserve"> gene of </w:t>
      </w:r>
      <w:r w:rsidRPr="00FC163A">
        <w:rPr>
          <w:rFonts w:ascii="Times New Roman" w:hAnsi="Times New Roman" w:cs="Times New Roman"/>
          <w:b/>
          <w:i/>
          <w:sz w:val="24"/>
          <w:szCs w:val="24"/>
        </w:rPr>
        <w:t>Sus scrofa</w:t>
      </w:r>
    </w:p>
    <w:tbl>
      <w:tblPr>
        <w:tblStyle w:val="TableGrid"/>
        <w:tblW w:w="9378" w:type="dxa"/>
        <w:jc w:val="center"/>
        <w:tblLook w:val="04A0"/>
      </w:tblPr>
      <w:tblGrid>
        <w:gridCol w:w="897"/>
        <w:gridCol w:w="8481"/>
      </w:tblGrid>
      <w:tr w:rsidR="007D0B29" w:rsidTr="008005E3">
        <w:trPr>
          <w:jc w:val="center"/>
        </w:trPr>
        <w:tc>
          <w:tcPr>
            <w:tcW w:w="0" w:type="auto"/>
            <w:tcBorders>
              <w:left w:val="nil"/>
              <w:bottom w:val="single" w:sz="4" w:space="0" w:color="auto"/>
              <w:right w:val="nil"/>
            </w:tcBorders>
          </w:tcPr>
          <w:p w:rsidR="007D0B29" w:rsidRDefault="007D0B29" w:rsidP="008005E3">
            <w:pPr>
              <w:jc w:val="center"/>
              <w:rPr>
                <w:rFonts w:ascii="Times New Roman" w:hAnsi="Times New Roman" w:cs="Times New Roman"/>
                <w:sz w:val="24"/>
                <w:szCs w:val="24"/>
              </w:rPr>
            </w:pPr>
            <w:r w:rsidRPr="000C2E4F">
              <w:rPr>
                <w:rFonts w:ascii="Times New Roman" w:hAnsi="Times New Roman" w:cs="Times New Roman"/>
                <w:b/>
                <w:bCs/>
                <w:sz w:val="24"/>
                <w:szCs w:val="24"/>
              </w:rPr>
              <w:t>Gene</w:t>
            </w:r>
          </w:p>
        </w:tc>
        <w:tc>
          <w:tcPr>
            <w:tcW w:w="8481" w:type="dxa"/>
            <w:tcBorders>
              <w:left w:val="nil"/>
              <w:bottom w:val="single" w:sz="4" w:space="0" w:color="auto"/>
              <w:right w:val="nil"/>
            </w:tcBorders>
          </w:tcPr>
          <w:p w:rsidR="007D0B29" w:rsidRDefault="007D0B29" w:rsidP="008005E3">
            <w:pPr>
              <w:jc w:val="center"/>
              <w:rPr>
                <w:rFonts w:ascii="Times New Roman" w:hAnsi="Times New Roman" w:cs="Times New Roman"/>
                <w:sz w:val="24"/>
                <w:szCs w:val="24"/>
              </w:rPr>
            </w:pPr>
            <w:r w:rsidRPr="000C2E4F">
              <w:rPr>
                <w:rFonts w:ascii="Times New Roman" w:hAnsi="Times New Roman" w:cs="Times New Roman"/>
                <w:b/>
                <w:bCs/>
                <w:sz w:val="24"/>
                <w:szCs w:val="24"/>
              </w:rPr>
              <w:t>Pathways</w:t>
            </w:r>
          </w:p>
        </w:tc>
      </w:tr>
      <w:tr w:rsidR="007D0B29" w:rsidTr="008005E3">
        <w:trPr>
          <w:jc w:val="center"/>
        </w:trPr>
        <w:tc>
          <w:tcPr>
            <w:tcW w:w="0" w:type="auto"/>
            <w:tcBorders>
              <w:left w:val="nil"/>
              <w:right w:val="nil"/>
            </w:tcBorders>
          </w:tcPr>
          <w:p w:rsidR="007D0B29" w:rsidRPr="0002147E" w:rsidRDefault="007D0B29" w:rsidP="008005E3">
            <w:pPr>
              <w:spacing w:line="360" w:lineRule="auto"/>
              <w:rPr>
                <w:rFonts w:ascii="Times New Roman" w:hAnsi="Times New Roman" w:cs="Times New Roman"/>
                <w:i/>
                <w:sz w:val="24"/>
                <w:szCs w:val="24"/>
              </w:rPr>
            </w:pPr>
            <w:r w:rsidRPr="0002147E">
              <w:rPr>
                <w:rFonts w:ascii="Times New Roman" w:hAnsi="Times New Roman" w:cs="Times New Roman"/>
                <w:i/>
                <w:sz w:val="24"/>
                <w:szCs w:val="24"/>
              </w:rPr>
              <w:t>MYH1</w:t>
            </w:r>
          </w:p>
        </w:tc>
        <w:tc>
          <w:tcPr>
            <w:tcW w:w="8481" w:type="dxa"/>
            <w:tcBorders>
              <w:left w:val="nil"/>
              <w:right w:val="nil"/>
            </w:tcBorders>
          </w:tcPr>
          <w:p w:rsidR="007D0B29" w:rsidRPr="000C2E4F" w:rsidRDefault="007D0B29" w:rsidP="007D0B29">
            <w:pPr>
              <w:pStyle w:val="ListParagraph"/>
              <w:numPr>
                <w:ilvl w:val="0"/>
                <w:numId w:val="2"/>
              </w:numPr>
              <w:spacing w:line="360" w:lineRule="auto"/>
              <w:ind w:left="363"/>
              <w:jc w:val="both"/>
              <w:rPr>
                <w:rFonts w:ascii="Times New Roman" w:hAnsi="Times New Roman" w:cs="Times New Roman"/>
                <w:sz w:val="24"/>
                <w:szCs w:val="24"/>
              </w:rPr>
            </w:pPr>
            <w:r w:rsidRPr="000C2E4F">
              <w:rPr>
                <w:rFonts w:ascii="Times New Roman" w:hAnsi="Times New Roman" w:cs="Times New Roman"/>
                <w:sz w:val="24"/>
                <w:szCs w:val="24"/>
              </w:rPr>
              <w:t>Inflammation mediated by chemokine and cytokine signaling pathway-&gt; Myosin</w:t>
            </w:r>
          </w:p>
          <w:p w:rsidR="007D0B29" w:rsidRDefault="007D0B29" w:rsidP="007D0B29">
            <w:pPr>
              <w:pStyle w:val="ListParagraph"/>
              <w:numPr>
                <w:ilvl w:val="0"/>
                <w:numId w:val="2"/>
              </w:numPr>
              <w:spacing w:line="360" w:lineRule="auto"/>
              <w:ind w:left="363"/>
              <w:jc w:val="both"/>
              <w:rPr>
                <w:rFonts w:ascii="Times New Roman" w:hAnsi="Times New Roman" w:cs="Times New Roman"/>
                <w:sz w:val="24"/>
                <w:szCs w:val="24"/>
              </w:rPr>
            </w:pPr>
            <w:r w:rsidRPr="000C2E4F">
              <w:rPr>
                <w:rFonts w:ascii="Times New Roman" w:hAnsi="Times New Roman" w:cs="Times New Roman"/>
                <w:sz w:val="24"/>
                <w:szCs w:val="24"/>
              </w:rPr>
              <w:t>Wnt signaling pathway-&gt; NFAT Target Genes</w:t>
            </w:r>
          </w:p>
          <w:p w:rsidR="007D0B29" w:rsidRPr="000C2E4F" w:rsidRDefault="007D0B29" w:rsidP="007D0B29">
            <w:pPr>
              <w:pStyle w:val="ListParagraph"/>
              <w:numPr>
                <w:ilvl w:val="0"/>
                <w:numId w:val="2"/>
              </w:numPr>
              <w:spacing w:line="360" w:lineRule="auto"/>
              <w:ind w:left="341"/>
              <w:jc w:val="both"/>
              <w:rPr>
                <w:rFonts w:ascii="Times New Roman" w:hAnsi="Times New Roman" w:cs="Times New Roman"/>
                <w:sz w:val="24"/>
                <w:szCs w:val="24"/>
              </w:rPr>
            </w:pPr>
            <w:r>
              <w:rPr>
                <w:rFonts w:ascii="Times New Roman" w:hAnsi="Times New Roman" w:cs="Times New Roman"/>
                <w:sz w:val="24"/>
                <w:szCs w:val="24"/>
              </w:rPr>
              <w:t>D</w:t>
            </w:r>
            <w:r w:rsidRPr="00DA0F85">
              <w:rPr>
                <w:rFonts w:ascii="Times New Roman" w:hAnsi="Times New Roman" w:cs="Times New Roman"/>
                <w:sz w:val="24"/>
                <w:szCs w:val="24"/>
              </w:rPr>
              <w:t>ysregulate signaling pathways</w:t>
            </w:r>
          </w:p>
          <w:p w:rsidR="007D0B29" w:rsidRPr="000C2E4F" w:rsidRDefault="007D0B29" w:rsidP="007D0B29">
            <w:pPr>
              <w:pStyle w:val="ListParagraph"/>
              <w:numPr>
                <w:ilvl w:val="0"/>
                <w:numId w:val="2"/>
              </w:numPr>
              <w:spacing w:line="360" w:lineRule="auto"/>
              <w:ind w:left="363"/>
              <w:jc w:val="both"/>
              <w:rPr>
                <w:rFonts w:ascii="Times New Roman" w:hAnsi="Times New Roman" w:cs="Times New Roman"/>
                <w:sz w:val="24"/>
                <w:szCs w:val="24"/>
              </w:rPr>
            </w:pPr>
            <w:r w:rsidRPr="000C2E4F">
              <w:rPr>
                <w:rFonts w:ascii="Times New Roman" w:hAnsi="Times New Roman" w:cs="Times New Roman"/>
                <w:sz w:val="24"/>
                <w:szCs w:val="24"/>
              </w:rPr>
              <w:t>Nicotinic acetylcholine receptor signaling pathway-&gt;Myosin</w:t>
            </w:r>
          </w:p>
          <w:p w:rsidR="007D0B29" w:rsidRPr="000C2E4F" w:rsidRDefault="007D0B29" w:rsidP="007D0B29">
            <w:pPr>
              <w:pStyle w:val="ListParagraph"/>
              <w:numPr>
                <w:ilvl w:val="0"/>
                <w:numId w:val="2"/>
              </w:numPr>
              <w:spacing w:line="360" w:lineRule="auto"/>
              <w:ind w:left="363"/>
              <w:jc w:val="both"/>
              <w:rPr>
                <w:rFonts w:ascii="Times New Roman" w:hAnsi="Times New Roman" w:cs="Times New Roman"/>
                <w:sz w:val="24"/>
                <w:szCs w:val="24"/>
              </w:rPr>
            </w:pPr>
            <w:r w:rsidRPr="000C2E4F">
              <w:rPr>
                <w:rFonts w:ascii="Times New Roman" w:hAnsi="Times New Roman" w:cs="Times New Roman"/>
                <w:sz w:val="24"/>
                <w:szCs w:val="24"/>
              </w:rPr>
              <w:t>Cytoskeletal regulation by Rho GTPase-&gt;Myosin light chain</w:t>
            </w:r>
          </w:p>
          <w:p w:rsidR="007D0B29" w:rsidRDefault="007D0B29" w:rsidP="007D0B29">
            <w:pPr>
              <w:pStyle w:val="ListParagraph"/>
              <w:numPr>
                <w:ilvl w:val="0"/>
                <w:numId w:val="2"/>
              </w:numPr>
              <w:spacing w:line="360" w:lineRule="auto"/>
              <w:ind w:left="363"/>
              <w:jc w:val="both"/>
              <w:rPr>
                <w:rFonts w:ascii="Times New Roman" w:hAnsi="Times New Roman" w:cs="Times New Roman"/>
                <w:sz w:val="24"/>
                <w:szCs w:val="24"/>
              </w:rPr>
            </w:pPr>
            <w:r w:rsidRPr="000C2E4F">
              <w:rPr>
                <w:rFonts w:ascii="Times New Roman" w:hAnsi="Times New Roman" w:cs="Times New Roman"/>
                <w:sz w:val="24"/>
                <w:szCs w:val="24"/>
              </w:rPr>
              <w:t>Epithelial tight junctions</w:t>
            </w:r>
          </w:p>
          <w:p w:rsidR="007D0B29" w:rsidRPr="000C2E4F" w:rsidRDefault="007D0B29" w:rsidP="007D0B29">
            <w:pPr>
              <w:pStyle w:val="ListParagraph"/>
              <w:numPr>
                <w:ilvl w:val="0"/>
                <w:numId w:val="2"/>
              </w:numPr>
              <w:spacing w:line="360" w:lineRule="auto"/>
              <w:ind w:left="341"/>
              <w:jc w:val="both"/>
              <w:rPr>
                <w:rFonts w:ascii="Times New Roman" w:hAnsi="Times New Roman" w:cs="Times New Roman"/>
                <w:sz w:val="24"/>
                <w:szCs w:val="24"/>
              </w:rPr>
            </w:pPr>
            <w:r w:rsidRPr="00713808">
              <w:rPr>
                <w:rFonts w:ascii="Times New Roman" w:hAnsi="Times New Roman" w:cs="Times New Roman"/>
                <w:sz w:val="24"/>
                <w:szCs w:val="24"/>
              </w:rPr>
              <w:t>Translocation of GLUT4 to the Plasma Membrane</w:t>
            </w:r>
          </w:p>
        </w:tc>
      </w:tr>
    </w:tbl>
    <w:p w:rsidR="007D0B29" w:rsidRDefault="007D0B29" w:rsidP="007D0B29">
      <w:pPr>
        <w:rPr>
          <w:rFonts w:ascii="Times New Roman" w:hAnsi="Times New Roman" w:cs="Times New Roman"/>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7D0B29" w:rsidRDefault="007D0B29" w:rsidP="00460CD4">
      <w:pPr>
        <w:spacing w:line="480" w:lineRule="auto"/>
        <w:jc w:val="both"/>
        <w:rPr>
          <w:rFonts w:ascii="Times New Roman" w:hAnsi="Times New Roman" w:cs="Times New Roman"/>
          <w:b/>
          <w:sz w:val="24"/>
          <w:szCs w:val="24"/>
        </w:rPr>
      </w:pPr>
    </w:p>
    <w:p w:rsidR="00460CD4" w:rsidRPr="0026421A" w:rsidRDefault="00460CD4" w:rsidP="00460CD4">
      <w:pPr>
        <w:spacing w:line="480" w:lineRule="auto"/>
        <w:jc w:val="both"/>
        <w:rPr>
          <w:rFonts w:ascii="Times New Roman" w:hAnsi="Times New Roman" w:cs="Times New Roman"/>
          <w:color w:val="000000" w:themeColor="text1"/>
          <w:sz w:val="24"/>
          <w:szCs w:val="24"/>
        </w:rPr>
      </w:pPr>
      <w:r w:rsidRPr="009345AA">
        <w:rPr>
          <w:rFonts w:ascii="Times New Roman" w:hAnsi="Times New Roman" w:cs="Times New Roman"/>
          <w:b/>
          <w:sz w:val="24"/>
          <w:szCs w:val="24"/>
        </w:rPr>
        <w:lastRenderedPageBreak/>
        <w:t>Table</w:t>
      </w:r>
      <w:r>
        <w:rPr>
          <w:rFonts w:ascii="Times New Roman" w:hAnsi="Times New Roman" w:cs="Times New Roman"/>
          <w:b/>
          <w:sz w:val="24"/>
          <w:szCs w:val="24"/>
        </w:rPr>
        <w:t xml:space="preserve"> S</w:t>
      </w:r>
      <w:r w:rsidR="00EF5A41">
        <w:rPr>
          <w:rFonts w:ascii="Times New Roman" w:hAnsi="Times New Roman" w:cs="Times New Roman"/>
          <w:b/>
          <w:sz w:val="24"/>
          <w:szCs w:val="24"/>
        </w:rPr>
        <w:t>3</w:t>
      </w:r>
      <w:r>
        <w:rPr>
          <w:rFonts w:ascii="Times New Roman" w:hAnsi="Times New Roman" w:cs="Times New Roman"/>
          <w:sz w:val="24"/>
          <w:szCs w:val="24"/>
        </w:rPr>
        <w:t xml:space="preserve"> </w:t>
      </w:r>
      <w:r w:rsidRPr="00D55ABB">
        <w:rPr>
          <w:rFonts w:ascii="Times New Roman" w:hAnsi="Times New Roman" w:cs="Times New Roman"/>
          <w:b/>
          <w:color w:val="000000" w:themeColor="text1"/>
          <w:sz w:val="24"/>
          <w:szCs w:val="24"/>
        </w:rPr>
        <w:t>Prediction of the mutational effects</w:t>
      </w:r>
      <w:r>
        <w:rPr>
          <w:rFonts w:ascii="Times New Roman" w:hAnsi="Times New Roman" w:cs="Times New Roman"/>
          <w:b/>
          <w:color w:val="000000" w:themeColor="text1"/>
          <w:sz w:val="24"/>
          <w:szCs w:val="24"/>
        </w:rPr>
        <w:t xml:space="preserve">. </w:t>
      </w:r>
      <w:r w:rsidRPr="00D55ABB">
        <w:rPr>
          <w:rFonts w:ascii="Times New Roman" w:hAnsi="Times New Roman" w:cs="Times New Roman"/>
          <w:color w:val="000000" w:themeColor="text1"/>
          <w:sz w:val="24"/>
          <w:szCs w:val="24"/>
        </w:rPr>
        <w:t>The effect of the mutation</w:t>
      </w:r>
      <w:r w:rsidRPr="0026421A">
        <w:rPr>
          <w:rFonts w:ascii="Times New Roman" w:hAnsi="Times New Roman" w:cs="Times New Roman"/>
          <w:color w:val="000000" w:themeColor="text1"/>
          <w:sz w:val="24"/>
          <w:szCs w:val="24"/>
        </w:rPr>
        <w:t xml:space="preserve"> on the function o</w:t>
      </w:r>
      <w:r>
        <w:rPr>
          <w:rFonts w:ascii="Times New Roman" w:hAnsi="Times New Roman" w:cs="Times New Roman"/>
          <w:color w:val="000000" w:themeColor="text1"/>
          <w:sz w:val="24"/>
          <w:szCs w:val="24"/>
        </w:rPr>
        <w:t>f</w:t>
      </w:r>
      <w:r w:rsidRPr="0026421A">
        <w:rPr>
          <w:rFonts w:ascii="Times New Roman" w:hAnsi="Times New Roman" w:cs="Times New Roman"/>
          <w:color w:val="000000" w:themeColor="text1"/>
          <w:sz w:val="24"/>
          <w:szCs w:val="24"/>
        </w:rPr>
        <w:t xml:space="preserve"> </w:t>
      </w:r>
      <w:r w:rsidRPr="0026421A">
        <w:rPr>
          <w:rFonts w:ascii="Times New Roman" w:hAnsi="Times New Roman" w:cs="Times New Roman"/>
          <w:i/>
          <w:color w:val="000000" w:themeColor="text1"/>
          <w:sz w:val="24"/>
          <w:szCs w:val="24"/>
        </w:rPr>
        <w:t xml:space="preserve">MYH1 </w:t>
      </w:r>
      <w:r w:rsidRPr="0026421A">
        <w:rPr>
          <w:rFonts w:ascii="Times New Roman" w:hAnsi="Times New Roman" w:cs="Times New Roman"/>
          <w:color w:val="000000" w:themeColor="text1"/>
          <w:sz w:val="24"/>
          <w:szCs w:val="24"/>
        </w:rPr>
        <w:t>protein from JNP and Berkshire using MutPred</w:t>
      </w:r>
    </w:p>
    <w:tbl>
      <w:tblPr>
        <w:tblStyle w:val="TableGrid"/>
        <w:tblW w:w="93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2430"/>
        <w:gridCol w:w="5760"/>
      </w:tblGrid>
      <w:tr w:rsidR="00460CD4" w:rsidRPr="00BD0700" w:rsidTr="00C15D48">
        <w:trPr>
          <w:jc w:val="center"/>
        </w:trPr>
        <w:tc>
          <w:tcPr>
            <w:tcW w:w="1188"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Mutation</w:t>
            </w:r>
          </w:p>
        </w:tc>
        <w:tc>
          <w:tcPr>
            <w:tcW w:w="2430"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Probability of deleterious mutation</w:t>
            </w:r>
          </w:p>
        </w:tc>
        <w:tc>
          <w:tcPr>
            <w:tcW w:w="5760"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Probable Top 5 functional disruptions</w:t>
            </w:r>
          </w:p>
        </w:tc>
      </w:tr>
      <w:tr w:rsidR="00460CD4" w:rsidTr="00C15D48">
        <w:trPr>
          <w:jc w:val="center"/>
        </w:trPr>
        <w:tc>
          <w:tcPr>
            <w:tcW w:w="9378" w:type="dxa"/>
            <w:gridSpan w:val="3"/>
            <w:tcBorders>
              <w:top w:val="single" w:sz="12" w:space="0" w:color="auto"/>
            </w:tcBorders>
            <w:vAlign w:val="center"/>
          </w:tcPr>
          <w:p w:rsidR="00460CD4" w:rsidRPr="00E500FE" w:rsidRDefault="00460CD4" w:rsidP="00C15D48">
            <w:pPr>
              <w:pStyle w:val="NormalWeb"/>
              <w:spacing w:before="0" w:beforeAutospacing="0" w:after="0" w:afterAutospacing="0" w:line="480" w:lineRule="auto"/>
              <w:jc w:val="both"/>
              <w:rPr>
                <w:rFonts w:eastAsiaTheme="minorEastAsia"/>
                <w:color w:val="000000" w:themeColor="dark1"/>
                <w:kern w:val="24"/>
              </w:rPr>
            </w:pPr>
            <w:r w:rsidRPr="00E500FE">
              <w:t>JNP</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M881R</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rFonts w:eastAsiaTheme="minorEastAsia"/>
                <w:color w:val="000000" w:themeColor="dark1"/>
                <w:kern w:val="24"/>
              </w:rPr>
              <w:t>0.476</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rFonts w:eastAsiaTheme="minorEastAsia"/>
                <w:color w:val="000000" w:themeColor="dark1"/>
                <w:kern w:val="24"/>
              </w:rPr>
              <w:t>Gain of MoRF binding (P = 0.029), Loss of catalytic residue</w:t>
            </w:r>
            <w:r>
              <w:rPr>
                <w:rFonts w:eastAsiaTheme="minorEastAsia"/>
                <w:color w:val="000000" w:themeColor="dark1"/>
                <w:kern w:val="24"/>
              </w:rPr>
              <w:t xml:space="preserve"> at M881 (P = 0.0338), Gain of m</w:t>
            </w:r>
            <w:r w:rsidRPr="006E4BC9">
              <w:rPr>
                <w:rFonts w:eastAsiaTheme="minorEastAsia"/>
                <w:color w:val="000000" w:themeColor="dark1"/>
                <w:kern w:val="24"/>
              </w:rPr>
              <w:t>ethylation at M881 (P = 0.0373), Loss of ubiquitination at K880 (P = 0.3072), Loss of glycosylation at K880 (P = 0.3324)</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L884T</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rFonts w:eastAsiaTheme="minorEastAsia"/>
                <w:color w:val="000000" w:themeColor="dark1"/>
                <w:kern w:val="24"/>
              </w:rPr>
              <w:t>0.534</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rFonts w:eastAsiaTheme="minorEastAsia"/>
                <w:color w:val="000000" w:themeColor="dark1"/>
                <w:kern w:val="24"/>
              </w:rPr>
              <w:t>Loss of stability (P = 0.0052), Gain of phosphorylation at L884 (P = 0.1062), Gain of MoRF binding (P = 0.2095), Loss of ubiquitination at K888 (P = 0.2547), Gain of glycosylation at K880 (P = 0.3615)</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A987T</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rFonts w:eastAsiaTheme="minorEastAsia"/>
                <w:color w:val="000000" w:themeColor="dark1"/>
                <w:kern w:val="24"/>
              </w:rPr>
              <w:t>0.233</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rFonts w:eastAsiaTheme="minorEastAsia"/>
                <w:color w:val="000000" w:themeColor="dark1"/>
                <w:kern w:val="24"/>
              </w:rPr>
              <w:t>Gain of phosphorylation at A987 (P = 0.0584), Loss of stability (P = 0.1501), Gain of solvent accessibility (P = 0.3819), Gain of MoRF binding (P = 0.3948), Gain of helix (P = 0.6868)</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K970A</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rFonts w:eastAsiaTheme="minorEastAsia"/>
                <w:color w:val="000000" w:themeColor="dark1"/>
                <w:kern w:val="24"/>
              </w:rPr>
              <w:t>0.193</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rFonts w:eastAsiaTheme="minorEastAsia"/>
                <w:color w:val="000000" w:themeColor="dark1"/>
                <w:kern w:val="24"/>
              </w:rPr>
              <w:t>Loss of ubiquitination at K970 (P = 0.0141), Loss of methylation at K970 (P = 0.0496), Loss of solvent accessibility (P = 0.1202), Loss of phosphorylation at T975 (P = 0.177), Loss of glycosylation at K970 (P = 0.2003)</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K972C</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rFonts w:eastAsiaTheme="minorEastAsia"/>
                <w:color w:val="000000" w:themeColor="dark1"/>
                <w:kern w:val="24"/>
              </w:rPr>
              <w:t>0.</w:t>
            </w:r>
            <w:r>
              <w:rPr>
                <w:rFonts w:eastAsiaTheme="minorEastAsia"/>
                <w:color w:val="000000" w:themeColor="dark1"/>
                <w:kern w:val="24"/>
              </w:rPr>
              <w:t>5</w:t>
            </w:r>
            <w:r w:rsidRPr="006E4BC9">
              <w:rPr>
                <w:rFonts w:eastAsiaTheme="minorEastAsia"/>
                <w:color w:val="000000" w:themeColor="dark1"/>
                <w:kern w:val="24"/>
              </w:rPr>
              <w:t>82</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rFonts w:eastAsiaTheme="minorEastAsia"/>
                <w:color w:val="000000" w:themeColor="dark1"/>
                <w:kern w:val="24"/>
              </w:rPr>
              <w:t xml:space="preserve">Loss of ubiquitination at K972 (P = 0.0134), Loss of methylation at K972 (P = 0.0245), Loss of </w:t>
            </w:r>
            <w:r w:rsidRPr="006E4BC9">
              <w:rPr>
                <w:rFonts w:eastAsiaTheme="minorEastAsia"/>
                <w:color w:val="000000" w:themeColor="dark1"/>
                <w:kern w:val="24"/>
              </w:rPr>
              <w:lastRenderedPageBreak/>
              <w:t>phosphorylation at T975 (P = 0.1101), Gain of catalytic residue at H973 (P = 0.1599), Loss of glycosylation at K972 (P = 0.2148)</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lastRenderedPageBreak/>
              <w:t>H973G</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color w:val="000000" w:themeColor="dark1"/>
                <w:kern w:val="24"/>
              </w:rPr>
              <w:t>0.227</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color w:val="000000" w:themeColor="dark1"/>
                <w:kern w:val="24"/>
              </w:rPr>
              <w:t>Loss of ubiquitination at K970 (P = 0.1223), Loss of methylation at K972 (P = 0.1405), Gain of phosphorylation at T975 (P = 0.2086), Gain of glycosylation at K972 (P = 0.2696), Loss of solvent accessibility (P = 0.3103)</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T975V</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color w:val="000000" w:themeColor="dark1"/>
                <w:kern w:val="24"/>
              </w:rPr>
              <w:t>0.328</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color w:val="000000" w:themeColor="dark1"/>
                <w:kern w:val="24"/>
              </w:rPr>
              <w:t>Loss of phosphorylation at T975 (P = 0.0362), Gain of ubiquitination at K972 (P = 0.1028), Loss of methylation at K972 (P = 0.1166), Gain of MoRF binding (P = 0.3338), Loss of glycosylation at K970 (P = 0.4649)</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N981G</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color w:val="000000" w:themeColor="dark1"/>
                <w:kern w:val="24"/>
              </w:rPr>
              <w:t>0.</w:t>
            </w:r>
            <w:r>
              <w:rPr>
                <w:color w:val="000000" w:themeColor="dark1"/>
                <w:kern w:val="24"/>
              </w:rPr>
              <w:t>5</w:t>
            </w:r>
            <w:r w:rsidRPr="006E4BC9">
              <w:rPr>
                <w:color w:val="000000" w:themeColor="dark1"/>
                <w:kern w:val="24"/>
              </w:rPr>
              <w:t>06</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color w:val="000000" w:themeColor="dark1"/>
                <w:kern w:val="24"/>
              </w:rPr>
              <w:t>Loss of stability (P = 0.0434), Gain of glycosylation at K980 (P = 0.1303), Loss of methylation at K978 (P = 0.1576), Gain of phosphorylation at T983 (P = 0.2989), Gain of ubiquitination at K978 (P = 0.31)</w:t>
            </w:r>
          </w:p>
        </w:tc>
      </w:tr>
      <w:tr w:rsidR="00460CD4" w:rsidTr="00C15D48">
        <w:trPr>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Q1285C</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color w:val="000000" w:themeColor="dark1"/>
                <w:kern w:val="24"/>
              </w:rPr>
              <w:t>0.570</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color w:val="000000" w:themeColor="dark1"/>
                <w:kern w:val="24"/>
              </w:rPr>
              <w:t>Gain of methylation at R1283 (P = 0.0872), Loss of MoRF binding (P = 0.0907), Gain of catalytic residue at R1283 (P = 0.1868), Loss of phosphorylation at S1288 (P = 0.3329), Loss of solvent accessibility (P = 0.4141)</w:t>
            </w:r>
          </w:p>
        </w:tc>
      </w:tr>
      <w:tr w:rsidR="00460CD4" w:rsidTr="00C15D48">
        <w:trPr>
          <w:trHeight w:val="873"/>
          <w:jc w:val="center"/>
        </w:trPr>
        <w:tc>
          <w:tcPr>
            <w:tcW w:w="1188" w:type="dxa"/>
            <w:vAlign w:val="center"/>
          </w:tcPr>
          <w:p w:rsidR="00460CD4" w:rsidRPr="006E4BC9" w:rsidRDefault="00460CD4" w:rsidP="00C15D48">
            <w:pPr>
              <w:spacing w:line="480" w:lineRule="auto"/>
              <w:jc w:val="center"/>
              <w:rPr>
                <w:rFonts w:ascii="Times New Roman" w:hAnsi="Times New Roman" w:cs="Times New Roman"/>
                <w:sz w:val="24"/>
                <w:szCs w:val="24"/>
              </w:rPr>
            </w:pPr>
            <w:r w:rsidRPr="006E4BC9">
              <w:rPr>
                <w:rFonts w:ascii="Times New Roman" w:hAnsi="Times New Roman" w:cs="Times New Roman"/>
                <w:sz w:val="24"/>
                <w:szCs w:val="24"/>
              </w:rPr>
              <w:t>T1286P</w:t>
            </w:r>
          </w:p>
        </w:tc>
        <w:tc>
          <w:tcPr>
            <w:tcW w:w="2430" w:type="dxa"/>
            <w:vAlign w:val="center"/>
          </w:tcPr>
          <w:p w:rsidR="00460CD4" w:rsidRPr="006E4BC9" w:rsidRDefault="00460CD4" w:rsidP="00C15D48">
            <w:pPr>
              <w:pStyle w:val="NormalWeb"/>
              <w:spacing w:before="0" w:beforeAutospacing="0" w:after="0" w:afterAutospacing="0" w:line="480" w:lineRule="auto"/>
              <w:jc w:val="center"/>
              <w:rPr>
                <w:rFonts w:ascii="Arial" w:hAnsi="Arial" w:cs="Arial"/>
              </w:rPr>
            </w:pPr>
            <w:r w:rsidRPr="006E4BC9">
              <w:rPr>
                <w:color w:val="000000" w:themeColor="dark1"/>
                <w:kern w:val="24"/>
              </w:rPr>
              <w:t>0.470</w:t>
            </w:r>
          </w:p>
        </w:tc>
        <w:tc>
          <w:tcPr>
            <w:tcW w:w="5760" w:type="dxa"/>
          </w:tcPr>
          <w:p w:rsidR="00460CD4" w:rsidRPr="006E4BC9" w:rsidRDefault="00460CD4" w:rsidP="00C15D48">
            <w:pPr>
              <w:pStyle w:val="NormalWeb"/>
              <w:spacing w:before="0" w:beforeAutospacing="0" w:after="0" w:afterAutospacing="0" w:line="480" w:lineRule="auto"/>
              <w:jc w:val="both"/>
              <w:rPr>
                <w:rFonts w:ascii="Arial" w:hAnsi="Arial" w:cs="Arial"/>
              </w:rPr>
            </w:pPr>
            <w:r w:rsidRPr="006E4BC9">
              <w:rPr>
                <w:color w:val="000000" w:themeColor="dark1"/>
                <w:kern w:val="24"/>
              </w:rPr>
              <w:t>Loss of phosphorylation at T1286 (P = 0.0171), Loss of MoRF binding (P = 0.0891)</w:t>
            </w:r>
            <w:r>
              <w:rPr>
                <w:color w:val="000000" w:themeColor="dark1"/>
                <w:kern w:val="24"/>
              </w:rPr>
              <w:t xml:space="preserve">, </w:t>
            </w:r>
            <w:r w:rsidRPr="006E4BC9">
              <w:rPr>
                <w:color w:val="000000" w:themeColor="dark1"/>
                <w:kern w:val="24"/>
              </w:rPr>
              <w:t>Loss of methylation at R1283 (P = 0.1353), Gain of glycosylation at S1288 (P = 0.1372), Loss of stability (P = 0.5542)</w:t>
            </w:r>
            <w:r w:rsidRPr="006E4BC9">
              <w:rPr>
                <w:color w:val="000000" w:themeColor="dark1"/>
                <w:kern w:val="24"/>
              </w:rPr>
              <w:tab/>
            </w:r>
          </w:p>
        </w:tc>
      </w:tr>
      <w:tr w:rsidR="00460CD4" w:rsidTr="00C15D48">
        <w:trPr>
          <w:trHeight w:val="873"/>
          <w:jc w:val="center"/>
        </w:trPr>
        <w:tc>
          <w:tcPr>
            <w:tcW w:w="9378" w:type="dxa"/>
            <w:gridSpan w:val="3"/>
            <w:vAlign w:val="center"/>
          </w:tcPr>
          <w:p w:rsidR="00460CD4" w:rsidRPr="00E500FE" w:rsidRDefault="00460CD4" w:rsidP="00C15D48">
            <w:pPr>
              <w:pStyle w:val="NormalWeb"/>
              <w:spacing w:before="0" w:beforeAutospacing="0" w:after="0" w:afterAutospacing="0" w:line="480" w:lineRule="auto"/>
              <w:jc w:val="both"/>
              <w:rPr>
                <w:color w:val="000000" w:themeColor="dark1"/>
                <w:kern w:val="24"/>
              </w:rPr>
            </w:pPr>
            <w:r w:rsidRPr="00E500FE">
              <w:lastRenderedPageBreak/>
              <w:t>Berkshire</w:t>
            </w:r>
          </w:p>
        </w:tc>
      </w:tr>
      <w:tr w:rsidR="00460CD4" w:rsidTr="00C15D48">
        <w:trPr>
          <w:trHeight w:val="873"/>
          <w:jc w:val="center"/>
        </w:trPr>
        <w:tc>
          <w:tcPr>
            <w:tcW w:w="1188" w:type="dxa"/>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A897T</w:t>
            </w:r>
          </w:p>
        </w:tc>
        <w:tc>
          <w:tcPr>
            <w:tcW w:w="2430" w:type="dxa"/>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0.345</w:t>
            </w:r>
          </w:p>
        </w:tc>
        <w:tc>
          <w:tcPr>
            <w:tcW w:w="5760" w:type="dxa"/>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Gain of phosphorylation at A897 (P = 0.08), Loss of stability (P = 0.377), Gain of solvent accessibility (P = 0.3819), Loss of glycosylation at S901 (P = 0.63), Loss of MoRF binding (P = 0.647)</w:t>
            </w:r>
          </w:p>
        </w:tc>
      </w:tr>
      <w:tr w:rsidR="00460CD4" w:rsidTr="00C15D48">
        <w:trPr>
          <w:trHeight w:val="873"/>
          <w:jc w:val="center"/>
        </w:trPr>
        <w:tc>
          <w:tcPr>
            <w:tcW w:w="1188" w:type="dxa"/>
            <w:tcBorders>
              <w:bottom w:val="single" w:sz="12" w:space="0" w:color="auto"/>
            </w:tcBorders>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H973G</w:t>
            </w:r>
          </w:p>
        </w:tc>
        <w:tc>
          <w:tcPr>
            <w:tcW w:w="2430" w:type="dxa"/>
            <w:tcBorders>
              <w:bottom w:val="single" w:sz="12" w:space="0" w:color="auto"/>
            </w:tcBorders>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0.227</w:t>
            </w:r>
          </w:p>
        </w:tc>
        <w:tc>
          <w:tcPr>
            <w:tcW w:w="5760" w:type="dxa"/>
            <w:tcBorders>
              <w:bottom w:val="single" w:sz="12" w:space="0" w:color="auto"/>
            </w:tcBorders>
          </w:tcPr>
          <w:p w:rsidR="00460CD4" w:rsidRPr="00514222" w:rsidRDefault="00460CD4" w:rsidP="00C15D48">
            <w:pPr>
              <w:spacing w:line="480" w:lineRule="auto"/>
              <w:rPr>
                <w:rFonts w:ascii="Times New Roman" w:hAnsi="Times New Roman" w:cs="Times New Roman"/>
                <w:sz w:val="24"/>
                <w:szCs w:val="24"/>
              </w:rPr>
            </w:pPr>
            <w:r w:rsidRPr="00514222">
              <w:rPr>
                <w:rFonts w:ascii="Times New Roman" w:hAnsi="Times New Roman" w:cs="Times New Roman"/>
                <w:sz w:val="24"/>
                <w:szCs w:val="24"/>
              </w:rPr>
              <w:t>Loss of ubiquitination at K970 (P = 0.1223), Loss of methylation at K972 (P = 0.1405), Gain of phosphorylation at T975 (P = 0.2086), Gain of glycosylation at K972 (P = 0.2696), Loss of solvent accessibility (P = 0.3103)</w:t>
            </w:r>
          </w:p>
        </w:tc>
      </w:tr>
    </w:tbl>
    <w:p w:rsidR="00460CD4" w:rsidRDefault="00460CD4" w:rsidP="00460CD4">
      <w:pPr>
        <w:spacing w:after="0" w:line="480" w:lineRule="auto"/>
        <w:jc w:val="center"/>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Pr="0026421A" w:rsidRDefault="00460CD4" w:rsidP="00460CD4">
      <w:pPr>
        <w:spacing w:line="480" w:lineRule="auto"/>
        <w:jc w:val="both"/>
        <w:rPr>
          <w:rFonts w:ascii="Times New Roman" w:hAnsi="Times New Roman" w:cs="Times New Roman"/>
          <w:color w:val="000000" w:themeColor="text1"/>
          <w:sz w:val="24"/>
          <w:szCs w:val="24"/>
        </w:rPr>
      </w:pPr>
      <w:bookmarkStart w:id="0" w:name="_GoBack"/>
      <w:bookmarkEnd w:id="0"/>
      <w:r w:rsidRPr="009345AA">
        <w:rPr>
          <w:rFonts w:ascii="Times New Roman" w:hAnsi="Times New Roman" w:cs="Times New Roman"/>
          <w:b/>
          <w:sz w:val="24"/>
          <w:szCs w:val="24"/>
        </w:rPr>
        <w:lastRenderedPageBreak/>
        <w:t>Table</w:t>
      </w:r>
      <w:r w:rsidRPr="00627617">
        <w:rPr>
          <w:rFonts w:ascii="Times New Roman" w:hAnsi="Times New Roman" w:cs="Times New Roman"/>
          <w:b/>
          <w:sz w:val="24"/>
          <w:szCs w:val="24"/>
        </w:rPr>
        <w:t xml:space="preserve"> </w:t>
      </w:r>
      <w:r>
        <w:rPr>
          <w:rFonts w:ascii="Times New Roman" w:hAnsi="Times New Roman" w:cs="Times New Roman"/>
          <w:b/>
          <w:sz w:val="24"/>
          <w:szCs w:val="24"/>
        </w:rPr>
        <w:t>S</w:t>
      </w:r>
      <w:r w:rsidR="00EF5A41">
        <w:rPr>
          <w:rFonts w:ascii="Times New Roman" w:hAnsi="Times New Roman" w:cs="Times New Roman"/>
          <w:b/>
          <w:sz w:val="24"/>
          <w:szCs w:val="24"/>
        </w:rPr>
        <w:t>4</w:t>
      </w:r>
      <w:r>
        <w:rPr>
          <w:rFonts w:ascii="Times New Roman" w:hAnsi="Times New Roman" w:cs="Times New Roman"/>
          <w:b/>
          <w:sz w:val="24"/>
          <w:szCs w:val="24"/>
        </w:rPr>
        <w:t xml:space="preserve"> </w:t>
      </w:r>
      <w:r>
        <w:rPr>
          <w:rFonts w:ascii="Times New Roman" w:hAnsi="Times New Roman" w:cs="Times New Roman"/>
          <w:b/>
          <w:color w:val="000000" w:themeColor="text1"/>
          <w:sz w:val="24"/>
          <w:szCs w:val="24"/>
        </w:rPr>
        <w:t xml:space="preserve">Predication the interaction score of proteins. </w:t>
      </w:r>
      <w:r w:rsidRPr="0026421A">
        <w:rPr>
          <w:rFonts w:ascii="Times New Roman" w:hAnsi="Times New Roman" w:cs="Times New Roman"/>
          <w:color w:val="000000" w:themeColor="text1"/>
          <w:sz w:val="24"/>
          <w:szCs w:val="24"/>
        </w:rPr>
        <w:t>Predicted functional partners of protein-protein interactions from STRING database</w:t>
      </w:r>
      <w:r>
        <w:rPr>
          <w:rFonts w:ascii="Times New Roman" w:hAnsi="Times New Roman" w:cs="Times New Roman"/>
          <w:color w:val="000000" w:themeColor="text1"/>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6185"/>
        <w:gridCol w:w="790"/>
      </w:tblGrid>
      <w:tr w:rsidR="00460CD4" w:rsidRPr="009E52FC" w:rsidTr="00C15D48">
        <w:trPr>
          <w:jc w:val="center"/>
        </w:trPr>
        <w:tc>
          <w:tcPr>
            <w:tcW w:w="2268"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Associated Proteins</w:t>
            </w:r>
          </w:p>
        </w:tc>
        <w:tc>
          <w:tcPr>
            <w:tcW w:w="6185"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Full name</w:t>
            </w:r>
          </w:p>
        </w:tc>
        <w:tc>
          <w:tcPr>
            <w:tcW w:w="790" w:type="dxa"/>
            <w:tcBorders>
              <w:top w:val="single" w:sz="12" w:space="0" w:color="auto"/>
              <w:bottom w:val="single" w:sz="12" w:space="0" w:color="auto"/>
            </w:tcBorders>
            <w:vAlign w:val="center"/>
          </w:tcPr>
          <w:p w:rsidR="00460CD4" w:rsidRPr="00E500FE" w:rsidRDefault="00460CD4" w:rsidP="00C15D48">
            <w:pPr>
              <w:spacing w:line="480" w:lineRule="auto"/>
              <w:jc w:val="center"/>
              <w:rPr>
                <w:rFonts w:ascii="Times New Roman" w:hAnsi="Times New Roman" w:cs="Times New Roman"/>
                <w:b/>
                <w:sz w:val="24"/>
                <w:szCs w:val="24"/>
              </w:rPr>
            </w:pPr>
            <w:r w:rsidRPr="00E500FE">
              <w:rPr>
                <w:rFonts w:ascii="Times New Roman" w:hAnsi="Times New Roman" w:cs="Times New Roman"/>
                <w:b/>
                <w:sz w:val="24"/>
                <w:szCs w:val="24"/>
              </w:rPr>
              <w:t>Score</w:t>
            </w:r>
          </w:p>
        </w:tc>
      </w:tr>
      <w:tr w:rsidR="00460CD4" w:rsidRPr="00B438EB" w:rsidTr="00C15D48">
        <w:trPr>
          <w:jc w:val="center"/>
        </w:trPr>
        <w:tc>
          <w:tcPr>
            <w:tcW w:w="2268" w:type="dxa"/>
            <w:tcBorders>
              <w:top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MYLPF</w:t>
            </w:r>
          </w:p>
        </w:tc>
        <w:tc>
          <w:tcPr>
            <w:tcW w:w="6185" w:type="dxa"/>
            <w:tcBorders>
              <w:top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Myosin light chain, phosphorylatable, fast skeletal muscle</w:t>
            </w:r>
          </w:p>
        </w:tc>
        <w:tc>
          <w:tcPr>
            <w:tcW w:w="790" w:type="dxa"/>
            <w:tcBorders>
              <w:top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0.858</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MYL6</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Myosin, light chain 6, alkali, smooth muscle and non-muscle</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0.840</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ACTG1</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Actin, cytoplasmic 1 (Beta-actin)</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0.800</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RHOA</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Ras homolog gene family, member A</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0.796</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CGN</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Cingulin</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0.728</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TNNI3</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Troponin I, cardiac muscle</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0.727</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TNNC2</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Troponin C type 2</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0.721</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MYL1</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Myosin, light chain 1, alkali; skeletal, fast</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0.721</w:t>
            </w:r>
          </w:p>
        </w:tc>
      </w:tr>
      <w:tr w:rsidR="00460CD4" w:rsidRPr="00B438EB" w:rsidTr="00C15D48">
        <w:trPr>
          <w:jc w:val="center"/>
        </w:trPr>
        <w:tc>
          <w:tcPr>
            <w:tcW w:w="2268"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TNNI2</w:t>
            </w:r>
          </w:p>
        </w:tc>
        <w:tc>
          <w:tcPr>
            <w:tcW w:w="6185"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Troponin I type 2 (skeletal, fast)</w:t>
            </w:r>
          </w:p>
        </w:tc>
        <w:tc>
          <w:tcPr>
            <w:tcW w:w="790" w:type="dxa"/>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0.678</w:t>
            </w:r>
          </w:p>
        </w:tc>
      </w:tr>
      <w:tr w:rsidR="00460CD4" w:rsidRPr="00B438EB" w:rsidTr="00C15D48">
        <w:trPr>
          <w:jc w:val="center"/>
        </w:trPr>
        <w:tc>
          <w:tcPr>
            <w:tcW w:w="2268" w:type="dxa"/>
            <w:tcBorders>
              <w:bottom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TTN</w:t>
            </w:r>
          </w:p>
        </w:tc>
        <w:tc>
          <w:tcPr>
            <w:tcW w:w="6185" w:type="dxa"/>
            <w:tcBorders>
              <w:bottom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Titin</w:t>
            </w:r>
          </w:p>
        </w:tc>
        <w:tc>
          <w:tcPr>
            <w:tcW w:w="790" w:type="dxa"/>
            <w:tcBorders>
              <w:bottom w:val="single" w:sz="12" w:space="0" w:color="auto"/>
            </w:tcBorders>
            <w:vAlign w:val="center"/>
          </w:tcPr>
          <w:p w:rsidR="00460CD4" w:rsidRPr="00B438EB" w:rsidRDefault="00460CD4" w:rsidP="00C15D48">
            <w:pPr>
              <w:spacing w:line="480" w:lineRule="auto"/>
              <w:jc w:val="center"/>
              <w:rPr>
                <w:rFonts w:ascii="Times New Roman" w:hAnsi="Times New Roman" w:cs="Times New Roman"/>
                <w:sz w:val="24"/>
                <w:szCs w:val="24"/>
              </w:rPr>
            </w:pPr>
            <w:r w:rsidRPr="00B438EB">
              <w:rPr>
                <w:rFonts w:ascii="Times New Roman" w:hAnsi="Times New Roman" w:cs="Times New Roman"/>
                <w:sz w:val="24"/>
                <w:szCs w:val="24"/>
              </w:rPr>
              <w:t>0.677</w:t>
            </w:r>
          </w:p>
        </w:tc>
      </w:tr>
    </w:tbl>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jc w:val="both"/>
        <w:rPr>
          <w:rFonts w:ascii="Times New Roman" w:hAnsi="Times New Roman" w:cs="Times New Roman"/>
          <w:sz w:val="24"/>
          <w:szCs w:val="24"/>
        </w:rPr>
      </w:pPr>
    </w:p>
    <w:p w:rsidR="00460CD4" w:rsidRDefault="00460CD4" w:rsidP="00460CD4">
      <w:pPr>
        <w:spacing w:after="0" w:line="480" w:lineRule="auto"/>
      </w:pPr>
    </w:p>
    <w:p w:rsidR="00460CD4" w:rsidRDefault="00460CD4" w:rsidP="00460CD4"/>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p>
    <w:p w:rsidR="009018F8" w:rsidRDefault="009018F8" w:rsidP="00EA0174">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Additional Figure</w:t>
      </w:r>
      <w:r w:rsidR="00460CD4">
        <w:rPr>
          <w:rFonts w:ascii="Times New Roman" w:hAnsi="Times New Roman" w:cs="Times New Roman"/>
          <w:b/>
          <w:color w:val="000000" w:themeColor="text1"/>
          <w:sz w:val="24"/>
          <w:szCs w:val="24"/>
        </w:rPr>
        <w:t>s</w:t>
      </w:r>
      <w:r>
        <w:rPr>
          <w:rFonts w:ascii="Times New Roman" w:hAnsi="Times New Roman" w:cs="Times New Roman"/>
          <w:b/>
          <w:color w:val="000000" w:themeColor="text1"/>
          <w:sz w:val="24"/>
          <w:szCs w:val="24"/>
        </w:rPr>
        <w:t xml:space="preserve">: </w:t>
      </w:r>
    </w:p>
    <w:p w:rsidR="00460CD4" w:rsidRDefault="00460CD4" w:rsidP="00D36F2D">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extent cx="3795499" cy="3463202"/>
            <wp:effectExtent l="19050" t="0" r="0" b="0"/>
            <wp:docPr id="1" name="Picture 1" descr="D:\MGHOSH\My publications\SNP analysis\SNP Paper\BMC genetics\Supplementary Figures\Additional file Fig.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GHOSH\My publications\SNP analysis\SNP Paper\BMC genetics\Supplementary Figures\Additional file Fig. S1.jpg"/>
                    <pic:cNvPicPr>
                      <a:picLocks noChangeAspect="1" noChangeArrowheads="1"/>
                    </pic:cNvPicPr>
                  </pic:nvPicPr>
                  <pic:blipFill>
                    <a:blip r:embed="rId7" cstate="print"/>
                    <a:srcRect/>
                    <a:stretch>
                      <a:fillRect/>
                    </a:stretch>
                  </pic:blipFill>
                  <pic:spPr bwMode="auto">
                    <a:xfrm>
                      <a:off x="0" y="0"/>
                      <a:ext cx="3796279" cy="3463913"/>
                    </a:xfrm>
                    <a:prstGeom prst="rect">
                      <a:avLst/>
                    </a:prstGeom>
                    <a:noFill/>
                    <a:ln w="9525">
                      <a:noFill/>
                      <a:miter lim="800000"/>
                      <a:headEnd/>
                      <a:tailEnd/>
                    </a:ln>
                  </pic:spPr>
                </pic:pic>
              </a:graphicData>
            </a:graphic>
          </wp:inline>
        </w:drawing>
      </w:r>
    </w:p>
    <w:p w:rsidR="00EA0174" w:rsidRPr="0026421A" w:rsidRDefault="00EA0174" w:rsidP="00EA0174">
      <w:pPr>
        <w:spacing w:line="360" w:lineRule="auto"/>
        <w:jc w:val="both"/>
        <w:rPr>
          <w:rFonts w:ascii="Times New Roman" w:hAnsi="Times New Roman" w:cs="Times New Roman"/>
          <w:color w:val="000000" w:themeColor="text1"/>
          <w:sz w:val="24"/>
          <w:szCs w:val="24"/>
        </w:rPr>
      </w:pPr>
      <w:r w:rsidRPr="0026421A">
        <w:rPr>
          <w:rFonts w:ascii="Times New Roman" w:hAnsi="Times New Roman" w:cs="Times New Roman"/>
          <w:b/>
          <w:color w:val="000000" w:themeColor="text1"/>
          <w:sz w:val="24"/>
          <w:szCs w:val="24"/>
        </w:rPr>
        <w:t>Fig</w:t>
      </w:r>
      <w:r w:rsidR="00E500FE">
        <w:rPr>
          <w:rFonts w:ascii="Times New Roman" w:hAnsi="Times New Roman" w:cs="Times New Roman"/>
          <w:b/>
          <w:color w:val="000000" w:themeColor="text1"/>
          <w:sz w:val="24"/>
          <w:szCs w:val="24"/>
        </w:rPr>
        <w:t>ure</w:t>
      </w:r>
      <w:r w:rsidRPr="0026421A">
        <w:rPr>
          <w:rFonts w:ascii="Times New Roman" w:hAnsi="Times New Roman" w:cs="Times New Roman"/>
          <w:b/>
          <w:color w:val="000000" w:themeColor="text1"/>
          <w:sz w:val="24"/>
          <w:szCs w:val="24"/>
        </w:rPr>
        <w:t xml:space="preserve"> S1</w:t>
      </w:r>
      <w:r>
        <w:rPr>
          <w:rFonts w:ascii="Times New Roman" w:hAnsi="Times New Roman" w:cs="Times New Roman"/>
          <w:b/>
          <w:color w:val="000000" w:themeColor="text1"/>
          <w:sz w:val="24"/>
          <w:szCs w:val="24"/>
        </w:rPr>
        <w:t xml:space="preserve"> </w:t>
      </w:r>
      <w:r w:rsidRPr="009018F8">
        <w:rPr>
          <w:rFonts w:ascii="Times New Roman" w:hAnsi="Times New Roman" w:cs="Times New Roman"/>
          <w:b/>
          <w:color w:val="000000" w:themeColor="text1"/>
          <w:sz w:val="24"/>
          <w:szCs w:val="24"/>
        </w:rPr>
        <w:t xml:space="preserve">Graphical views of the GO related to the muscle growth and development of porcine </w:t>
      </w:r>
      <w:r w:rsidRPr="009018F8">
        <w:rPr>
          <w:rFonts w:ascii="Times New Roman" w:hAnsi="Times New Roman" w:cs="Times New Roman"/>
          <w:b/>
          <w:i/>
          <w:color w:val="000000" w:themeColor="text1"/>
          <w:sz w:val="24"/>
          <w:szCs w:val="24"/>
        </w:rPr>
        <w:t>MYH1</w:t>
      </w:r>
      <w:r w:rsidRPr="002B6005">
        <w:rPr>
          <w:rFonts w:ascii="Times New Roman" w:hAnsi="Times New Roman" w:cs="Times New Roman"/>
          <w:color w:val="000000" w:themeColor="text1"/>
          <w:sz w:val="24"/>
          <w:szCs w:val="24"/>
        </w:rPr>
        <w:t>.</w:t>
      </w:r>
      <w:r w:rsidRPr="0026421A">
        <w:rPr>
          <w:rFonts w:ascii="Times New Roman" w:hAnsi="Times New Roman" w:cs="Times New Roman"/>
          <w:color w:val="000000" w:themeColor="text1"/>
          <w:sz w:val="24"/>
          <w:szCs w:val="24"/>
        </w:rPr>
        <w:t xml:space="preserve"> A) The graphical representation of the biological process of muscle contraction. B) The graphical representation of the biological process of muscle organ development. </w:t>
      </w:r>
    </w:p>
    <w:p w:rsidR="00460CD4" w:rsidRDefault="00460CD4" w:rsidP="00EA0174">
      <w:pPr>
        <w:spacing w:line="360" w:lineRule="auto"/>
        <w:jc w:val="both"/>
        <w:rPr>
          <w:rFonts w:ascii="Times New Roman" w:hAnsi="Times New Roman" w:cs="Times New Roman"/>
          <w:b/>
          <w:color w:val="000000" w:themeColor="text1"/>
          <w:sz w:val="24"/>
          <w:szCs w:val="24"/>
        </w:rPr>
      </w:pPr>
    </w:p>
    <w:p w:rsidR="00460CD4" w:rsidRDefault="00460CD4" w:rsidP="00EA0174">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extent cx="5732145" cy="2326101"/>
            <wp:effectExtent l="19050" t="0" r="1905" b="0"/>
            <wp:docPr id="2" name="Picture 2" descr="D:\MGHOSH\My publications\SNP analysis\SNP Paper\BMC genetics\Supplementary Figures\Additional file Fig.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GHOSH\My publications\SNP analysis\SNP Paper\BMC genetics\Supplementary Figures\Additional file Fig. S2.jpg"/>
                    <pic:cNvPicPr>
                      <a:picLocks noChangeAspect="1" noChangeArrowheads="1"/>
                    </pic:cNvPicPr>
                  </pic:nvPicPr>
                  <pic:blipFill>
                    <a:blip r:embed="rId8" cstate="print"/>
                    <a:srcRect/>
                    <a:stretch>
                      <a:fillRect/>
                    </a:stretch>
                  </pic:blipFill>
                  <pic:spPr bwMode="auto">
                    <a:xfrm>
                      <a:off x="0" y="0"/>
                      <a:ext cx="5732145" cy="2326101"/>
                    </a:xfrm>
                    <a:prstGeom prst="rect">
                      <a:avLst/>
                    </a:prstGeom>
                    <a:noFill/>
                    <a:ln w="9525">
                      <a:noFill/>
                      <a:miter lim="800000"/>
                      <a:headEnd/>
                      <a:tailEnd/>
                    </a:ln>
                  </pic:spPr>
                </pic:pic>
              </a:graphicData>
            </a:graphic>
          </wp:inline>
        </w:drawing>
      </w:r>
    </w:p>
    <w:p w:rsidR="00EA0174" w:rsidRDefault="00E500FE" w:rsidP="00EA0174">
      <w:pPr>
        <w:spacing w:line="360" w:lineRule="auto"/>
        <w:jc w:val="both"/>
        <w:rPr>
          <w:rFonts w:ascii="Times New Roman" w:hAnsi="Times New Roman" w:cs="Times New Roman"/>
          <w:color w:val="000000" w:themeColor="text1"/>
          <w:sz w:val="24"/>
          <w:szCs w:val="24"/>
        </w:rPr>
      </w:pPr>
      <w:r w:rsidRPr="0026421A">
        <w:rPr>
          <w:rFonts w:ascii="Times New Roman" w:hAnsi="Times New Roman" w:cs="Times New Roman"/>
          <w:b/>
          <w:color w:val="000000" w:themeColor="text1"/>
          <w:sz w:val="24"/>
          <w:szCs w:val="24"/>
        </w:rPr>
        <w:t>Fig</w:t>
      </w:r>
      <w:r>
        <w:rPr>
          <w:rFonts w:ascii="Times New Roman" w:hAnsi="Times New Roman" w:cs="Times New Roman"/>
          <w:b/>
          <w:color w:val="000000" w:themeColor="text1"/>
          <w:sz w:val="24"/>
          <w:szCs w:val="24"/>
        </w:rPr>
        <w:t>ure</w:t>
      </w:r>
      <w:r w:rsidR="00EA0174" w:rsidRPr="0026421A">
        <w:rPr>
          <w:rFonts w:ascii="Times New Roman" w:hAnsi="Times New Roman" w:cs="Times New Roman"/>
          <w:b/>
          <w:color w:val="000000" w:themeColor="text1"/>
          <w:sz w:val="24"/>
          <w:szCs w:val="24"/>
        </w:rPr>
        <w:t xml:space="preserve"> S2 </w:t>
      </w:r>
      <w:r w:rsidR="00EA0174" w:rsidRPr="009018F8">
        <w:rPr>
          <w:rFonts w:ascii="Times New Roman" w:hAnsi="Times New Roman" w:cs="Times New Roman"/>
          <w:b/>
          <w:color w:val="000000" w:themeColor="text1"/>
          <w:sz w:val="24"/>
          <w:szCs w:val="24"/>
        </w:rPr>
        <w:t>The pathways of MYH1 gene</w:t>
      </w:r>
      <w:r w:rsidR="00EA0174" w:rsidRPr="002B6005">
        <w:rPr>
          <w:rFonts w:ascii="Times New Roman" w:hAnsi="Times New Roman" w:cs="Times New Roman"/>
          <w:color w:val="000000" w:themeColor="text1"/>
          <w:sz w:val="24"/>
          <w:szCs w:val="24"/>
        </w:rPr>
        <w:t>.</w:t>
      </w:r>
      <w:r w:rsidR="00EA0174" w:rsidRPr="0026421A">
        <w:rPr>
          <w:rFonts w:ascii="Times New Roman" w:hAnsi="Times New Roman" w:cs="Times New Roman"/>
          <w:b/>
          <w:color w:val="000000" w:themeColor="text1"/>
          <w:sz w:val="24"/>
          <w:szCs w:val="24"/>
        </w:rPr>
        <w:t xml:space="preserve"> </w:t>
      </w:r>
      <w:r w:rsidR="00EA0174" w:rsidRPr="0026421A">
        <w:rPr>
          <w:rFonts w:ascii="Times New Roman" w:hAnsi="Times New Roman" w:cs="Times New Roman"/>
          <w:color w:val="000000" w:themeColor="text1"/>
          <w:sz w:val="24"/>
          <w:szCs w:val="24"/>
        </w:rPr>
        <w:t xml:space="preserve">The significant terms of the pathways of porcine </w:t>
      </w:r>
      <w:r w:rsidR="00EA0174" w:rsidRPr="0026421A">
        <w:rPr>
          <w:rFonts w:ascii="Times New Roman" w:hAnsi="Times New Roman" w:cs="Times New Roman"/>
          <w:i/>
          <w:color w:val="000000" w:themeColor="text1"/>
          <w:sz w:val="24"/>
          <w:szCs w:val="24"/>
        </w:rPr>
        <w:t>MYH1</w:t>
      </w:r>
      <w:r w:rsidR="00EA0174" w:rsidRPr="0026421A">
        <w:rPr>
          <w:rFonts w:ascii="Times New Roman" w:hAnsi="Times New Roman" w:cs="Times New Roman"/>
          <w:color w:val="000000" w:themeColor="text1"/>
          <w:sz w:val="24"/>
          <w:szCs w:val="24"/>
        </w:rPr>
        <w:t xml:space="preserve"> gene.</w:t>
      </w:r>
    </w:p>
    <w:p w:rsidR="00FC163A" w:rsidRDefault="00FC163A" w:rsidP="00EA0174">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5732145" cy="2104512"/>
            <wp:effectExtent l="19050" t="0" r="1905" b="0"/>
            <wp:docPr id="8" name="Picture 1" descr="D:\MGHOSH\My publications\SNP analysis\SNP Paper\BMC genetics\Supplementary Figures\Additional file Fig.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GHOSH\My publications\SNP analysis\SNP Paper\BMC genetics\Supplementary Figures\Additional file Fig. S3.jpg"/>
                    <pic:cNvPicPr>
                      <a:picLocks noChangeAspect="1" noChangeArrowheads="1"/>
                    </pic:cNvPicPr>
                  </pic:nvPicPr>
                  <pic:blipFill>
                    <a:blip r:embed="rId9" cstate="print"/>
                    <a:srcRect/>
                    <a:stretch>
                      <a:fillRect/>
                    </a:stretch>
                  </pic:blipFill>
                  <pic:spPr bwMode="auto">
                    <a:xfrm>
                      <a:off x="0" y="0"/>
                      <a:ext cx="5732145" cy="2104512"/>
                    </a:xfrm>
                    <a:prstGeom prst="rect">
                      <a:avLst/>
                    </a:prstGeom>
                    <a:noFill/>
                    <a:ln w="9525">
                      <a:noFill/>
                      <a:miter lim="800000"/>
                      <a:headEnd/>
                      <a:tailEnd/>
                    </a:ln>
                  </pic:spPr>
                </pic:pic>
              </a:graphicData>
            </a:graphic>
          </wp:inline>
        </w:drawing>
      </w:r>
    </w:p>
    <w:p w:rsidR="00FC163A" w:rsidRDefault="00FC163A" w:rsidP="00FC163A">
      <w:pPr>
        <w:autoSpaceDE w:val="0"/>
        <w:autoSpaceDN w:val="0"/>
        <w:adjustRightInd w:val="0"/>
        <w:spacing w:after="0" w:line="480" w:lineRule="auto"/>
        <w:rPr>
          <w:rFonts w:ascii="Times New Roman" w:hAnsi="Times New Roman" w:cs="Times New Roman"/>
          <w:color w:val="0070C0"/>
          <w:sz w:val="24"/>
          <w:szCs w:val="24"/>
        </w:rPr>
      </w:pPr>
      <w:r w:rsidRPr="00435344">
        <w:rPr>
          <w:rFonts w:ascii="Times New Roman" w:hAnsi="Times New Roman" w:cs="Times New Roman"/>
          <w:b/>
          <w:color w:val="0070C0"/>
          <w:sz w:val="24"/>
          <w:szCs w:val="24"/>
        </w:rPr>
        <w:t xml:space="preserve">Figure S3 The scatter plot of differentially expressed genes and QTLs </w:t>
      </w:r>
      <w:r>
        <w:rPr>
          <w:rFonts w:ascii="Times New Roman" w:hAnsi="Times New Roman" w:cs="Times New Roman"/>
          <w:b/>
          <w:color w:val="0070C0"/>
          <w:sz w:val="24"/>
          <w:szCs w:val="24"/>
        </w:rPr>
        <w:t xml:space="preserve">map </w:t>
      </w:r>
      <w:r w:rsidRPr="00435344">
        <w:rPr>
          <w:rFonts w:ascii="Times New Roman" w:hAnsi="Times New Roman" w:cs="Times New Roman"/>
          <w:b/>
          <w:color w:val="0070C0"/>
          <w:sz w:val="24"/>
          <w:szCs w:val="24"/>
        </w:rPr>
        <w:t xml:space="preserve">in </w:t>
      </w:r>
      <w:r w:rsidRPr="00435344">
        <w:rPr>
          <w:rFonts w:ascii="Times New Roman" w:hAnsi="Times New Roman" w:cs="Times New Roman"/>
          <w:b/>
          <w:i/>
          <w:color w:val="0070C0"/>
          <w:sz w:val="24"/>
          <w:szCs w:val="24"/>
        </w:rPr>
        <w:t>MYH1</w:t>
      </w:r>
      <w:r w:rsidRPr="00435344">
        <w:rPr>
          <w:rFonts w:ascii="Times New Roman" w:hAnsi="Times New Roman" w:cs="Times New Roman"/>
          <w:b/>
          <w:color w:val="0070C0"/>
          <w:sz w:val="24"/>
          <w:szCs w:val="24"/>
        </w:rPr>
        <w:t xml:space="preserve"> region</w:t>
      </w:r>
      <w:r>
        <w:rPr>
          <w:rFonts w:ascii="Times New Roman" w:hAnsi="Times New Roman" w:cs="Times New Roman"/>
          <w:b/>
          <w:color w:val="0070C0"/>
          <w:sz w:val="24"/>
          <w:szCs w:val="24"/>
        </w:rPr>
        <w:t xml:space="preserve"> of SSC12</w:t>
      </w:r>
      <w:r w:rsidRPr="00435344">
        <w:rPr>
          <w:rFonts w:ascii="Times New Roman" w:hAnsi="Times New Roman" w:cs="Times New Roman"/>
          <w:b/>
          <w:color w:val="0070C0"/>
          <w:sz w:val="24"/>
          <w:szCs w:val="24"/>
        </w:rPr>
        <w:t xml:space="preserve">. </w:t>
      </w:r>
      <w:r w:rsidRPr="00435344">
        <w:rPr>
          <w:rFonts w:ascii="Times New Roman" w:hAnsi="Times New Roman" w:cs="Times New Roman"/>
          <w:color w:val="0070C0"/>
          <w:sz w:val="24"/>
          <w:szCs w:val="24"/>
        </w:rPr>
        <w:t>(A)</w:t>
      </w:r>
      <w:r w:rsidRPr="00435344">
        <w:rPr>
          <w:rFonts w:ascii="Times New Roman" w:hAnsi="Times New Roman" w:cs="Times New Roman"/>
          <w:b/>
          <w:color w:val="0070C0"/>
          <w:sz w:val="24"/>
          <w:szCs w:val="24"/>
        </w:rPr>
        <w:t xml:space="preserve"> </w:t>
      </w:r>
      <w:r w:rsidRPr="00435344">
        <w:rPr>
          <w:rFonts w:ascii="Times New Roman" w:hAnsi="Times New Roman" w:cs="Times New Roman"/>
          <w:color w:val="0070C0"/>
          <w:sz w:val="24"/>
          <w:szCs w:val="24"/>
        </w:rPr>
        <w:t xml:space="preserve">Scatter plots was constructed with log2- for the visual comparison of gene expression levels in muscle tissue samples of JNP and Berkshire. Each data point on the plot represents an individual gene. The CNR scores and position of </w:t>
      </w:r>
      <w:r w:rsidRPr="00435344">
        <w:rPr>
          <w:rFonts w:ascii="Times New Roman" w:hAnsi="Times New Roman" w:cs="Times New Roman"/>
          <w:i/>
          <w:color w:val="0070C0"/>
          <w:sz w:val="24"/>
          <w:szCs w:val="24"/>
        </w:rPr>
        <w:t xml:space="preserve">MYH1 </w:t>
      </w:r>
      <w:r w:rsidRPr="00435344">
        <w:rPr>
          <w:rFonts w:ascii="Times New Roman" w:hAnsi="Times New Roman" w:cs="Times New Roman"/>
          <w:color w:val="0070C0"/>
          <w:sz w:val="24"/>
          <w:szCs w:val="24"/>
        </w:rPr>
        <w:t xml:space="preserve">gene demonstrated with in the box. </w:t>
      </w:r>
      <w:r>
        <w:rPr>
          <w:rFonts w:ascii="Times New Roman" w:hAnsi="Times New Roman" w:cs="Times New Roman"/>
          <w:color w:val="0070C0"/>
          <w:sz w:val="24"/>
          <w:szCs w:val="24"/>
        </w:rPr>
        <w:t xml:space="preserve">(B) The </w:t>
      </w:r>
      <w:r w:rsidRPr="00F27122">
        <w:rPr>
          <w:rFonts w:ascii="Times New Roman" w:hAnsi="Times New Roman" w:cs="Times New Roman"/>
          <w:color w:val="0070C0"/>
          <w:sz w:val="24"/>
          <w:szCs w:val="24"/>
        </w:rPr>
        <w:t>position of most significant QTL</w:t>
      </w:r>
      <w:r>
        <w:rPr>
          <w:rFonts w:ascii="Times New Roman" w:hAnsi="Times New Roman" w:cs="Times New Roman"/>
          <w:color w:val="0070C0"/>
          <w:sz w:val="24"/>
          <w:szCs w:val="24"/>
        </w:rPr>
        <w:t>s</w:t>
      </w:r>
      <w:r w:rsidRPr="00F27122">
        <w:rPr>
          <w:rFonts w:ascii="Times New Roman" w:hAnsi="Times New Roman" w:cs="Times New Roman"/>
          <w:color w:val="0070C0"/>
          <w:sz w:val="24"/>
          <w:szCs w:val="24"/>
        </w:rPr>
        <w:t xml:space="preserve"> those </w:t>
      </w:r>
      <w:r>
        <w:rPr>
          <w:rFonts w:ascii="Times New Roman" w:hAnsi="Times New Roman" w:cs="Times New Roman"/>
          <w:color w:val="0070C0"/>
          <w:sz w:val="24"/>
          <w:szCs w:val="24"/>
        </w:rPr>
        <w:t xml:space="preserve">are </w:t>
      </w:r>
      <w:r w:rsidRPr="00F27122">
        <w:rPr>
          <w:rFonts w:ascii="Times New Roman" w:hAnsi="Times New Roman" w:cs="Times New Roman"/>
          <w:color w:val="0070C0"/>
          <w:sz w:val="24"/>
          <w:szCs w:val="24"/>
        </w:rPr>
        <w:t xml:space="preserve">associated with </w:t>
      </w:r>
      <w:r w:rsidRPr="00F27122">
        <w:rPr>
          <w:rFonts w:ascii="Times New Roman" w:hAnsi="Times New Roman" w:cs="Times New Roman"/>
          <w:color w:val="0070C0"/>
          <w:sz w:val="24"/>
          <w:szCs w:val="24"/>
          <w:shd w:val="clear" w:color="auto" w:fill="FFFFFF"/>
        </w:rPr>
        <w:t>meat and carcass quality</w:t>
      </w:r>
      <w:r w:rsidRPr="00F27122">
        <w:rPr>
          <w:rFonts w:ascii="Times New Roman" w:hAnsi="Times New Roman" w:cs="Times New Roman"/>
          <w:color w:val="0070C0"/>
          <w:sz w:val="24"/>
          <w:szCs w:val="24"/>
        </w:rPr>
        <w:t xml:space="preserve"> traits reported in </w:t>
      </w:r>
      <w:r w:rsidRPr="00F27122">
        <w:rPr>
          <w:rFonts w:ascii="Times New Roman" w:hAnsi="Times New Roman" w:cs="Times New Roman"/>
          <w:i/>
          <w:color w:val="0070C0"/>
          <w:sz w:val="24"/>
          <w:szCs w:val="24"/>
        </w:rPr>
        <w:t xml:space="preserve">MYH1 </w:t>
      </w:r>
      <w:r>
        <w:rPr>
          <w:rFonts w:ascii="Times New Roman" w:hAnsi="Times New Roman" w:cs="Times New Roman"/>
          <w:color w:val="0070C0"/>
          <w:sz w:val="24"/>
          <w:szCs w:val="24"/>
        </w:rPr>
        <w:t>region.</w:t>
      </w:r>
    </w:p>
    <w:p w:rsidR="007626AE" w:rsidRDefault="007626AE" w:rsidP="00FC163A">
      <w:pPr>
        <w:autoSpaceDE w:val="0"/>
        <w:autoSpaceDN w:val="0"/>
        <w:adjustRightInd w:val="0"/>
        <w:spacing w:after="0" w:line="480" w:lineRule="auto"/>
        <w:rPr>
          <w:rFonts w:ascii="Times New Roman" w:hAnsi="Times New Roman" w:cs="Times New Roman"/>
          <w:color w:val="0070C0"/>
          <w:sz w:val="24"/>
          <w:szCs w:val="24"/>
        </w:rPr>
      </w:pPr>
    </w:p>
    <w:p w:rsidR="007626AE" w:rsidRDefault="007626AE" w:rsidP="00FC163A">
      <w:pPr>
        <w:autoSpaceDE w:val="0"/>
        <w:autoSpaceDN w:val="0"/>
        <w:adjustRightInd w:val="0"/>
        <w:spacing w:after="0" w:line="480" w:lineRule="auto"/>
        <w:rPr>
          <w:rFonts w:ascii="Times New Roman" w:hAnsi="Times New Roman" w:cs="Times New Roman"/>
          <w:color w:val="0070C0"/>
          <w:sz w:val="24"/>
          <w:szCs w:val="24"/>
        </w:rPr>
      </w:pPr>
    </w:p>
    <w:p w:rsidR="007626AE" w:rsidRDefault="007626AE" w:rsidP="00FC163A">
      <w:pPr>
        <w:autoSpaceDE w:val="0"/>
        <w:autoSpaceDN w:val="0"/>
        <w:adjustRightInd w:val="0"/>
        <w:spacing w:after="0" w:line="480" w:lineRule="auto"/>
        <w:rPr>
          <w:rFonts w:ascii="Times New Roman" w:hAnsi="Times New Roman" w:cs="Times New Roman"/>
          <w:color w:val="0070C0"/>
          <w:sz w:val="24"/>
          <w:szCs w:val="24"/>
        </w:rPr>
      </w:pPr>
    </w:p>
    <w:p w:rsidR="007626AE" w:rsidRPr="00F27122" w:rsidRDefault="007626AE" w:rsidP="00FC163A">
      <w:pPr>
        <w:autoSpaceDE w:val="0"/>
        <w:autoSpaceDN w:val="0"/>
        <w:adjustRightInd w:val="0"/>
        <w:spacing w:after="0" w:line="480" w:lineRule="auto"/>
        <w:rPr>
          <w:rFonts w:ascii="Times New Roman" w:hAnsi="Times New Roman" w:cs="Times New Roman"/>
          <w:color w:val="0070C0"/>
          <w:sz w:val="24"/>
          <w:szCs w:val="24"/>
        </w:rPr>
      </w:pPr>
    </w:p>
    <w:p w:rsidR="00FC163A" w:rsidRDefault="00FC163A" w:rsidP="00EA0174">
      <w:pPr>
        <w:spacing w:line="360" w:lineRule="auto"/>
        <w:jc w:val="both"/>
        <w:rPr>
          <w:rFonts w:ascii="Times New Roman" w:hAnsi="Times New Roman" w:cs="Times New Roman"/>
          <w:color w:val="000000" w:themeColor="text1"/>
          <w:sz w:val="24"/>
          <w:szCs w:val="24"/>
        </w:rPr>
      </w:pPr>
    </w:p>
    <w:p w:rsidR="00F3763E" w:rsidRDefault="00F3763E" w:rsidP="00F3763E">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3555365" cy="2988945"/>
            <wp:effectExtent l="19050" t="0" r="6985" b="0"/>
            <wp:docPr id="7" name="Picture 1" descr="D:\MGHOSH\My publications\SNP analysis\SNP Paper\BMC genetics\Supplementary Figures\Additional file Fig.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GHOSH\My publications\SNP analysis\SNP Paper\BMC genetics\Supplementary Figures\Additional file Fig. S3.jpg"/>
                    <pic:cNvPicPr>
                      <a:picLocks noChangeAspect="1" noChangeArrowheads="1"/>
                    </pic:cNvPicPr>
                  </pic:nvPicPr>
                  <pic:blipFill>
                    <a:blip r:embed="rId10" cstate="print"/>
                    <a:srcRect/>
                    <a:stretch>
                      <a:fillRect/>
                    </a:stretch>
                  </pic:blipFill>
                  <pic:spPr bwMode="auto">
                    <a:xfrm>
                      <a:off x="0" y="0"/>
                      <a:ext cx="3555365" cy="2988945"/>
                    </a:xfrm>
                    <a:prstGeom prst="rect">
                      <a:avLst/>
                    </a:prstGeom>
                    <a:noFill/>
                    <a:ln w="9525">
                      <a:noFill/>
                      <a:miter lim="800000"/>
                      <a:headEnd/>
                      <a:tailEnd/>
                    </a:ln>
                  </pic:spPr>
                </pic:pic>
              </a:graphicData>
            </a:graphic>
          </wp:inline>
        </w:drawing>
      </w:r>
    </w:p>
    <w:p w:rsidR="00F3763E" w:rsidRPr="00FC163A" w:rsidRDefault="00F3763E" w:rsidP="00F3763E">
      <w:pPr>
        <w:spacing w:line="360" w:lineRule="auto"/>
        <w:jc w:val="both"/>
        <w:rPr>
          <w:rFonts w:ascii="Times New Roman" w:hAnsi="Times New Roman" w:cs="Times New Roman"/>
          <w:bCs/>
          <w:kern w:val="24"/>
          <w:sz w:val="24"/>
          <w:szCs w:val="24"/>
        </w:rPr>
      </w:pPr>
      <w:r w:rsidRPr="00FC163A">
        <w:rPr>
          <w:rFonts w:ascii="Times New Roman" w:hAnsi="Times New Roman" w:cs="Times New Roman"/>
          <w:b/>
          <w:sz w:val="24"/>
          <w:szCs w:val="24"/>
        </w:rPr>
        <w:t>Figure S</w:t>
      </w:r>
      <w:r w:rsidR="00FC163A">
        <w:rPr>
          <w:rFonts w:ascii="Times New Roman" w:hAnsi="Times New Roman" w:cs="Times New Roman"/>
          <w:b/>
          <w:sz w:val="24"/>
          <w:szCs w:val="24"/>
        </w:rPr>
        <w:t>4</w:t>
      </w:r>
      <w:r w:rsidRPr="00FC163A">
        <w:rPr>
          <w:rFonts w:ascii="Times New Roman" w:hAnsi="Times New Roman" w:cs="Times New Roman"/>
          <w:b/>
          <w:sz w:val="24"/>
          <w:szCs w:val="24"/>
        </w:rPr>
        <w:t xml:space="preserve"> The 3D homologous model of MYH1.</w:t>
      </w:r>
      <w:r w:rsidRPr="00FC163A">
        <w:rPr>
          <w:rFonts w:ascii="Times New Roman" w:hAnsi="Times New Roman" w:cs="Times New Roman"/>
          <w:bCs/>
          <w:kern w:val="24"/>
          <w:sz w:val="24"/>
          <w:szCs w:val="24"/>
        </w:rPr>
        <w:t>The tertiary structure of native MYH1is drawn here as a cartoon model.</w:t>
      </w:r>
    </w:p>
    <w:p w:rsidR="00F3763E" w:rsidRPr="0026421A" w:rsidRDefault="00F3763E" w:rsidP="00EA0174">
      <w:pPr>
        <w:spacing w:line="360" w:lineRule="auto"/>
        <w:jc w:val="both"/>
        <w:rPr>
          <w:rFonts w:ascii="Times New Roman" w:hAnsi="Times New Roman" w:cs="Times New Roman"/>
          <w:color w:val="000000" w:themeColor="text1"/>
          <w:sz w:val="24"/>
          <w:szCs w:val="24"/>
        </w:rPr>
      </w:pPr>
    </w:p>
    <w:p w:rsidR="00460CD4" w:rsidRDefault="00460CD4" w:rsidP="00460CD4">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extent cx="2988945" cy="2743200"/>
            <wp:effectExtent l="19050" t="0" r="1905" b="0"/>
            <wp:docPr id="3" name="Picture 3" descr="D:\MGHOSH\My publications\SNP analysis\SNP Paper\BMC genetics\Supplementary Figures\Additional file Fig.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GHOSH\My publications\SNP analysis\SNP Paper\BMC genetics\Supplementary Figures\Additional file Fig. S3.jpg"/>
                    <pic:cNvPicPr>
                      <a:picLocks noChangeAspect="1" noChangeArrowheads="1"/>
                    </pic:cNvPicPr>
                  </pic:nvPicPr>
                  <pic:blipFill>
                    <a:blip r:embed="rId11" cstate="print"/>
                    <a:srcRect/>
                    <a:stretch>
                      <a:fillRect/>
                    </a:stretch>
                  </pic:blipFill>
                  <pic:spPr bwMode="auto">
                    <a:xfrm>
                      <a:off x="0" y="0"/>
                      <a:ext cx="2988945" cy="2743200"/>
                    </a:xfrm>
                    <a:prstGeom prst="rect">
                      <a:avLst/>
                    </a:prstGeom>
                    <a:noFill/>
                    <a:ln w="9525">
                      <a:noFill/>
                      <a:miter lim="800000"/>
                      <a:headEnd/>
                      <a:tailEnd/>
                    </a:ln>
                  </pic:spPr>
                </pic:pic>
              </a:graphicData>
            </a:graphic>
          </wp:inline>
        </w:drawing>
      </w:r>
    </w:p>
    <w:p w:rsidR="00FC163A" w:rsidRPr="00F27122" w:rsidRDefault="00E500FE" w:rsidP="00FC163A">
      <w:pPr>
        <w:spacing w:line="480" w:lineRule="auto"/>
        <w:rPr>
          <w:rFonts w:ascii="Times New Roman" w:hAnsi="Times New Roman" w:cs="Times New Roman"/>
          <w:sz w:val="24"/>
          <w:szCs w:val="24"/>
        </w:rPr>
      </w:pPr>
      <w:r w:rsidRPr="0026421A">
        <w:rPr>
          <w:rFonts w:ascii="Times New Roman" w:hAnsi="Times New Roman" w:cs="Times New Roman"/>
          <w:b/>
          <w:color w:val="000000" w:themeColor="text1"/>
          <w:sz w:val="24"/>
          <w:szCs w:val="24"/>
        </w:rPr>
        <w:t>Fig</w:t>
      </w:r>
      <w:r>
        <w:rPr>
          <w:rFonts w:ascii="Times New Roman" w:hAnsi="Times New Roman" w:cs="Times New Roman"/>
          <w:b/>
          <w:color w:val="000000" w:themeColor="text1"/>
          <w:sz w:val="24"/>
          <w:szCs w:val="24"/>
        </w:rPr>
        <w:t>ure</w:t>
      </w:r>
      <w:r w:rsidR="00EA0174" w:rsidRPr="0026421A">
        <w:rPr>
          <w:rFonts w:ascii="Times New Roman" w:hAnsi="Times New Roman" w:cs="Times New Roman"/>
          <w:b/>
          <w:color w:val="000000" w:themeColor="text1"/>
          <w:sz w:val="24"/>
          <w:szCs w:val="24"/>
        </w:rPr>
        <w:t xml:space="preserve"> S</w:t>
      </w:r>
      <w:r w:rsidR="00FC163A">
        <w:rPr>
          <w:rFonts w:ascii="Times New Roman" w:hAnsi="Times New Roman" w:cs="Times New Roman"/>
          <w:b/>
          <w:color w:val="000000" w:themeColor="text1"/>
          <w:sz w:val="24"/>
          <w:szCs w:val="24"/>
        </w:rPr>
        <w:t>5</w:t>
      </w:r>
      <w:r w:rsidR="00EA0174" w:rsidRPr="0026421A">
        <w:rPr>
          <w:rFonts w:ascii="Times New Roman" w:hAnsi="Times New Roman" w:cs="Times New Roman"/>
          <w:b/>
          <w:color w:val="000000" w:themeColor="text1"/>
          <w:sz w:val="24"/>
          <w:szCs w:val="24"/>
        </w:rPr>
        <w:t xml:space="preserve"> </w:t>
      </w:r>
      <w:r w:rsidR="00EA0174" w:rsidRPr="009018F8">
        <w:rPr>
          <w:rFonts w:ascii="Times New Roman" w:hAnsi="Times New Roman" w:cs="Times New Roman"/>
          <w:b/>
          <w:color w:val="000000" w:themeColor="text1"/>
          <w:sz w:val="24"/>
          <w:szCs w:val="24"/>
        </w:rPr>
        <w:t>Ramachandran Plot of native MYH1</w:t>
      </w:r>
      <w:r w:rsidR="00EA0174" w:rsidRPr="002B6005">
        <w:rPr>
          <w:rFonts w:ascii="Times New Roman" w:hAnsi="Times New Roman" w:cs="Times New Roman"/>
          <w:color w:val="000000" w:themeColor="text1"/>
          <w:sz w:val="24"/>
          <w:szCs w:val="24"/>
        </w:rPr>
        <w:t>.</w:t>
      </w:r>
      <w:r w:rsidR="00EA0174" w:rsidRPr="0026421A">
        <w:rPr>
          <w:rFonts w:ascii="Times New Roman" w:hAnsi="Times New Roman" w:cs="Times New Roman"/>
          <w:color w:val="000000" w:themeColor="text1"/>
          <w:sz w:val="24"/>
          <w:szCs w:val="24"/>
        </w:rPr>
        <w:t xml:space="preserve"> The red, brown, and yellow regions represent the favored, allowed, and "generously allowed" regions as defined by ProCheck</w:t>
      </w:r>
      <w:r w:rsidR="00FC163A" w:rsidRPr="00FC163A">
        <w:rPr>
          <w:rFonts w:ascii="Times New Roman" w:hAnsi="Times New Roman" w:cs="Times New Roman"/>
          <w:sz w:val="24"/>
          <w:szCs w:val="24"/>
        </w:rPr>
        <w:t xml:space="preserve"> </w:t>
      </w:r>
      <w:r w:rsidR="00FC163A" w:rsidRPr="00FC163A">
        <w:rPr>
          <w:rFonts w:ascii="Times New Roman" w:hAnsi="Times New Roman" w:cs="Times New Roman"/>
          <w:color w:val="0070C0"/>
          <w:sz w:val="24"/>
          <w:szCs w:val="24"/>
        </w:rPr>
        <w:t>for MYH1</w:t>
      </w:r>
      <w:r w:rsidR="00FC163A" w:rsidRPr="00F27122">
        <w:rPr>
          <w:rFonts w:ascii="Times New Roman" w:hAnsi="Times New Roman" w:cs="Times New Roman"/>
          <w:sz w:val="24"/>
          <w:szCs w:val="24"/>
        </w:rPr>
        <w:t>.</w:t>
      </w:r>
    </w:p>
    <w:p w:rsidR="00EA0174" w:rsidRPr="0026421A" w:rsidRDefault="00EA0174" w:rsidP="00EA0174">
      <w:pPr>
        <w:spacing w:line="360" w:lineRule="auto"/>
        <w:jc w:val="both"/>
        <w:rPr>
          <w:rFonts w:ascii="Times New Roman" w:hAnsi="Times New Roman" w:cs="Times New Roman"/>
          <w:color w:val="000000" w:themeColor="text1"/>
          <w:sz w:val="24"/>
          <w:szCs w:val="24"/>
        </w:rPr>
      </w:pPr>
      <w:r w:rsidRPr="0026421A">
        <w:rPr>
          <w:rFonts w:ascii="Times New Roman" w:hAnsi="Times New Roman" w:cs="Times New Roman"/>
          <w:color w:val="000000" w:themeColor="text1"/>
          <w:sz w:val="24"/>
          <w:szCs w:val="24"/>
        </w:rPr>
        <w:t>.</w:t>
      </w:r>
    </w:p>
    <w:p w:rsidR="00460CD4" w:rsidRDefault="00460CD4" w:rsidP="00460CD4">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lastRenderedPageBreak/>
        <w:drawing>
          <wp:inline distT="0" distB="0" distL="0" distR="0">
            <wp:extent cx="3535045" cy="2981960"/>
            <wp:effectExtent l="19050" t="0" r="8255" b="0"/>
            <wp:docPr id="4" name="Picture 4" descr="D:\MGHOSH\My publications\SNP analysis\SNP Paper\BMC genetics\Supplementary Figures\Additional file Fig. 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GHOSH\My publications\SNP analysis\SNP Paper\BMC genetics\Supplementary Figures\Additional file Fig. S4.jpg"/>
                    <pic:cNvPicPr>
                      <a:picLocks noChangeAspect="1" noChangeArrowheads="1"/>
                    </pic:cNvPicPr>
                  </pic:nvPicPr>
                  <pic:blipFill>
                    <a:blip r:embed="rId12" cstate="print"/>
                    <a:srcRect/>
                    <a:stretch>
                      <a:fillRect/>
                    </a:stretch>
                  </pic:blipFill>
                  <pic:spPr bwMode="auto">
                    <a:xfrm>
                      <a:off x="0" y="0"/>
                      <a:ext cx="3535045" cy="2981960"/>
                    </a:xfrm>
                    <a:prstGeom prst="rect">
                      <a:avLst/>
                    </a:prstGeom>
                    <a:noFill/>
                    <a:ln w="9525">
                      <a:noFill/>
                      <a:miter lim="800000"/>
                      <a:headEnd/>
                      <a:tailEnd/>
                    </a:ln>
                  </pic:spPr>
                </pic:pic>
              </a:graphicData>
            </a:graphic>
          </wp:inline>
        </w:drawing>
      </w:r>
    </w:p>
    <w:p w:rsidR="00EA0174" w:rsidRDefault="00E500FE" w:rsidP="00EA0174">
      <w:pPr>
        <w:spacing w:line="360" w:lineRule="auto"/>
        <w:jc w:val="both"/>
        <w:rPr>
          <w:rFonts w:ascii="Times New Roman" w:hAnsi="Times New Roman" w:cs="Times New Roman"/>
          <w:bCs/>
          <w:color w:val="000000" w:themeColor="text1"/>
          <w:kern w:val="24"/>
          <w:sz w:val="24"/>
          <w:szCs w:val="24"/>
        </w:rPr>
      </w:pPr>
      <w:r w:rsidRPr="0026421A">
        <w:rPr>
          <w:rFonts w:ascii="Times New Roman" w:hAnsi="Times New Roman" w:cs="Times New Roman"/>
          <w:b/>
          <w:color w:val="000000" w:themeColor="text1"/>
          <w:sz w:val="24"/>
          <w:szCs w:val="24"/>
        </w:rPr>
        <w:t>Fig</w:t>
      </w:r>
      <w:r>
        <w:rPr>
          <w:rFonts w:ascii="Times New Roman" w:hAnsi="Times New Roman" w:cs="Times New Roman"/>
          <w:b/>
          <w:color w:val="000000" w:themeColor="text1"/>
          <w:sz w:val="24"/>
          <w:szCs w:val="24"/>
        </w:rPr>
        <w:t>ure</w:t>
      </w:r>
      <w:r w:rsidR="00EA0174" w:rsidRPr="0026421A">
        <w:rPr>
          <w:rFonts w:ascii="Times New Roman" w:hAnsi="Times New Roman" w:cs="Times New Roman"/>
          <w:b/>
          <w:bCs/>
          <w:color w:val="000000" w:themeColor="text1"/>
          <w:kern w:val="24"/>
          <w:sz w:val="24"/>
          <w:szCs w:val="24"/>
        </w:rPr>
        <w:t xml:space="preserve"> S</w:t>
      </w:r>
      <w:r w:rsidR="00FC163A">
        <w:rPr>
          <w:rFonts w:ascii="Times New Roman" w:hAnsi="Times New Roman" w:cs="Times New Roman"/>
          <w:b/>
          <w:bCs/>
          <w:color w:val="000000" w:themeColor="text1"/>
          <w:kern w:val="24"/>
          <w:sz w:val="24"/>
          <w:szCs w:val="24"/>
        </w:rPr>
        <w:t>6</w:t>
      </w:r>
      <w:r w:rsidR="00EA0174">
        <w:rPr>
          <w:rFonts w:ascii="Times New Roman" w:hAnsi="Times New Roman" w:cs="Times New Roman"/>
          <w:b/>
          <w:bCs/>
          <w:color w:val="000000" w:themeColor="text1"/>
          <w:kern w:val="24"/>
          <w:sz w:val="24"/>
          <w:szCs w:val="24"/>
        </w:rPr>
        <w:t xml:space="preserve"> </w:t>
      </w:r>
      <w:r w:rsidR="00EA0174" w:rsidRPr="009018F8">
        <w:rPr>
          <w:rFonts w:ascii="Times New Roman" w:hAnsi="Times New Roman" w:cs="Times New Roman"/>
          <w:b/>
          <w:bCs/>
          <w:color w:val="000000" w:themeColor="text1"/>
          <w:kern w:val="24"/>
          <w:sz w:val="24"/>
          <w:szCs w:val="24"/>
        </w:rPr>
        <w:t>The 3D homologous model of MYLPF</w:t>
      </w:r>
      <w:r w:rsidR="00EA0174" w:rsidRPr="002B6005">
        <w:rPr>
          <w:rFonts w:ascii="Times New Roman" w:hAnsi="Times New Roman" w:cs="Times New Roman"/>
          <w:bCs/>
          <w:color w:val="000000" w:themeColor="text1"/>
          <w:kern w:val="24"/>
          <w:sz w:val="24"/>
          <w:szCs w:val="24"/>
        </w:rPr>
        <w:t>.</w:t>
      </w:r>
      <w:r w:rsidR="00EA0174" w:rsidRPr="0026421A">
        <w:rPr>
          <w:rFonts w:ascii="Times New Roman" w:hAnsi="Times New Roman" w:cs="Times New Roman"/>
          <w:b/>
          <w:bCs/>
          <w:color w:val="000000" w:themeColor="text1"/>
          <w:kern w:val="24"/>
          <w:sz w:val="24"/>
          <w:szCs w:val="24"/>
        </w:rPr>
        <w:t xml:space="preserve"> </w:t>
      </w:r>
      <w:r w:rsidR="00EA0174" w:rsidRPr="0026421A">
        <w:rPr>
          <w:rFonts w:ascii="Times New Roman" w:hAnsi="Times New Roman" w:cs="Times New Roman"/>
          <w:bCs/>
          <w:color w:val="000000" w:themeColor="text1"/>
          <w:kern w:val="24"/>
          <w:sz w:val="24"/>
          <w:szCs w:val="24"/>
        </w:rPr>
        <w:t>The tertiary structure of MYLPF is drawn here as a cartoon model.</w:t>
      </w:r>
    </w:p>
    <w:p w:rsidR="00460CD4" w:rsidRDefault="00460CD4" w:rsidP="00460CD4">
      <w:pPr>
        <w:spacing w:line="360" w:lineRule="auto"/>
        <w:jc w:val="center"/>
        <w:rPr>
          <w:rFonts w:ascii="Times New Roman" w:hAnsi="Times New Roman" w:cs="Times New Roman"/>
          <w:bCs/>
          <w:color w:val="000000" w:themeColor="text1"/>
          <w:kern w:val="24"/>
          <w:sz w:val="24"/>
          <w:szCs w:val="24"/>
        </w:rPr>
      </w:pPr>
      <w:r>
        <w:rPr>
          <w:rFonts w:ascii="Times New Roman" w:hAnsi="Times New Roman" w:cs="Times New Roman"/>
          <w:bCs/>
          <w:noProof/>
          <w:color w:val="000000" w:themeColor="text1"/>
          <w:kern w:val="24"/>
          <w:sz w:val="24"/>
          <w:szCs w:val="24"/>
        </w:rPr>
        <w:drawing>
          <wp:inline distT="0" distB="0" distL="0" distR="0">
            <wp:extent cx="3248025" cy="2988945"/>
            <wp:effectExtent l="19050" t="0" r="9525" b="0"/>
            <wp:docPr id="5" name="Picture 5" descr="D:\MGHOSH\My publications\SNP analysis\SNP Paper\BMC genetics\Supplementary Figures\Additional file Fig. 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GHOSH\My publications\SNP analysis\SNP Paper\BMC genetics\Supplementary Figures\Additional file Fig. S5.jpg"/>
                    <pic:cNvPicPr>
                      <a:picLocks noChangeAspect="1" noChangeArrowheads="1"/>
                    </pic:cNvPicPr>
                  </pic:nvPicPr>
                  <pic:blipFill>
                    <a:blip r:embed="rId13" cstate="print"/>
                    <a:srcRect/>
                    <a:stretch>
                      <a:fillRect/>
                    </a:stretch>
                  </pic:blipFill>
                  <pic:spPr bwMode="auto">
                    <a:xfrm>
                      <a:off x="0" y="0"/>
                      <a:ext cx="3248025" cy="2988945"/>
                    </a:xfrm>
                    <a:prstGeom prst="rect">
                      <a:avLst/>
                    </a:prstGeom>
                    <a:noFill/>
                    <a:ln w="9525">
                      <a:noFill/>
                      <a:miter lim="800000"/>
                      <a:headEnd/>
                      <a:tailEnd/>
                    </a:ln>
                  </pic:spPr>
                </pic:pic>
              </a:graphicData>
            </a:graphic>
          </wp:inline>
        </w:drawing>
      </w:r>
    </w:p>
    <w:p w:rsidR="00460CD4" w:rsidRPr="0026421A" w:rsidRDefault="00460CD4" w:rsidP="00EA0174">
      <w:pPr>
        <w:spacing w:line="360" w:lineRule="auto"/>
        <w:jc w:val="both"/>
        <w:rPr>
          <w:rFonts w:ascii="Times New Roman" w:hAnsi="Times New Roman" w:cs="Times New Roman"/>
          <w:bCs/>
          <w:color w:val="000000" w:themeColor="text1"/>
          <w:kern w:val="24"/>
          <w:sz w:val="24"/>
          <w:szCs w:val="24"/>
        </w:rPr>
      </w:pPr>
    </w:p>
    <w:p w:rsidR="00EA0174" w:rsidRDefault="00E500FE" w:rsidP="00EA0174">
      <w:pPr>
        <w:spacing w:line="360" w:lineRule="auto"/>
        <w:jc w:val="both"/>
        <w:rPr>
          <w:rFonts w:ascii="Times New Roman" w:hAnsi="Times New Roman" w:cs="Times New Roman"/>
          <w:bCs/>
          <w:color w:val="000000" w:themeColor="text1"/>
          <w:kern w:val="24"/>
          <w:sz w:val="24"/>
          <w:szCs w:val="24"/>
        </w:rPr>
      </w:pPr>
      <w:r w:rsidRPr="0026421A">
        <w:rPr>
          <w:rFonts w:ascii="Times New Roman" w:hAnsi="Times New Roman" w:cs="Times New Roman"/>
          <w:b/>
          <w:color w:val="000000" w:themeColor="text1"/>
          <w:sz w:val="24"/>
          <w:szCs w:val="24"/>
        </w:rPr>
        <w:t>Fig</w:t>
      </w:r>
      <w:r>
        <w:rPr>
          <w:rFonts w:ascii="Times New Roman" w:hAnsi="Times New Roman" w:cs="Times New Roman"/>
          <w:b/>
          <w:color w:val="000000" w:themeColor="text1"/>
          <w:sz w:val="24"/>
          <w:szCs w:val="24"/>
        </w:rPr>
        <w:t>ure</w:t>
      </w:r>
      <w:r w:rsidR="00EA0174" w:rsidRPr="0026421A">
        <w:rPr>
          <w:rFonts w:ascii="Times New Roman" w:hAnsi="Times New Roman" w:cs="Times New Roman"/>
          <w:b/>
          <w:color w:val="000000" w:themeColor="text1"/>
          <w:sz w:val="24"/>
          <w:szCs w:val="24"/>
        </w:rPr>
        <w:t xml:space="preserve"> S</w:t>
      </w:r>
      <w:r w:rsidR="00FC163A">
        <w:rPr>
          <w:rFonts w:ascii="Times New Roman" w:hAnsi="Times New Roman" w:cs="Times New Roman"/>
          <w:b/>
          <w:color w:val="000000" w:themeColor="text1"/>
          <w:sz w:val="24"/>
          <w:szCs w:val="24"/>
        </w:rPr>
        <w:t>7</w:t>
      </w:r>
      <w:r w:rsidR="00EA0174" w:rsidRPr="0026421A">
        <w:rPr>
          <w:rFonts w:ascii="Times New Roman" w:hAnsi="Times New Roman" w:cs="Times New Roman"/>
          <w:b/>
          <w:color w:val="000000" w:themeColor="text1"/>
          <w:sz w:val="24"/>
          <w:szCs w:val="24"/>
        </w:rPr>
        <w:t xml:space="preserve"> </w:t>
      </w:r>
      <w:r w:rsidR="00EA0174" w:rsidRPr="009018F8">
        <w:rPr>
          <w:rFonts w:ascii="Times New Roman" w:hAnsi="Times New Roman" w:cs="Times New Roman"/>
          <w:b/>
          <w:color w:val="000000" w:themeColor="text1"/>
          <w:sz w:val="24"/>
          <w:szCs w:val="24"/>
        </w:rPr>
        <w:t xml:space="preserve">Ramachandran Plot </w:t>
      </w:r>
      <w:r w:rsidR="00EA0174" w:rsidRPr="009018F8">
        <w:rPr>
          <w:rFonts w:ascii="Times New Roman" w:hAnsi="Times New Roman" w:cs="Times New Roman"/>
          <w:b/>
          <w:bCs/>
          <w:color w:val="000000" w:themeColor="text1"/>
          <w:kern w:val="24"/>
          <w:sz w:val="24"/>
          <w:szCs w:val="24"/>
        </w:rPr>
        <w:t>of MYLPF</w:t>
      </w:r>
      <w:r w:rsidR="00EA0174">
        <w:rPr>
          <w:rFonts w:ascii="Times New Roman" w:hAnsi="Times New Roman" w:cs="Times New Roman"/>
          <w:bCs/>
          <w:color w:val="000000" w:themeColor="text1"/>
          <w:kern w:val="24"/>
          <w:sz w:val="24"/>
          <w:szCs w:val="24"/>
        </w:rPr>
        <w:t>.</w:t>
      </w:r>
      <w:r w:rsidR="00EA0174" w:rsidRPr="0026421A">
        <w:rPr>
          <w:rFonts w:ascii="Times New Roman" w:hAnsi="Times New Roman" w:cs="Times New Roman"/>
          <w:bCs/>
          <w:color w:val="000000" w:themeColor="text1"/>
          <w:kern w:val="24"/>
          <w:sz w:val="24"/>
          <w:szCs w:val="24"/>
        </w:rPr>
        <w:t xml:space="preserve"> </w:t>
      </w:r>
      <w:r w:rsidR="00460CD4">
        <w:rPr>
          <w:rFonts w:ascii="Times New Roman" w:hAnsi="Times New Roman" w:cs="Times New Roman"/>
          <w:bCs/>
          <w:color w:val="000000" w:themeColor="text1"/>
          <w:kern w:val="24"/>
          <w:sz w:val="24"/>
          <w:szCs w:val="24"/>
        </w:rPr>
        <w:t xml:space="preserve">The plot </w:t>
      </w:r>
      <w:r w:rsidR="00EA0174" w:rsidRPr="0026421A">
        <w:rPr>
          <w:rFonts w:ascii="Times New Roman" w:hAnsi="Times New Roman" w:cs="Times New Roman"/>
          <w:color w:val="000000" w:themeColor="text1"/>
          <w:sz w:val="24"/>
          <w:szCs w:val="24"/>
        </w:rPr>
        <w:t>represents</w:t>
      </w:r>
      <w:r w:rsidR="00EA0174" w:rsidRPr="0026421A">
        <w:rPr>
          <w:rFonts w:ascii="Times New Roman" w:hAnsi="Times New Roman" w:cs="Times New Roman"/>
          <w:bCs/>
          <w:color w:val="000000" w:themeColor="text1"/>
          <w:kern w:val="24"/>
          <w:sz w:val="24"/>
          <w:szCs w:val="24"/>
        </w:rPr>
        <w:t xml:space="preserve"> the favored, allowed, and "generously allowed" regions as defined by ProCheck</w:t>
      </w:r>
      <w:r w:rsidR="00FC163A" w:rsidRPr="00FC163A">
        <w:rPr>
          <w:rFonts w:ascii="Times New Roman" w:hAnsi="Times New Roman" w:cs="Times New Roman"/>
          <w:bCs/>
          <w:kern w:val="24"/>
          <w:sz w:val="24"/>
          <w:szCs w:val="24"/>
        </w:rPr>
        <w:t xml:space="preserve"> </w:t>
      </w:r>
      <w:r w:rsidR="00FC163A" w:rsidRPr="00FC163A">
        <w:rPr>
          <w:rFonts w:ascii="Times New Roman" w:hAnsi="Times New Roman" w:cs="Times New Roman"/>
          <w:bCs/>
          <w:color w:val="0070C0"/>
          <w:kern w:val="24"/>
          <w:sz w:val="24"/>
          <w:szCs w:val="24"/>
        </w:rPr>
        <w:t>for MYLPF</w:t>
      </w:r>
      <w:r w:rsidR="00EA0174" w:rsidRPr="0026421A">
        <w:rPr>
          <w:rFonts w:ascii="Times New Roman" w:hAnsi="Times New Roman" w:cs="Times New Roman"/>
          <w:bCs/>
          <w:color w:val="000000" w:themeColor="text1"/>
          <w:kern w:val="24"/>
          <w:sz w:val="24"/>
          <w:szCs w:val="24"/>
        </w:rPr>
        <w:t>.</w:t>
      </w:r>
    </w:p>
    <w:p w:rsidR="00460CD4" w:rsidRDefault="00460CD4" w:rsidP="00EA0174">
      <w:pPr>
        <w:spacing w:line="360" w:lineRule="auto"/>
        <w:jc w:val="both"/>
        <w:rPr>
          <w:rFonts w:ascii="Times New Roman" w:hAnsi="Times New Roman" w:cs="Times New Roman"/>
          <w:bCs/>
          <w:color w:val="000000" w:themeColor="text1"/>
          <w:kern w:val="24"/>
          <w:sz w:val="24"/>
          <w:szCs w:val="24"/>
        </w:rPr>
      </w:pPr>
    </w:p>
    <w:p w:rsidR="00D36F2D" w:rsidRPr="0026421A" w:rsidRDefault="00D36F2D" w:rsidP="00D36F2D">
      <w:pPr>
        <w:spacing w:line="360" w:lineRule="auto"/>
        <w:jc w:val="center"/>
        <w:rPr>
          <w:rFonts w:ascii="Times New Roman" w:hAnsi="Times New Roman" w:cs="Times New Roman"/>
          <w:bCs/>
          <w:color w:val="000000" w:themeColor="text1"/>
          <w:kern w:val="24"/>
          <w:sz w:val="24"/>
          <w:szCs w:val="24"/>
        </w:rPr>
      </w:pPr>
      <w:r>
        <w:rPr>
          <w:rFonts w:ascii="Times New Roman" w:hAnsi="Times New Roman" w:cs="Times New Roman"/>
          <w:bCs/>
          <w:noProof/>
          <w:color w:val="000000" w:themeColor="text1"/>
          <w:kern w:val="24"/>
          <w:sz w:val="24"/>
          <w:szCs w:val="24"/>
        </w:rPr>
        <w:lastRenderedPageBreak/>
        <w:drawing>
          <wp:inline distT="0" distB="0" distL="0" distR="0">
            <wp:extent cx="3834765" cy="3009265"/>
            <wp:effectExtent l="19050" t="0" r="0" b="0"/>
            <wp:docPr id="6" name="Picture 6" descr="D:\MGHOSH\My publications\SNP analysis\SNP Paper\BMC genetics\Supplementary Figures\Additional file Fig. 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GHOSH\My publications\SNP analysis\SNP Paper\BMC genetics\Supplementary Figures\Additional file Fig. S6.jpg"/>
                    <pic:cNvPicPr>
                      <a:picLocks noChangeAspect="1" noChangeArrowheads="1"/>
                    </pic:cNvPicPr>
                  </pic:nvPicPr>
                  <pic:blipFill>
                    <a:blip r:embed="rId14" cstate="print"/>
                    <a:srcRect/>
                    <a:stretch>
                      <a:fillRect/>
                    </a:stretch>
                  </pic:blipFill>
                  <pic:spPr bwMode="auto">
                    <a:xfrm>
                      <a:off x="0" y="0"/>
                      <a:ext cx="3834765" cy="3009265"/>
                    </a:xfrm>
                    <a:prstGeom prst="rect">
                      <a:avLst/>
                    </a:prstGeom>
                    <a:noFill/>
                    <a:ln w="9525">
                      <a:noFill/>
                      <a:miter lim="800000"/>
                      <a:headEnd/>
                      <a:tailEnd/>
                    </a:ln>
                  </pic:spPr>
                </pic:pic>
              </a:graphicData>
            </a:graphic>
          </wp:inline>
        </w:drawing>
      </w:r>
    </w:p>
    <w:p w:rsidR="00627617" w:rsidRDefault="00E500FE" w:rsidP="00D36F2D">
      <w:pPr>
        <w:spacing w:line="360" w:lineRule="auto"/>
        <w:jc w:val="both"/>
        <w:rPr>
          <w:rFonts w:ascii="Times New Roman" w:hAnsi="Times New Roman" w:cs="Times New Roman"/>
          <w:b/>
          <w:sz w:val="24"/>
          <w:szCs w:val="24"/>
        </w:rPr>
      </w:pPr>
      <w:r w:rsidRPr="0026421A">
        <w:rPr>
          <w:rFonts w:ascii="Times New Roman" w:hAnsi="Times New Roman" w:cs="Times New Roman"/>
          <w:b/>
          <w:color w:val="000000" w:themeColor="text1"/>
          <w:sz w:val="24"/>
          <w:szCs w:val="24"/>
        </w:rPr>
        <w:t>Fig</w:t>
      </w:r>
      <w:r>
        <w:rPr>
          <w:rFonts w:ascii="Times New Roman" w:hAnsi="Times New Roman" w:cs="Times New Roman"/>
          <w:b/>
          <w:color w:val="000000" w:themeColor="text1"/>
          <w:sz w:val="24"/>
          <w:szCs w:val="24"/>
        </w:rPr>
        <w:t>ure</w:t>
      </w:r>
      <w:r w:rsidR="00EA0174" w:rsidRPr="00D722AA">
        <w:rPr>
          <w:rFonts w:ascii="Times New Roman" w:hAnsi="Times New Roman" w:cs="Times New Roman"/>
          <w:b/>
          <w:color w:val="000000" w:themeColor="text1"/>
          <w:sz w:val="24"/>
          <w:szCs w:val="24"/>
        </w:rPr>
        <w:t xml:space="preserve"> S</w:t>
      </w:r>
      <w:r w:rsidR="00FC163A">
        <w:rPr>
          <w:rFonts w:ascii="Times New Roman" w:hAnsi="Times New Roman" w:cs="Times New Roman"/>
          <w:b/>
          <w:color w:val="000000" w:themeColor="text1"/>
          <w:sz w:val="24"/>
          <w:szCs w:val="24"/>
        </w:rPr>
        <w:t>8</w:t>
      </w:r>
      <w:r w:rsidR="00EA0174" w:rsidRPr="002B6005">
        <w:rPr>
          <w:rFonts w:ascii="Times New Roman" w:hAnsi="Times New Roman" w:cs="Times New Roman"/>
          <w:color w:val="000000" w:themeColor="text1"/>
          <w:sz w:val="24"/>
          <w:szCs w:val="24"/>
        </w:rPr>
        <w:t xml:space="preserve"> </w:t>
      </w:r>
      <w:r w:rsidR="00EA0174" w:rsidRPr="009018F8">
        <w:rPr>
          <w:rFonts w:ascii="Times New Roman" w:hAnsi="Times New Roman" w:cs="Times New Roman"/>
          <w:b/>
          <w:color w:val="000000" w:themeColor="text1"/>
          <w:sz w:val="24"/>
          <w:szCs w:val="24"/>
        </w:rPr>
        <w:t>The RMSD values of all backbone atoms of MYH1- MYLPF protein complexes.</w:t>
      </w:r>
      <w:r w:rsidR="00EA0174" w:rsidRPr="0026421A">
        <w:rPr>
          <w:rFonts w:ascii="Times New Roman" w:hAnsi="Times New Roman" w:cs="Times New Roman"/>
          <w:color w:val="000000" w:themeColor="text1"/>
          <w:sz w:val="24"/>
          <w:szCs w:val="24"/>
        </w:rPr>
        <w:t xml:space="preserve"> The RMSD (in nanometer) is at ordinate and Time (in nano-second) at abscissa. The structural simulations for the native </w:t>
      </w:r>
      <w:r w:rsidR="00EA0174" w:rsidRPr="0026421A">
        <w:rPr>
          <w:rFonts w:ascii="Times New Roman" w:hAnsi="Times New Roman" w:cs="Times New Roman"/>
          <w:i/>
          <w:color w:val="000000" w:themeColor="text1"/>
          <w:sz w:val="24"/>
          <w:szCs w:val="24"/>
        </w:rPr>
        <w:t>MYH1</w:t>
      </w:r>
      <w:r w:rsidR="00EA0174" w:rsidRPr="0026421A">
        <w:rPr>
          <w:rFonts w:ascii="Times New Roman" w:hAnsi="Times New Roman" w:cs="Times New Roman"/>
          <w:color w:val="000000" w:themeColor="text1"/>
          <w:sz w:val="24"/>
          <w:szCs w:val="24"/>
        </w:rPr>
        <w:t xml:space="preserve"> (green), mutant </w:t>
      </w:r>
      <w:r w:rsidR="00EA0174" w:rsidRPr="0026421A">
        <w:rPr>
          <w:rFonts w:ascii="Times New Roman" w:hAnsi="Times New Roman" w:cs="Times New Roman"/>
          <w:i/>
          <w:color w:val="000000" w:themeColor="text1"/>
          <w:sz w:val="24"/>
          <w:szCs w:val="24"/>
        </w:rPr>
        <w:t>MYH1</w:t>
      </w:r>
      <w:r w:rsidR="00EA0174" w:rsidRPr="0026421A">
        <w:rPr>
          <w:rFonts w:ascii="Times New Roman" w:hAnsi="Times New Roman" w:cs="Times New Roman"/>
          <w:color w:val="000000" w:themeColor="text1"/>
          <w:sz w:val="24"/>
          <w:szCs w:val="24"/>
        </w:rPr>
        <w:t xml:space="preserve"> L884T (blue),</w:t>
      </w:r>
      <w:r w:rsidR="00EA0174">
        <w:rPr>
          <w:rFonts w:ascii="Times New Roman" w:hAnsi="Times New Roman" w:cs="Times New Roman"/>
          <w:color w:val="000000" w:themeColor="text1"/>
          <w:sz w:val="24"/>
          <w:szCs w:val="24"/>
        </w:rPr>
        <w:t xml:space="preserve"> </w:t>
      </w:r>
      <w:r w:rsidR="00EA0174" w:rsidRPr="0026421A">
        <w:rPr>
          <w:rFonts w:ascii="Times New Roman" w:hAnsi="Times New Roman" w:cs="Times New Roman"/>
          <w:color w:val="000000" w:themeColor="text1"/>
          <w:sz w:val="24"/>
          <w:szCs w:val="24"/>
        </w:rPr>
        <w:t>K972C (black), N981G (pink) and Q1285C (red) complexes with MYLPF.</w:t>
      </w:r>
    </w:p>
    <w:sectPr w:rsidR="00627617" w:rsidSect="00627617">
      <w:footerReference w:type="default" r:id="rId15"/>
      <w:pgSz w:w="11907" w:h="16839" w:code="9"/>
      <w:pgMar w:top="1440" w:right="1440" w:bottom="1440" w:left="1440" w:header="720" w:footer="720" w:gutter="0"/>
      <w:lnNumType w:countBy="1" w:restart="continuou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F0F" w:rsidRDefault="008B4F0F" w:rsidP="00627617">
      <w:pPr>
        <w:spacing w:after="0" w:line="240" w:lineRule="auto"/>
      </w:pPr>
      <w:r>
        <w:separator/>
      </w:r>
    </w:p>
  </w:endnote>
  <w:endnote w:type="continuationSeparator" w:id="1">
    <w:p w:rsidR="008B4F0F" w:rsidRDefault="008B4F0F" w:rsidP="006276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013547"/>
      <w:docPartObj>
        <w:docPartGallery w:val="Page Numbers (Bottom of Page)"/>
        <w:docPartUnique/>
      </w:docPartObj>
    </w:sdtPr>
    <w:sdtContent>
      <w:p w:rsidR="00627617" w:rsidRDefault="00730FB7">
        <w:pPr>
          <w:pStyle w:val="Footer"/>
          <w:jc w:val="center"/>
        </w:pPr>
        <w:fldSimple w:instr=" PAGE   \* MERGEFORMAT ">
          <w:r w:rsidR="007626AE">
            <w:rPr>
              <w:noProof/>
            </w:rPr>
            <w:t>9</w:t>
          </w:r>
        </w:fldSimple>
      </w:p>
    </w:sdtContent>
  </w:sdt>
  <w:p w:rsidR="00627617" w:rsidRDefault="006276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F0F" w:rsidRDefault="008B4F0F" w:rsidP="00627617">
      <w:pPr>
        <w:spacing w:after="0" w:line="240" w:lineRule="auto"/>
      </w:pPr>
      <w:r>
        <w:separator/>
      </w:r>
    </w:p>
  </w:footnote>
  <w:footnote w:type="continuationSeparator" w:id="1">
    <w:p w:rsidR="008B4F0F" w:rsidRDefault="008B4F0F" w:rsidP="006276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26C22"/>
    <w:multiLevelType w:val="hybridMultilevel"/>
    <w:tmpl w:val="F8DE0132"/>
    <w:lvl w:ilvl="0" w:tplc="1C58C928">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120278"/>
    <w:multiLevelType w:val="hybridMultilevel"/>
    <w:tmpl w:val="A58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A0174"/>
    <w:rsid w:val="00016B24"/>
    <w:rsid w:val="00060CEF"/>
    <w:rsid w:val="000B4625"/>
    <w:rsid w:val="00106E47"/>
    <w:rsid w:val="00145CD3"/>
    <w:rsid w:val="00171B78"/>
    <w:rsid w:val="001873E4"/>
    <w:rsid w:val="00190D6A"/>
    <w:rsid w:val="001B5E5D"/>
    <w:rsid w:val="001D564A"/>
    <w:rsid w:val="00283DD9"/>
    <w:rsid w:val="00335F48"/>
    <w:rsid w:val="003C07F6"/>
    <w:rsid w:val="003C4E4C"/>
    <w:rsid w:val="00456387"/>
    <w:rsid w:val="00460CD4"/>
    <w:rsid w:val="004C09C3"/>
    <w:rsid w:val="00556746"/>
    <w:rsid w:val="005A1F12"/>
    <w:rsid w:val="005B3445"/>
    <w:rsid w:val="005C15AE"/>
    <w:rsid w:val="005D3254"/>
    <w:rsid w:val="005D69E2"/>
    <w:rsid w:val="00627617"/>
    <w:rsid w:val="006425DD"/>
    <w:rsid w:val="00673500"/>
    <w:rsid w:val="006A2FAD"/>
    <w:rsid w:val="006B43D0"/>
    <w:rsid w:val="00723167"/>
    <w:rsid w:val="00730FB7"/>
    <w:rsid w:val="00745BA6"/>
    <w:rsid w:val="007626AE"/>
    <w:rsid w:val="00773587"/>
    <w:rsid w:val="007D0B29"/>
    <w:rsid w:val="007D26E7"/>
    <w:rsid w:val="007D62BD"/>
    <w:rsid w:val="007D6A51"/>
    <w:rsid w:val="00826D28"/>
    <w:rsid w:val="008626EC"/>
    <w:rsid w:val="008B4F0F"/>
    <w:rsid w:val="008C1AFC"/>
    <w:rsid w:val="009018F8"/>
    <w:rsid w:val="0091716E"/>
    <w:rsid w:val="00976084"/>
    <w:rsid w:val="00990374"/>
    <w:rsid w:val="00A31028"/>
    <w:rsid w:val="00A332D3"/>
    <w:rsid w:val="00B239D6"/>
    <w:rsid w:val="00B57291"/>
    <w:rsid w:val="00B614BE"/>
    <w:rsid w:val="00BD0700"/>
    <w:rsid w:val="00C33968"/>
    <w:rsid w:val="00C41A70"/>
    <w:rsid w:val="00C81423"/>
    <w:rsid w:val="00CB2675"/>
    <w:rsid w:val="00CB6FC0"/>
    <w:rsid w:val="00CE21D8"/>
    <w:rsid w:val="00CE5E3C"/>
    <w:rsid w:val="00CF1B93"/>
    <w:rsid w:val="00D25DBC"/>
    <w:rsid w:val="00D36F2D"/>
    <w:rsid w:val="00DC0328"/>
    <w:rsid w:val="00DC4ECA"/>
    <w:rsid w:val="00DC6924"/>
    <w:rsid w:val="00DC7489"/>
    <w:rsid w:val="00E500FE"/>
    <w:rsid w:val="00EA0174"/>
    <w:rsid w:val="00EB42EB"/>
    <w:rsid w:val="00EF5A41"/>
    <w:rsid w:val="00F3763E"/>
    <w:rsid w:val="00FC163A"/>
    <w:rsid w:val="00FE117D"/>
    <w:rsid w:val="00FE7DE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1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174"/>
    <w:pPr>
      <w:ind w:left="720"/>
      <w:contextualSpacing/>
    </w:pPr>
  </w:style>
  <w:style w:type="table" w:styleId="TableGrid">
    <w:name w:val="Table Grid"/>
    <w:basedOn w:val="TableNormal"/>
    <w:uiPriority w:val="59"/>
    <w:rsid w:val="00BD07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070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276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7617"/>
  </w:style>
  <w:style w:type="paragraph" w:styleId="Footer">
    <w:name w:val="footer"/>
    <w:basedOn w:val="Normal"/>
    <w:link w:val="FooterChar"/>
    <w:uiPriority w:val="99"/>
    <w:unhideWhenUsed/>
    <w:rsid w:val="0062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17"/>
  </w:style>
  <w:style w:type="character" w:styleId="LineNumber">
    <w:name w:val="line number"/>
    <w:basedOn w:val="DefaultParagraphFont"/>
    <w:uiPriority w:val="99"/>
    <w:semiHidden/>
    <w:unhideWhenUsed/>
    <w:rsid w:val="00627617"/>
  </w:style>
  <w:style w:type="paragraph" w:styleId="BalloonText">
    <w:name w:val="Balloon Text"/>
    <w:basedOn w:val="Normal"/>
    <w:link w:val="BalloonTextChar"/>
    <w:uiPriority w:val="99"/>
    <w:semiHidden/>
    <w:unhideWhenUsed/>
    <w:rsid w:val="00460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12</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us-pc2</dc:creator>
  <cp:lastModifiedBy>us-pc2</cp:lastModifiedBy>
  <cp:revision>38</cp:revision>
  <dcterms:created xsi:type="dcterms:W3CDTF">2015-07-14T02:14:00Z</dcterms:created>
  <dcterms:modified xsi:type="dcterms:W3CDTF">2016-01-02T06:14:00Z</dcterms:modified>
</cp:coreProperties>
</file>