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153" w:rsidRPr="00F70153" w:rsidRDefault="00F70153" w:rsidP="00F70153">
      <w:pPr>
        <w:spacing w:after="0" w:line="432" w:lineRule="auto"/>
        <w:jc w:val="center"/>
        <w:rPr>
          <w:rFonts w:ascii="Arial" w:hAnsi="Arial" w:cs="Arial"/>
          <w:b/>
          <w:sz w:val="32"/>
          <w:szCs w:val="32"/>
          <w:u w:val="single"/>
          <w:lang w:val="en-US"/>
        </w:rPr>
      </w:pPr>
      <w:r>
        <w:rPr>
          <w:rFonts w:ascii="Arial" w:hAnsi="Arial" w:cs="Arial"/>
          <w:b/>
          <w:sz w:val="32"/>
          <w:szCs w:val="32"/>
          <w:u w:val="single"/>
          <w:lang w:val="en-US"/>
        </w:rPr>
        <w:t>Additional file 1</w:t>
      </w:r>
    </w:p>
    <w:p w:rsidR="00F70153" w:rsidRDefault="00F70153" w:rsidP="00F70153">
      <w:pPr>
        <w:spacing w:after="0" w:line="432" w:lineRule="auto"/>
        <w:jc w:val="center"/>
        <w:rPr>
          <w:rFonts w:ascii="Arial" w:hAnsi="Arial" w:cs="Arial"/>
          <w:b/>
          <w:sz w:val="32"/>
          <w:szCs w:val="32"/>
          <w:lang w:val="en-US"/>
        </w:rPr>
      </w:pPr>
    </w:p>
    <w:p w:rsidR="00F70153" w:rsidRPr="004E464F" w:rsidRDefault="00F70153" w:rsidP="00F70153">
      <w:pPr>
        <w:spacing w:after="0" w:line="432" w:lineRule="auto"/>
        <w:jc w:val="center"/>
        <w:rPr>
          <w:rFonts w:ascii="Arial" w:hAnsi="Arial" w:cs="Arial"/>
          <w:b/>
          <w:lang w:val="en-US"/>
        </w:rPr>
      </w:pPr>
      <w:r w:rsidRPr="00654702">
        <w:rPr>
          <w:rFonts w:ascii="Arial" w:hAnsi="Arial" w:cs="Arial"/>
          <w:b/>
          <w:sz w:val="32"/>
          <w:szCs w:val="32"/>
          <w:lang w:val="en-US"/>
        </w:rPr>
        <w:t>Comparison of weighting approaches for genetic risk scores in gene-e</w:t>
      </w:r>
      <w:r>
        <w:rPr>
          <w:rFonts w:ascii="Arial" w:hAnsi="Arial" w:cs="Arial"/>
          <w:b/>
          <w:sz w:val="32"/>
          <w:szCs w:val="32"/>
          <w:lang w:val="en-US"/>
        </w:rPr>
        <w:t>nvironment interaction studies</w:t>
      </w:r>
    </w:p>
    <w:p w:rsidR="00F70153" w:rsidRPr="00FB3EC5" w:rsidRDefault="00F70153" w:rsidP="00F70153">
      <w:pPr>
        <w:spacing w:after="0" w:line="432" w:lineRule="auto"/>
        <w:jc w:val="both"/>
        <w:rPr>
          <w:rFonts w:ascii="Arial" w:hAnsi="Arial" w:cs="Arial"/>
          <w:b/>
          <w:sz w:val="32"/>
          <w:szCs w:val="32"/>
          <w:lang w:val="en-US"/>
        </w:rPr>
      </w:pPr>
    </w:p>
    <w:p w:rsidR="00F70153" w:rsidRPr="0013664B" w:rsidRDefault="00F70153" w:rsidP="00F70153">
      <w:pPr>
        <w:spacing w:after="0" w:line="432" w:lineRule="auto"/>
        <w:jc w:val="both"/>
        <w:rPr>
          <w:rFonts w:ascii="Arial" w:hAnsi="Arial" w:cs="Arial"/>
          <w:b/>
          <w:sz w:val="32"/>
          <w:szCs w:val="32"/>
        </w:rPr>
      </w:pPr>
      <w:proofErr w:type="spellStart"/>
      <w:r w:rsidRPr="0013664B">
        <w:rPr>
          <w:rFonts w:ascii="Arial" w:hAnsi="Arial" w:cs="Arial"/>
          <w:b/>
          <w:sz w:val="32"/>
          <w:szCs w:val="32"/>
        </w:rPr>
        <w:t>Authors</w:t>
      </w:r>
      <w:proofErr w:type="spellEnd"/>
    </w:p>
    <w:p w:rsidR="00F70153" w:rsidRPr="0013664B" w:rsidRDefault="00F70153" w:rsidP="00F70153">
      <w:pPr>
        <w:spacing w:after="0" w:line="432" w:lineRule="auto"/>
        <w:jc w:val="both"/>
        <w:rPr>
          <w:rFonts w:ascii="Arial" w:hAnsi="Arial" w:cs="Arial"/>
          <w:vertAlign w:val="subscript"/>
        </w:rPr>
      </w:pPr>
      <w:r w:rsidRPr="0013664B">
        <w:rPr>
          <w:rFonts w:ascii="Arial" w:hAnsi="Arial" w:cs="Arial"/>
        </w:rPr>
        <w:t>Anke Hüls</w:t>
      </w:r>
      <w:r w:rsidRPr="0013664B">
        <w:rPr>
          <w:rFonts w:ascii="Arial" w:hAnsi="Arial" w:cs="Arial"/>
          <w:vertAlign w:val="superscript"/>
        </w:rPr>
        <w:t>1,2</w:t>
      </w:r>
      <w:r w:rsidRPr="0013664B">
        <w:rPr>
          <w:rFonts w:ascii="Arial" w:hAnsi="Arial" w:cs="Arial"/>
        </w:rPr>
        <w:t>, Ursula Krämer</w:t>
      </w:r>
      <w:r w:rsidRPr="0013664B">
        <w:rPr>
          <w:rFonts w:ascii="Arial" w:hAnsi="Arial" w:cs="Arial"/>
          <w:vertAlign w:val="superscript"/>
        </w:rPr>
        <w:t>1</w:t>
      </w:r>
      <w:r w:rsidRPr="0013664B">
        <w:rPr>
          <w:rFonts w:ascii="Arial" w:hAnsi="Arial" w:cs="Arial"/>
        </w:rPr>
        <w:t xml:space="preserve">, </w:t>
      </w:r>
      <w:r>
        <w:rPr>
          <w:rFonts w:ascii="Arial" w:hAnsi="Arial" w:cs="Arial"/>
        </w:rPr>
        <w:t>Christopher Carlsten</w:t>
      </w:r>
      <w:r w:rsidRPr="00931B65">
        <w:rPr>
          <w:rFonts w:ascii="Arial" w:hAnsi="Arial" w:cs="Arial"/>
          <w:vertAlign w:val="superscript"/>
        </w:rPr>
        <w:t>3</w:t>
      </w:r>
      <w:r>
        <w:rPr>
          <w:rFonts w:ascii="Arial" w:hAnsi="Arial" w:cs="Arial"/>
          <w:vertAlign w:val="superscript"/>
        </w:rPr>
        <w:t>,4,5</w:t>
      </w:r>
      <w:r>
        <w:rPr>
          <w:rFonts w:ascii="Arial" w:hAnsi="Arial" w:cs="Arial"/>
        </w:rPr>
        <w:t xml:space="preserve">, </w:t>
      </w:r>
      <w:r w:rsidRPr="0013664B">
        <w:rPr>
          <w:rFonts w:ascii="Arial" w:hAnsi="Arial" w:cs="Arial"/>
        </w:rPr>
        <w:t>Tamara Schikowski</w:t>
      </w:r>
      <w:r w:rsidRPr="0013664B">
        <w:rPr>
          <w:rFonts w:ascii="Arial" w:hAnsi="Arial" w:cs="Arial"/>
          <w:vertAlign w:val="superscript"/>
        </w:rPr>
        <w:t>1</w:t>
      </w:r>
      <w:r w:rsidRPr="0013664B">
        <w:rPr>
          <w:rFonts w:ascii="Arial" w:hAnsi="Arial" w:cs="Arial"/>
        </w:rPr>
        <w:t>, Katja Ickstadt</w:t>
      </w:r>
      <w:r w:rsidRPr="0013664B">
        <w:rPr>
          <w:rFonts w:ascii="Arial" w:hAnsi="Arial" w:cs="Arial"/>
          <w:vertAlign w:val="superscript"/>
        </w:rPr>
        <w:t>2</w:t>
      </w:r>
      <w:r w:rsidRPr="0013664B">
        <w:rPr>
          <w:rFonts w:ascii="Arial" w:hAnsi="Arial" w:cs="Arial"/>
        </w:rPr>
        <w:t>*, Holger Schwender</w:t>
      </w:r>
      <w:r>
        <w:rPr>
          <w:rFonts w:ascii="Arial" w:hAnsi="Arial" w:cs="Arial"/>
          <w:vertAlign w:val="superscript"/>
        </w:rPr>
        <w:t>6</w:t>
      </w:r>
      <w:r w:rsidRPr="0013664B">
        <w:rPr>
          <w:rFonts w:ascii="Arial" w:hAnsi="Arial" w:cs="Arial"/>
        </w:rPr>
        <w:t>*</w:t>
      </w:r>
    </w:p>
    <w:p w:rsidR="00F70153" w:rsidRPr="004E464F" w:rsidRDefault="00F70153" w:rsidP="00F70153">
      <w:pPr>
        <w:spacing w:after="0" w:line="432" w:lineRule="auto"/>
        <w:jc w:val="both"/>
        <w:rPr>
          <w:rFonts w:ascii="Arial" w:hAnsi="Arial" w:cs="Arial"/>
          <w:lang w:val="en-US"/>
        </w:rPr>
      </w:pPr>
      <w:r w:rsidRPr="004E464F">
        <w:rPr>
          <w:rFonts w:ascii="Arial" w:hAnsi="Arial" w:cs="Arial"/>
          <w:lang w:val="en-US"/>
        </w:rPr>
        <w:t>1: IUF-Leibniz Research Institute for Environmental Medicine, Düsseldorf, Germany.</w:t>
      </w:r>
    </w:p>
    <w:p w:rsidR="00F70153" w:rsidRPr="004E464F" w:rsidRDefault="00F70153" w:rsidP="00F70153">
      <w:pPr>
        <w:autoSpaceDE w:val="0"/>
        <w:autoSpaceDN w:val="0"/>
        <w:adjustRightInd w:val="0"/>
        <w:spacing w:after="0" w:line="432" w:lineRule="auto"/>
        <w:jc w:val="both"/>
        <w:rPr>
          <w:rFonts w:ascii="Arial" w:hAnsi="Arial" w:cs="Arial"/>
          <w:color w:val="000000"/>
          <w:lang w:val="en-US"/>
        </w:rPr>
      </w:pPr>
      <w:r w:rsidRPr="004E464F">
        <w:rPr>
          <w:rFonts w:ascii="Arial" w:hAnsi="Arial" w:cs="Arial"/>
          <w:lang w:val="en-US"/>
        </w:rPr>
        <w:t xml:space="preserve">2: </w:t>
      </w:r>
      <w:r w:rsidRPr="004E464F">
        <w:rPr>
          <w:rFonts w:ascii="Arial" w:hAnsi="Arial" w:cs="Arial"/>
          <w:color w:val="000000"/>
          <w:lang w:val="en-US"/>
        </w:rPr>
        <w:t>Faculty of Statistics, TU Dortmund University, Dortmund, Germany</w:t>
      </w:r>
    </w:p>
    <w:p w:rsidR="00F70153" w:rsidRDefault="00F70153" w:rsidP="00F70153">
      <w:pPr>
        <w:autoSpaceDE w:val="0"/>
        <w:autoSpaceDN w:val="0"/>
        <w:adjustRightInd w:val="0"/>
        <w:spacing w:after="0" w:line="432" w:lineRule="auto"/>
        <w:jc w:val="both"/>
        <w:rPr>
          <w:rFonts w:ascii="Arial" w:hAnsi="Arial" w:cs="Arial"/>
          <w:lang w:val="en-US"/>
        </w:rPr>
      </w:pPr>
      <w:r w:rsidRPr="004E464F">
        <w:rPr>
          <w:rFonts w:ascii="Arial" w:hAnsi="Arial" w:cs="Arial"/>
          <w:lang w:val="en-US"/>
        </w:rPr>
        <w:t xml:space="preserve">3: </w:t>
      </w:r>
      <w:r w:rsidRPr="00931B65">
        <w:rPr>
          <w:rFonts w:ascii="Arial" w:hAnsi="Arial" w:cs="Arial"/>
          <w:lang w:val="en-US"/>
        </w:rPr>
        <w:t>Department of Medicine, University of British Columbia, Vancouver, British Columbia, Canada</w:t>
      </w:r>
    </w:p>
    <w:p w:rsidR="00F70153" w:rsidRDefault="00F70153" w:rsidP="00F70153">
      <w:pPr>
        <w:autoSpaceDE w:val="0"/>
        <w:autoSpaceDN w:val="0"/>
        <w:adjustRightInd w:val="0"/>
        <w:spacing w:after="0" w:line="432" w:lineRule="auto"/>
        <w:jc w:val="both"/>
        <w:rPr>
          <w:rFonts w:ascii="Arial" w:hAnsi="Arial" w:cs="Arial"/>
          <w:lang w:val="en-US"/>
        </w:rPr>
      </w:pPr>
      <w:r>
        <w:rPr>
          <w:rFonts w:ascii="Arial" w:hAnsi="Arial" w:cs="Arial"/>
          <w:lang w:val="en-US"/>
        </w:rPr>
        <w:t xml:space="preserve">4: </w:t>
      </w:r>
      <w:r w:rsidRPr="00931B65">
        <w:rPr>
          <w:rFonts w:ascii="Arial" w:hAnsi="Arial" w:cs="Arial"/>
          <w:lang w:val="en-US"/>
        </w:rPr>
        <w:t>Institute for Heart and Lung Health, Vancouve</w:t>
      </w:r>
      <w:r>
        <w:rPr>
          <w:rFonts w:ascii="Arial" w:hAnsi="Arial" w:cs="Arial"/>
          <w:lang w:val="en-US"/>
        </w:rPr>
        <w:t>r, British Columbia, Canada</w:t>
      </w:r>
    </w:p>
    <w:p w:rsidR="00F70153" w:rsidRPr="00931B65" w:rsidRDefault="00F70153" w:rsidP="00F70153">
      <w:pPr>
        <w:autoSpaceDE w:val="0"/>
        <w:autoSpaceDN w:val="0"/>
        <w:adjustRightInd w:val="0"/>
        <w:spacing w:after="0" w:line="432" w:lineRule="auto"/>
        <w:jc w:val="both"/>
        <w:rPr>
          <w:rFonts w:ascii="Arial" w:hAnsi="Arial" w:cs="Arial"/>
          <w:lang w:val="en-US"/>
        </w:rPr>
      </w:pPr>
      <w:r>
        <w:rPr>
          <w:rFonts w:ascii="Arial" w:hAnsi="Arial" w:cs="Arial"/>
          <w:lang w:val="en-US"/>
        </w:rPr>
        <w:t xml:space="preserve">5: </w:t>
      </w:r>
      <w:r w:rsidRPr="00931B65">
        <w:rPr>
          <w:rFonts w:ascii="Arial" w:hAnsi="Arial" w:cs="Arial"/>
          <w:lang w:val="en-US"/>
        </w:rPr>
        <w:t>School of Population and Public Health, University of British Columbia, British Columbia,</w:t>
      </w:r>
    </w:p>
    <w:p w:rsidR="00F70153" w:rsidRPr="00A64DAC" w:rsidRDefault="00F70153" w:rsidP="00F70153">
      <w:pPr>
        <w:autoSpaceDE w:val="0"/>
        <w:autoSpaceDN w:val="0"/>
        <w:adjustRightInd w:val="0"/>
        <w:spacing w:after="0" w:line="432" w:lineRule="auto"/>
        <w:jc w:val="both"/>
        <w:rPr>
          <w:rFonts w:ascii="Arial" w:hAnsi="Arial" w:cs="Arial"/>
          <w:lang w:val="en-US"/>
        </w:rPr>
      </w:pPr>
      <w:r w:rsidRPr="00A64DAC">
        <w:rPr>
          <w:rFonts w:ascii="Arial" w:hAnsi="Arial" w:cs="Arial"/>
          <w:lang w:val="en-US"/>
        </w:rPr>
        <w:t>Canada.</w:t>
      </w:r>
    </w:p>
    <w:p w:rsidR="00F70153" w:rsidRPr="00A64DAC" w:rsidRDefault="00F70153" w:rsidP="00F70153">
      <w:pPr>
        <w:autoSpaceDE w:val="0"/>
        <w:autoSpaceDN w:val="0"/>
        <w:adjustRightInd w:val="0"/>
        <w:spacing w:after="0" w:line="432" w:lineRule="auto"/>
        <w:jc w:val="both"/>
        <w:rPr>
          <w:rFonts w:ascii="Arial" w:hAnsi="Arial" w:cs="Arial"/>
          <w:lang w:val="en-US"/>
        </w:rPr>
      </w:pPr>
      <w:r w:rsidRPr="00A64DAC">
        <w:rPr>
          <w:rFonts w:ascii="Arial" w:hAnsi="Arial" w:cs="Arial"/>
          <w:lang w:val="en-US"/>
        </w:rPr>
        <w:t>6: Mathematical Institute, Heinrich Heine University, Düsseldorf, Germany</w:t>
      </w:r>
    </w:p>
    <w:p w:rsidR="00F70153" w:rsidRPr="004E464F" w:rsidRDefault="00F70153" w:rsidP="00F70153">
      <w:pPr>
        <w:spacing w:after="0" w:line="432" w:lineRule="auto"/>
        <w:jc w:val="both"/>
        <w:rPr>
          <w:rFonts w:ascii="Arial" w:hAnsi="Arial" w:cs="Arial"/>
          <w:lang w:val="en-US"/>
        </w:rPr>
      </w:pPr>
      <w:r w:rsidRPr="004E464F">
        <w:rPr>
          <w:rFonts w:ascii="Arial" w:hAnsi="Arial" w:cs="Arial"/>
          <w:lang w:val="en-US"/>
        </w:rPr>
        <w:t>* equal contribution</w:t>
      </w:r>
    </w:p>
    <w:p w:rsidR="00F70153" w:rsidRPr="004E464F" w:rsidRDefault="00F70153" w:rsidP="00F70153">
      <w:pPr>
        <w:spacing w:after="0" w:line="432" w:lineRule="auto"/>
        <w:jc w:val="both"/>
        <w:rPr>
          <w:rFonts w:ascii="Arial" w:hAnsi="Arial" w:cs="Arial"/>
          <w:b/>
          <w:lang w:val="en-US"/>
        </w:rPr>
      </w:pPr>
    </w:p>
    <w:p w:rsidR="00F70153" w:rsidRPr="004E464F" w:rsidRDefault="00F70153" w:rsidP="00F70153">
      <w:pPr>
        <w:spacing w:after="0" w:line="432" w:lineRule="auto"/>
        <w:jc w:val="both"/>
        <w:rPr>
          <w:rFonts w:ascii="Arial" w:hAnsi="Arial" w:cs="Arial"/>
          <w:b/>
          <w:sz w:val="32"/>
          <w:szCs w:val="32"/>
          <w:lang w:val="en-US"/>
        </w:rPr>
      </w:pPr>
      <w:r w:rsidRPr="004E464F">
        <w:rPr>
          <w:rFonts w:ascii="Arial" w:hAnsi="Arial" w:cs="Arial"/>
          <w:b/>
          <w:sz w:val="32"/>
          <w:szCs w:val="32"/>
          <w:lang w:val="en-US"/>
        </w:rPr>
        <w:t>Corresponding author</w:t>
      </w:r>
    </w:p>
    <w:p w:rsidR="00F70153" w:rsidRDefault="00F70153" w:rsidP="00F70153">
      <w:pPr>
        <w:rPr>
          <w:rFonts w:ascii="Arial" w:hAnsi="Arial" w:cs="Arial"/>
          <w:b/>
          <w:lang w:val="en-US"/>
        </w:rPr>
        <w:sectPr w:rsidR="00F70153" w:rsidSect="00F70153">
          <w:pgSz w:w="11906" w:h="16838"/>
          <w:pgMar w:top="1417" w:right="1417" w:bottom="1134" w:left="1417" w:header="708" w:footer="708" w:gutter="0"/>
          <w:cols w:space="708"/>
          <w:docGrid w:linePitch="360"/>
        </w:sectPr>
      </w:pPr>
      <w:r w:rsidRPr="004E464F">
        <w:rPr>
          <w:rFonts w:ascii="Arial" w:hAnsi="Arial" w:cs="Arial"/>
          <w:u w:val="single"/>
          <w:lang w:val="en-US"/>
        </w:rPr>
        <w:t>Anke Hüls,</w:t>
      </w:r>
      <w:r w:rsidRPr="004E464F">
        <w:rPr>
          <w:rFonts w:ascii="Arial" w:hAnsi="Arial" w:cs="Arial"/>
          <w:lang w:val="en-US"/>
        </w:rPr>
        <w:t xml:space="preserve"> IUF-Leibniz Research Institute for Environmental Medicine, </w:t>
      </w:r>
      <w:proofErr w:type="spellStart"/>
      <w:r w:rsidRPr="004E464F">
        <w:rPr>
          <w:rFonts w:ascii="Arial" w:hAnsi="Arial" w:cs="Arial"/>
          <w:lang w:val="en-US"/>
        </w:rPr>
        <w:t>Auf’m</w:t>
      </w:r>
      <w:proofErr w:type="spellEnd"/>
      <w:r w:rsidRPr="004E464F">
        <w:rPr>
          <w:rFonts w:ascii="Arial" w:hAnsi="Arial" w:cs="Arial"/>
          <w:lang w:val="en-US"/>
        </w:rPr>
        <w:t xml:space="preserve"> </w:t>
      </w:r>
      <w:proofErr w:type="spellStart"/>
      <w:r w:rsidRPr="004E464F">
        <w:rPr>
          <w:rFonts w:ascii="Arial" w:hAnsi="Arial" w:cs="Arial"/>
          <w:lang w:val="en-US"/>
        </w:rPr>
        <w:t>Hennekamp</w:t>
      </w:r>
      <w:proofErr w:type="spellEnd"/>
      <w:r w:rsidRPr="004E464F">
        <w:rPr>
          <w:rFonts w:ascii="Arial" w:hAnsi="Arial" w:cs="Arial"/>
          <w:lang w:val="en-US"/>
        </w:rPr>
        <w:t xml:space="preserve"> 50, 40225 Düsseldorf, Germany, Phone number: +49 211 3389 293, E-Mail: Anke.Huels@IUF-Duesseldorf.de</w:t>
      </w:r>
    </w:p>
    <w:tbl>
      <w:tblPr>
        <w:tblW w:w="13858" w:type="dxa"/>
        <w:tblCellMar>
          <w:left w:w="0" w:type="dxa"/>
          <w:right w:w="0" w:type="dxa"/>
        </w:tblCellMar>
        <w:tblLook w:val="0600" w:firstRow="0" w:lastRow="0" w:firstColumn="0" w:lastColumn="0" w:noHBand="1" w:noVBand="1"/>
      </w:tblPr>
      <w:tblGrid>
        <w:gridCol w:w="1158"/>
        <w:gridCol w:w="1158"/>
        <w:gridCol w:w="1158"/>
        <w:gridCol w:w="1158"/>
        <w:gridCol w:w="1717"/>
        <w:gridCol w:w="1837"/>
        <w:gridCol w:w="2037"/>
        <w:gridCol w:w="1777"/>
        <w:gridCol w:w="1858"/>
      </w:tblGrid>
      <w:tr w:rsidR="00E86DED" w:rsidRPr="00E86DED" w:rsidTr="00B77B60">
        <w:trPr>
          <w:trHeight w:val="451"/>
        </w:trPr>
        <w:tc>
          <w:tcPr>
            <w:tcW w:w="13858" w:type="dxa"/>
            <w:gridSpan w:val="9"/>
            <w:tcBorders>
              <w:bottom w:val="single" w:sz="4" w:space="0" w:color="auto"/>
            </w:tcBorders>
          </w:tcPr>
          <w:p w:rsidR="00E86DED" w:rsidRPr="00E86DED" w:rsidRDefault="00E86DED" w:rsidP="00E86DED">
            <w:pPr>
              <w:rPr>
                <w:rFonts w:ascii="Arial" w:hAnsi="Arial" w:cs="Arial"/>
                <w:lang w:val="en-US"/>
              </w:rPr>
            </w:pPr>
            <w:r w:rsidRPr="00E86DED">
              <w:rPr>
                <w:rFonts w:ascii="Arial" w:hAnsi="Arial" w:cs="Arial"/>
                <w:b/>
                <w:lang w:val="en-US"/>
              </w:rPr>
              <w:lastRenderedPageBreak/>
              <w:t xml:space="preserve">Table S1: </w:t>
            </w:r>
            <w:r w:rsidR="00FD6340" w:rsidRPr="00FD6340">
              <w:rPr>
                <w:rFonts w:ascii="Arial" w:hAnsi="Arial" w:cs="Arial"/>
                <w:lang w:val="en-US"/>
              </w:rPr>
              <w:t xml:space="preserve">Simulated </w:t>
            </w:r>
            <w:r w:rsidRPr="00E86DED">
              <w:rPr>
                <w:rFonts w:ascii="Arial" w:hAnsi="Arial" w:cs="Arial"/>
                <w:lang w:val="en-US"/>
              </w:rPr>
              <w:t>Predominant interaction effects</w:t>
            </w:r>
            <w:r>
              <w:rPr>
                <w:rFonts w:ascii="Arial" w:hAnsi="Arial" w:cs="Arial"/>
                <w:lang w:val="en-US"/>
              </w:rPr>
              <w:t xml:space="preserve"> (example data for N=3,000)</w:t>
            </w:r>
            <w:r w:rsidRPr="00E86DED">
              <w:rPr>
                <w:rFonts w:ascii="Arial" w:hAnsi="Arial" w:cs="Arial"/>
                <w:lang w:val="en-US"/>
              </w:rPr>
              <w:t>. Effect</w:t>
            </w:r>
            <w:r>
              <w:rPr>
                <w:rFonts w:ascii="Arial" w:hAnsi="Arial" w:cs="Arial"/>
                <w:lang w:val="en-US"/>
              </w:rPr>
              <w:t xml:space="preserve"> estimates (odds ratios; OR)</w:t>
            </w:r>
            <w:r w:rsidRPr="00E86DED">
              <w:rPr>
                <w:rFonts w:ascii="Arial" w:hAnsi="Arial" w:cs="Arial"/>
                <w:lang w:val="en-US"/>
              </w:rPr>
              <w:t xml:space="preserve"> and </w:t>
            </w:r>
            <w:r w:rsidR="00C36B28">
              <w:rPr>
                <w:rFonts w:ascii="Arial" w:hAnsi="Arial" w:cs="Arial"/>
                <w:lang w:val="en-US"/>
              </w:rPr>
              <w:t xml:space="preserve">(raw) </w:t>
            </w:r>
            <w:r w:rsidRPr="00E86DED">
              <w:rPr>
                <w:rFonts w:ascii="Arial" w:hAnsi="Arial" w:cs="Arial"/>
                <w:lang w:val="en-US"/>
              </w:rPr>
              <w:t>p-</w:t>
            </w:r>
            <w:r>
              <w:rPr>
                <w:rFonts w:ascii="Arial" w:hAnsi="Arial" w:cs="Arial"/>
                <w:lang w:val="en-US"/>
              </w:rPr>
              <w:t>values for the marginal genetic effects (G), the environmental effects (E) and the interaction terms (</w:t>
            </w:r>
            <w:proofErr w:type="spellStart"/>
            <w:r>
              <w:rPr>
                <w:rFonts w:ascii="Arial" w:hAnsi="Arial" w:cs="Arial"/>
                <w:lang w:val="en-US"/>
              </w:rPr>
              <w:t>GxE</w:t>
            </w:r>
            <w:proofErr w:type="spellEnd"/>
            <w:r>
              <w:rPr>
                <w:rFonts w:ascii="Arial" w:hAnsi="Arial" w:cs="Arial"/>
                <w:lang w:val="en-US"/>
              </w:rPr>
              <w:t xml:space="preserve">). </w:t>
            </w:r>
            <w:r w:rsidR="00C36B28">
              <w:rPr>
                <w:rFonts w:ascii="Arial" w:hAnsi="Arial" w:cs="Arial"/>
                <w:lang w:val="en-US"/>
              </w:rPr>
              <w:t>Results from a single SNPs analysis.</w:t>
            </w:r>
          </w:p>
        </w:tc>
      </w:tr>
      <w:tr w:rsidR="00E86DED" w:rsidRPr="00E86DED" w:rsidTr="00E86DED">
        <w:trPr>
          <w:trHeight w:val="451"/>
        </w:trPr>
        <w:tc>
          <w:tcPr>
            <w:tcW w:w="1158" w:type="dxa"/>
            <w:tcBorders>
              <w:top w:val="single" w:sz="4" w:space="0" w:color="auto"/>
              <w:bottom w:val="single" w:sz="4" w:space="0" w:color="auto"/>
            </w:tcBorders>
          </w:tcPr>
          <w:p w:rsidR="00E86DED" w:rsidRPr="00E86DED" w:rsidRDefault="00E86DED" w:rsidP="00E86DED">
            <w:pPr>
              <w:spacing w:after="0" w:line="240" w:lineRule="auto"/>
              <w:textAlignment w:val="bottom"/>
              <w:rPr>
                <w:rFonts w:ascii="Arial" w:eastAsia="Times New Roman" w:hAnsi="Arial" w:cs="Arial"/>
                <w:b/>
                <w:bCs/>
                <w:color w:val="000000"/>
                <w:kern w:val="24"/>
                <w:lang w:val="en-US" w:eastAsia="de-DE"/>
              </w:rPr>
            </w:pPr>
          </w:p>
        </w:tc>
        <w:tc>
          <w:tcPr>
            <w:tcW w:w="11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SNP</w:t>
            </w:r>
          </w:p>
        </w:tc>
        <w:tc>
          <w:tcPr>
            <w:tcW w:w="11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MAF</w:t>
            </w:r>
          </w:p>
        </w:tc>
        <w:tc>
          <w:tcPr>
            <w:tcW w:w="11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OR (G)</w:t>
            </w:r>
          </w:p>
        </w:tc>
        <w:tc>
          <w:tcPr>
            <w:tcW w:w="171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p-</w:t>
            </w:r>
            <w:proofErr w:type="spellStart"/>
            <w:r w:rsidRPr="00E86DED">
              <w:rPr>
                <w:rFonts w:ascii="Arial" w:eastAsia="Times New Roman" w:hAnsi="Arial" w:cs="Arial"/>
                <w:b/>
                <w:bCs/>
                <w:color w:val="000000"/>
                <w:kern w:val="24"/>
                <w:lang w:eastAsia="de-DE"/>
              </w:rPr>
              <w:t>value</w:t>
            </w:r>
            <w:proofErr w:type="spellEnd"/>
            <w:r w:rsidRPr="00E86DED">
              <w:rPr>
                <w:rFonts w:ascii="Arial" w:eastAsia="Times New Roman" w:hAnsi="Arial" w:cs="Arial"/>
                <w:b/>
                <w:bCs/>
                <w:color w:val="000000"/>
                <w:kern w:val="24"/>
                <w:lang w:eastAsia="de-DE"/>
              </w:rPr>
              <w:t xml:space="preserve"> (G)</w:t>
            </w:r>
          </w:p>
        </w:tc>
        <w:tc>
          <w:tcPr>
            <w:tcW w:w="183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OR (E)</w:t>
            </w:r>
          </w:p>
        </w:tc>
        <w:tc>
          <w:tcPr>
            <w:tcW w:w="203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p-</w:t>
            </w:r>
            <w:proofErr w:type="spellStart"/>
            <w:r w:rsidRPr="00E86DED">
              <w:rPr>
                <w:rFonts w:ascii="Arial" w:eastAsia="Times New Roman" w:hAnsi="Arial" w:cs="Arial"/>
                <w:b/>
                <w:bCs/>
                <w:color w:val="000000"/>
                <w:kern w:val="24"/>
                <w:lang w:eastAsia="de-DE"/>
              </w:rPr>
              <w:t>value</w:t>
            </w:r>
            <w:proofErr w:type="spellEnd"/>
            <w:r w:rsidRPr="00E86DED">
              <w:rPr>
                <w:rFonts w:ascii="Arial" w:eastAsia="Times New Roman" w:hAnsi="Arial" w:cs="Arial"/>
                <w:b/>
                <w:bCs/>
                <w:color w:val="000000"/>
                <w:kern w:val="24"/>
                <w:lang w:eastAsia="de-DE"/>
              </w:rPr>
              <w:t xml:space="preserve"> (E)</w:t>
            </w:r>
          </w:p>
        </w:tc>
        <w:tc>
          <w:tcPr>
            <w:tcW w:w="177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OR (</w:t>
            </w:r>
            <w:proofErr w:type="spellStart"/>
            <w:r w:rsidRPr="00E86DED">
              <w:rPr>
                <w:rFonts w:ascii="Arial" w:eastAsia="Times New Roman" w:hAnsi="Arial" w:cs="Arial"/>
                <w:b/>
                <w:bCs/>
                <w:color w:val="000000"/>
                <w:kern w:val="24"/>
                <w:lang w:eastAsia="de-DE"/>
              </w:rPr>
              <w:t>GxE</w:t>
            </w:r>
            <w:proofErr w:type="spellEnd"/>
            <w:r w:rsidRPr="00E86DED">
              <w:rPr>
                <w:rFonts w:ascii="Arial" w:eastAsia="Times New Roman" w:hAnsi="Arial" w:cs="Arial"/>
                <w:b/>
                <w:bCs/>
                <w:color w:val="000000"/>
                <w:kern w:val="24"/>
                <w:lang w:eastAsia="de-DE"/>
              </w:rPr>
              <w:t>)</w:t>
            </w:r>
          </w:p>
        </w:tc>
        <w:tc>
          <w:tcPr>
            <w:tcW w:w="18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E86DED">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p-</w:t>
            </w:r>
            <w:proofErr w:type="spellStart"/>
            <w:r w:rsidRPr="00E86DED">
              <w:rPr>
                <w:rFonts w:ascii="Arial" w:eastAsia="Times New Roman" w:hAnsi="Arial" w:cs="Arial"/>
                <w:b/>
                <w:bCs/>
                <w:color w:val="000000"/>
                <w:kern w:val="24"/>
                <w:lang w:eastAsia="de-DE"/>
              </w:rPr>
              <w:t>value</w:t>
            </w:r>
            <w:proofErr w:type="spellEnd"/>
            <w:r w:rsidRPr="00E86DED">
              <w:rPr>
                <w:rFonts w:ascii="Arial" w:eastAsia="Times New Roman" w:hAnsi="Arial" w:cs="Arial"/>
                <w:b/>
                <w:bCs/>
                <w:color w:val="000000"/>
                <w:kern w:val="24"/>
                <w:lang w:eastAsia="de-DE"/>
              </w:rPr>
              <w:t xml:space="preserve"> (</w:t>
            </w:r>
            <w:proofErr w:type="spellStart"/>
            <w:r w:rsidRPr="00E86DED">
              <w:rPr>
                <w:rFonts w:ascii="Arial" w:eastAsia="Times New Roman" w:hAnsi="Arial" w:cs="Arial"/>
                <w:b/>
                <w:bCs/>
                <w:color w:val="000000"/>
                <w:kern w:val="24"/>
                <w:lang w:eastAsia="de-DE"/>
              </w:rPr>
              <w:t>GxE</w:t>
            </w:r>
            <w:proofErr w:type="spellEnd"/>
            <w:r w:rsidRPr="00E86DED">
              <w:rPr>
                <w:rFonts w:ascii="Arial" w:eastAsia="Times New Roman" w:hAnsi="Arial" w:cs="Arial"/>
                <w:b/>
                <w:bCs/>
                <w:color w:val="000000"/>
                <w:kern w:val="24"/>
                <w:lang w:eastAsia="de-DE"/>
              </w:rPr>
              <w:t>)</w:t>
            </w:r>
          </w:p>
        </w:tc>
      </w:tr>
      <w:tr w:rsidR="008E1768" w:rsidRPr="00E86DED" w:rsidTr="00741751">
        <w:trPr>
          <w:trHeight w:val="451"/>
        </w:trPr>
        <w:tc>
          <w:tcPr>
            <w:tcW w:w="1158" w:type="dxa"/>
            <w:vMerge w:val="restart"/>
            <w:tcBorders>
              <w:top w:val="single" w:sz="4" w:space="0" w:color="auto"/>
            </w:tcBorders>
            <w:textDirection w:val="btLr"/>
          </w:tcPr>
          <w:p w:rsidR="008E1768" w:rsidRPr="00C36B28" w:rsidRDefault="008E1768" w:rsidP="008E1768">
            <w:pPr>
              <w:spacing w:after="0" w:line="240" w:lineRule="auto"/>
              <w:ind w:left="113" w:right="113"/>
              <w:jc w:val="center"/>
              <w:textAlignment w:val="bottom"/>
              <w:rPr>
                <w:rFonts w:ascii="Arial" w:eastAsia="Times New Roman" w:hAnsi="Arial" w:cs="Arial"/>
                <w:b/>
                <w:color w:val="000000"/>
                <w:kern w:val="24"/>
                <w:lang w:eastAsia="de-DE"/>
              </w:rPr>
            </w:pPr>
            <w:r w:rsidRPr="00C36B28">
              <w:rPr>
                <w:rFonts w:ascii="Arial" w:eastAsia="Times New Roman" w:hAnsi="Arial" w:cs="Arial"/>
                <w:b/>
                <w:color w:val="000000"/>
                <w:kern w:val="24"/>
                <w:lang w:eastAsia="de-DE"/>
              </w:rPr>
              <w:t xml:space="preserve">6 </w:t>
            </w:r>
            <w:proofErr w:type="spellStart"/>
            <w:r w:rsidRPr="00C36B28">
              <w:rPr>
                <w:rFonts w:ascii="Arial" w:eastAsia="Times New Roman" w:hAnsi="Arial" w:cs="Arial"/>
                <w:b/>
                <w:color w:val="000000"/>
                <w:kern w:val="24"/>
                <w:lang w:eastAsia="de-DE"/>
              </w:rPr>
              <w:t>risk</w:t>
            </w:r>
            <w:proofErr w:type="spellEnd"/>
            <w:r w:rsidRPr="00C36B28">
              <w:rPr>
                <w:rFonts w:ascii="Arial" w:eastAsia="Times New Roman" w:hAnsi="Arial" w:cs="Arial"/>
                <w:b/>
                <w:color w:val="000000"/>
                <w:kern w:val="24"/>
                <w:lang w:eastAsia="de-DE"/>
              </w:rPr>
              <w:t xml:space="preserve"> SNPs</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SNP1</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0.35</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1.08</w:t>
            </w:r>
          </w:p>
        </w:tc>
        <w:tc>
          <w:tcPr>
            <w:tcW w:w="171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0.234</w:t>
            </w:r>
          </w:p>
        </w:tc>
        <w:tc>
          <w:tcPr>
            <w:tcW w:w="183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Pr>
                <w:rFonts w:ascii="Arial" w:eastAsia="Times New Roman" w:hAnsi="Arial" w:cs="Arial"/>
                <w:color w:val="000000"/>
                <w:kern w:val="24"/>
                <w:lang w:eastAsia="de-DE"/>
              </w:rPr>
              <w:t>&lt;0.001</w:t>
            </w:r>
          </w:p>
        </w:tc>
        <w:tc>
          <w:tcPr>
            <w:tcW w:w="177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3.56</w:t>
            </w:r>
          </w:p>
        </w:tc>
        <w:tc>
          <w:tcPr>
            <w:tcW w:w="1858" w:type="dxa"/>
            <w:tcBorders>
              <w:top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D5788E">
              <w:rPr>
                <w:rFonts w:ascii="Arial" w:eastAsia="Times New Roman" w:hAnsi="Arial" w:cs="Arial"/>
                <w:color w:val="000000"/>
                <w:kern w:val="24"/>
                <w:lang w:eastAsia="de-DE"/>
              </w:rPr>
              <w:t>&lt;0.001</w:t>
            </w:r>
          </w:p>
        </w:tc>
      </w:tr>
      <w:tr w:rsidR="008E1768" w:rsidRPr="00E86DED" w:rsidTr="00741751">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SNP2</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0.42</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1.07</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0.293</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2.9</w:t>
            </w:r>
          </w:p>
        </w:tc>
        <w:tc>
          <w:tcPr>
            <w:tcW w:w="1858" w:type="dxa"/>
            <w:shd w:val="clear" w:color="auto" w:fill="auto"/>
            <w:tcMar>
              <w:top w:w="15" w:type="dxa"/>
              <w:left w:w="15" w:type="dxa"/>
              <w:bottom w:w="0" w:type="dxa"/>
              <w:right w:w="15" w:type="dxa"/>
            </w:tcMar>
            <w:hideMark/>
          </w:tcPr>
          <w:p w:rsidR="008E1768" w:rsidRDefault="008E1768" w:rsidP="008E1768">
            <w:pPr>
              <w:jc w:val="center"/>
            </w:pPr>
            <w:r w:rsidRPr="00D5788E">
              <w:rPr>
                <w:rFonts w:ascii="Arial" w:eastAsia="Times New Roman" w:hAnsi="Arial" w:cs="Arial"/>
                <w:color w:val="000000"/>
                <w:kern w:val="24"/>
                <w:lang w:eastAsia="de-DE"/>
              </w:rPr>
              <w:t>&lt;0.001</w:t>
            </w:r>
          </w:p>
        </w:tc>
      </w:tr>
      <w:tr w:rsidR="008E1768" w:rsidRPr="00E86DED" w:rsidTr="00741751">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SNP3</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0.37</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1.12</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0.076</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4.51</w:t>
            </w:r>
          </w:p>
        </w:tc>
        <w:tc>
          <w:tcPr>
            <w:tcW w:w="1858" w:type="dxa"/>
            <w:shd w:val="clear" w:color="auto" w:fill="auto"/>
            <w:tcMar>
              <w:top w:w="15" w:type="dxa"/>
              <w:left w:w="15" w:type="dxa"/>
              <w:bottom w:w="0" w:type="dxa"/>
              <w:right w:w="15" w:type="dxa"/>
            </w:tcMar>
            <w:hideMark/>
          </w:tcPr>
          <w:p w:rsidR="008E1768" w:rsidRDefault="008E1768" w:rsidP="008E1768">
            <w:pPr>
              <w:jc w:val="center"/>
            </w:pPr>
            <w:r w:rsidRPr="00D5788E">
              <w:rPr>
                <w:rFonts w:ascii="Arial" w:eastAsia="Times New Roman" w:hAnsi="Arial" w:cs="Arial"/>
                <w:color w:val="000000"/>
                <w:kern w:val="24"/>
                <w:lang w:eastAsia="de-DE"/>
              </w:rPr>
              <w:t>&lt;0.001</w:t>
            </w:r>
          </w:p>
        </w:tc>
      </w:tr>
      <w:tr w:rsidR="008E1768" w:rsidRPr="00E86DED" w:rsidTr="00741751">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SNP4</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0.44</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1.28</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Pr>
                <w:rFonts w:ascii="Arial" w:eastAsia="Times New Roman" w:hAnsi="Arial" w:cs="Arial"/>
                <w:color w:val="000000"/>
                <w:kern w:val="24"/>
                <w:lang w:eastAsia="de-DE"/>
              </w:rPr>
              <w:t>&lt;0.001</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2.62</w:t>
            </w:r>
          </w:p>
        </w:tc>
        <w:tc>
          <w:tcPr>
            <w:tcW w:w="1858" w:type="dxa"/>
            <w:shd w:val="clear" w:color="auto" w:fill="auto"/>
            <w:tcMar>
              <w:top w:w="15" w:type="dxa"/>
              <w:left w:w="15" w:type="dxa"/>
              <w:bottom w:w="0" w:type="dxa"/>
              <w:right w:w="15" w:type="dxa"/>
            </w:tcMar>
            <w:hideMark/>
          </w:tcPr>
          <w:p w:rsidR="008E1768" w:rsidRDefault="008E1768" w:rsidP="008E1768">
            <w:pPr>
              <w:jc w:val="center"/>
            </w:pPr>
            <w:r w:rsidRPr="00D5788E">
              <w:rPr>
                <w:rFonts w:ascii="Arial" w:eastAsia="Times New Roman" w:hAnsi="Arial" w:cs="Arial"/>
                <w:color w:val="000000"/>
                <w:kern w:val="24"/>
                <w:lang w:eastAsia="de-DE"/>
              </w:rPr>
              <w:t>&lt;0.001</w:t>
            </w:r>
          </w:p>
        </w:tc>
      </w:tr>
      <w:tr w:rsidR="008E1768" w:rsidRPr="00E86DED" w:rsidTr="00741751">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SNP5</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0.23</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1.15</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0.062</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5.45</w:t>
            </w:r>
          </w:p>
        </w:tc>
        <w:tc>
          <w:tcPr>
            <w:tcW w:w="1858" w:type="dxa"/>
            <w:shd w:val="clear" w:color="auto" w:fill="auto"/>
            <w:tcMar>
              <w:top w:w="15" w:type="dxa"/>
              <w:left w:w="15" w:type="dxa"/>
              <w:bottom w:w="0" w:type="dxa"/>
              <w:right w:w="15" w:type="dxa"/>
            </w:tcMar>
            <w:hideMark/>
          </w:tcPr>
          <w:p w:rsidR="008E1768" w:rsidRDefault="008E1768" w:rsidP="008E1768">
            <w:pPr>
              <w:jc w:val="center"/>
            </w:pPr>
            <w:r w:rsidRPr="00D5788E">
              <w:rPr>
                <w:rFonts w:ascii="Arial" w:eastAsia="Times New Roman" w:hAnsi="Arial" w:cs="Arial"/>
                <w:color w:val="000000"/>
                <w:kern w:val="24"/>
                <w:lang w:eastAsia="de-DE"/>
              </w:rPr>
              <w:t>&lt;0.001</w:t>
            </w:r>
          </w:p>
        </w:tc>
      </w:tr>
      <w:tr w:rsidR="008E1768" w:rsidRPr="00E86DED" w:rsidTr="008915AC">
        <w:trPr>
          <w:trHeight w:val="451"/>
        </w:trPr>
        <w:tc>
          <w:tcPr>
            <w:tcW w:w="1158" w:type="dxa"/>
            <w:vMerge/>
            <w:tcBorders>
              <w:bottom w:val="single" w:sz="4" w:space="0" w:color="auto"/>
            </w:tcBorders>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SNP6</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0.09</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0.92</w:t>
            </w:r>
          </w:p>
        </w:tc>
        <w:tc>
          <w:tcPr>
            <w:tcW w:w="1717"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0.398</w:t>
            </w:r>
          </w:p>
        </w:tc>
        <w:tc>
          <w:tcPr>
            <w:tcW w:w="1837"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tcBorders>
              <w:bottom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2.8</w:t>
            </w:r>
          </w:p>
        </w:tc>
        <w:tc>
          <w:tcPr>
            <w:tcW w:w="18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0.004</w:t>
            </w:r>
          </w:p>
        </w:tc>
      </w:tr>
      <w:tr w:rsidR="008E1768" w:rsidRPr="00E86DED" w:rsidTr="008915AC">
        <w:trPr>
          <w:trHeight w:val="451"/>
        </w:trPr>
        <w:tc>
          <w:tcPr>
            <w:tcW w:w="1158" w:type="dxa"/>
            <w:vMerge w:val="restart"/>
            <w:tcBorders>
              <w:top w:val="single" w:sz="4" w:space="0" w:color="auto"/>
            </w:tcBorders>
            <w:textDirection w:val="btLr"/>
          </w:tcPr>
          <w:p w:rsidR="008E1768" w:rsidRPr="00C36B28" w:rsidRDefault="008E1768" w:rsidP="008E1768">
            <w:pPr>
              <w:spacing w:after="0" w:line="240" w:lineRule="auto"/>
              <w:ind w:left="113" w:right="113"/>
              <w:jc w:val="center"/>
              <w:textAlignment w:val="bottom"/>
              <w:rPr>
                <w:rFonts w:ascii="Arial" w:eastAsia="Times New Roman" w:hAnsi="Arial" w:cs="Arial"/>
                <w:b/>
                <w:color w:val="000000"/>
                <w:kern w:val="24"/>
                <w:lang w:eastAsia="de-DE"/>
              </w:rPr>
            </w:pPr>
            <w:r w:rsidRPr="00C36B28">
              <w:rPr>
                <w:rFonts w:ascii="Arial" w:eastAsia="Times New Roman" w:hAnsi="Arial" w:cs="Arial"/>
                <w:b/>
                <w:color w:val="000000"/>
                <w:kern w:val="24"/>
                <w:lang w:eastAsia="de-DE"/>
              </w:rPr>
              <w:t xml:space="preserve">6 </w:t>
            </w:r>
            <w:proofErr w:type="spellStart"/>
            <w:r w:rsidRPr="00C36B28">
              <w:rPr>
                <w:rFonts w:ascii="Arial" w:eastAsia="Times New Roman" w:hAnsi="Arial" w:cs="Arial"/>
                <w:b/>
                <w:color w:val="000000"/>
                <w:kern w:val="24"/>
                <w:lang w:eastAsia="de-DE"/>
              </w:rPr>
              <w:t>noise</w:t>
            </w:r>
            <w:proofErr w:type="spellEnd"/>
            <w:r w:rsidRPr="00C36B28">
              <w:rPr>
                <w:rFonts w:ascii="Arial" w:eastAsia="Times New Roman" w:hAnsi="Arial" w:cs="Arial"/>
                <w:b/>
                <w:color w:val="000000"/>
                <w:kern w:val="24"/>
                <w:lang w:eastAsia="de-DE"/>
              </w:rPr>
              <w:t xml:space="preserve"> SNPs</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SNP7</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0.16</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1.08</w:t>
            </w:r>
          </w:p>
        </w:tc>
        <w:tc>
          <w:tcPr>
            <w:tcW w:w="171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0.348</w:t>
            </w:r>
          </w:p>
        </w:tc>
        <w:tc>
          <w:tcPr>
            <w:tcW w:w="183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tcBorders>
              <w:top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1.59</w:t>
            </w:r>
          </w:p>
        </w:tc>
        <w:tc>
          <w:tcPr>
            <w:tcW w:w="18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0.054</w:t>
            </w:r>
          </w:p>
        </w:tc>
      </w:tr>
      <w:tr w:rsidR="008E1768" w:rsidRPr="00E86DED" w:rsidTr="008915AC">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SNP8</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0.26</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0.97</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0.656</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0.93</w:t>
            </w:r>
          </w:p>
        </w:tc>
        <w:tc>
          <w:tcPr>
            <w:tcW w:w="18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0.687</w:t>
            </w:r>
          </w:p>
        </w:tc>
      </w:tr>
      <w:tr w:rsidR="008E1768" w:rsidRPr="00E86DED" w:rsidTr="008915AC">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SNP9</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0.37</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0.92</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0.198</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0.8</w:t>
            </w:r>
          </w:p>
        </w:tc>
        <w:tc>
          <w:tcPr>
            <w:tcW w:w="18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0.165</w:t>
            </w:r>
          </w:p>
        </w:tc>
      </w:tr>
      <w:tr w:rsidR="008E1768" w:rsidRPr="00E86DED" w:rsidTr="008915AC">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sidRPr="00E86DED">
              <w:rPr>
                <w:rFonts w:ascii="Arial" w:eastAsia="Times New Roman" w:hAnsi="Arial" w:cs="Arial"/>
                <w:color w:val="000000"/>
                <w:kern w:val="24"/>
                <w:lang w:eastAsia="de-DE"/>
              </w:rPr>
              <w:t>SNP1</w:t>
            </w:r>
            <w:r>
              <w:rPr>
                <w:rFonts w:ascii="Arial" w:eastAsia="Times New Roman" w:hAnsi="Arial" w:cs="Arial"/>
                <w:color w:val="000000"/>
                <w:kern w:val="24"/>
                <w:lang w:eastAsia="de-DE"/>
              </w:rPr>
              <w:t>0</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0.48</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1.07</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0.271</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1.18</w:t>
            </w:r>
          </w:p>
        </w:tc>
        <w:tc>
          <w:tcPr>
            <w:tcW w:w="18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0.310</w:t>
            </w:r>
          </w:p>
        </w:tc>
      </w:tr>
      <w:tr w:rsidR="008E1768" w:rsidRPr="00E86DED" w:rsidTr="008915AC">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SNP11</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0.03</w:t>
            </w: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1.01</w:t>
            </w:r>
          </w:p>
        </w:tc>
        <w:tc>
          <w:tcPr>
            <w:tcW w:w="171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0.971</w:t>
            </w:r>
          </w:p>
        </w:tc>
        <w:tc>
          <w:tcPr>
            <w:tcW w:w="183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0.88</w:t>
            </w:r>
          </w:p>
        </w:tc>
        <w:tc>
          <w:tcPr>
            <w:tcW w:w="18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0.766</w:t>
            </w:r>
          </w:p>
        </w:tc>
      </w:tr>
      <w:tr w:rsidR="008E1768" w:rsidRPr="00E86DED" w:rsidTr="008915AC">
        <w:trPr>
          <w:trHeight w:val="451"/>
        </w:trPr>
        <w:tc>
          <w:tcPr>
            <w:tcW w:w="1158" w:type="dxa"/>
            <w:vMerge/>
            <w:tcBorders>
              <w:bottom w:val="single" w:sz="4" w:space="0" w:color="auto"/>
            </w:tcBorders>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SNP12</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0.09</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1.21</w:t>
            </w:r>
          </w:p>
        </w:tc>
        <w:tc>
          <w:tcPr>
            <w:tcW w:w="1717"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0.087</w:t>
            </w:r>
          </w:p>
        </w:tc>
        <w:tc>
          <w:tcPr>
            <w:tcW w:w="1837"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17.79</w:t>
            </w:r>
          </w:p>
        </w:tc>
        <w:tc>
          <w:tcPr>
            <w:tcW w:w="2037" w:type="dxa"/>
            <w:tcBorders>
              <w:bottom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5239F8">
              <w:rPr>
                <w:rFonts w:ascii="Arial" w:eastAsia="Times New Roman" w:hAnsi="Arial" w:cs="Arial"/>
                <w:color w:val="000000"/>
                <w:kern w:val="24"/>
                <w:lang w:eastAsia="de-DE"/>
              </w:rPr>
              <w:t>&lt;0.001</w:t>
            </w:r>
          </w:p>
        </w:tc>
        <w:tc>
          <w:tcPr>
            <w:tcW w:w="1777"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1.42</w:t>
            </w:r>
          </w:p>
        </w:tc>
        <w:tc>
          <w:tcPr>
            <w:tcW w:w="18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color w:val="000000"/>
                <w:kern w:val="24"/>
                <w:lang w:eastAsia="de-DE"/>
              </w:rPr>
              <w:t>0.279</w:t>
            </w:r>
          </w:p>
        </w:tc>
      </w:tr>
    </w:tbl>
    <w:p w:rsidR="00E86DED" w:rsidRDefault="00E86DED">
      <w:pPr>
        <w:sectPr w:rsidR="00E86DED" w:rsidSect="00E86DED">
          <w:pgSz w:w="16838" w:h="11906" w:orient="landscape"/>
          <w:pgMar w:top="1417" w:right="1417" w:bottom="1417" w:left="1134" w:header="708" w:footer="708" w:gutter="0"/>
          <w:cols w:space="708"/>
          <w:docGrid w:linePitch="360"/>
        </w:sectPr>
      </w:pPr>
    </w:p>
    <w:tbl>
      <w:tblPr>
        <w:tblW w:w="13858" w:type="dxa"/>
        <w:tblCellMar>
          <w:left w:w="0" w:type="dxa"/>
          <w:right w:w="0" w:type="dxa"/>
        </w:tblCellMar>
        <w:tblLook w:val="0600" w:firstRow="0" w:lastRow="0" w:firstColumn="0" w:lastColumn="0" w:noHBand="1" w:noVBand="1"/>
      </w:tblPr>
      <w:tblGrid>
        <w:gridCol w:w="1158"/>
        <w:gridCol w:w="1158"/>
        <w:gridCol w:w="1158"/>
        <w:gridCol w:w="1158"/>
        <w:gridCol w:w="1717"/>
        <w:gridCol w:w="1837"/>
        <w:gridCol w:w="2037"/>
        <w:gridCol w:w="1777"/>
        <w:gridCol w:w="1858"/>
      </w:tblGrid>
      <w:tr w:rsidR="00E86DED" w:rsidRPr="00E86DED" w:rsidTr="00C36B28">
        <w:trPr>
          <w:trHeight w:val="451"/>
        </w:trPr>
        <w:tc>
          <w:tcPr>
            <w:tcW w:w="13858" w:type="dxa"/>
            <w:gridSpan w:val="9"/>
            <w:tcBorders>
              <w:bottom w:val="single" w:sz="4" w:space="0" w:color="auto"/>
            </w:tcBorders>
          </w:tcPr>
          <w:p w:rsidR="00E86DED" w:rsidRPr="00E86DED" w:rsidRDefault="00E86DED" w:rsidP="00E86DED">
            <w:pPr>
              <w:rPr>
                <w:rFonts w:ascii="Arial" w:hAnsi="Arial" w:cs="Arial"/>
                <w:lang w:val="en-US"/>
              </w:rPr>
            </w:pPr>
            <w:r>
              <w:rPr>
                <w:rFonts w:ascii="Arial" w:hAnsi="Arial" w:cs="Arial"/>
                <w:b/>
                <w:lang w:val="en-US"/>
              </w:rPr>
              <w:lastRenderedPageBreak/>
              <w:t>Table S2</w:t>
            </w:r>
            <w:r w:rsidRPr="00E86DED">
              <w:rPr>
                <w:rFonts w:ascii="Arial" w:hAnsi="Arial" w:cs="Arial"/>
                <w:b/>
                <w:lang w:val="en-US"/>
              </w:rPr>
              <w:t xml:space="preserve">: </w:t>
            </w:r>
            <w:r w:rsidR="00FD6340" w:rsidRPr="00FD6340">
              <w:rPr>
                <w:rFonts w:ascii="Arial" w:hAnsi="Arial" w:cs="Arial"/>
                <w:lang w:val="en-US"/>
              </w:rPr>
              <w:t xml:space="preserve">Simulated </w:t>
            </w:r>
            <w:r w:rsidRPr="00FD6340">
              <w:rPr>
                <w:rFonts w:ascii="Arial" w:hAnsi="Arial" w:cs="Arial"/>
                <w:lang w:val="en-US"/>
              </w:rPr>
              <w:t>Predominant</w:t>
            </w:r>
            <w:r w:rsidRPr="00E86DED">
              <w:rPr>
                <w:rFonts w:ascii="Arial" w:hAnsi="Arial" w:cs="Arial"/>
                <w:lang w:val="en-US"/>
              </w:rPr>
              <w:t xml:space="preserve"> </w:t>
            </w:r>
            <w:r>
              <w:rPr>
                <w:rFonts w:ascii="Arial" w:hAnsi="Arial" w:cs="Arial"/>
                <w:lang w:val="en-US"/>
              </w:rPr>
              <w:t>marginal genetic</w:t>
            </w:r>
            <w:r w:rsidRPr="00E86DED">
              <w:rPr>
                <w:rFonts w:ascii="Arial" w:hAnsi="Arial" w:cs="Arial"/>
                <w:lang w:val="en-US"/>
              </w:rPr>
              <w:t xml:space="preserve"> effects</w:t>
            </w:r>
            <w:r>
              <w:rPr>
                <w:rFonts w:ascii="Arial" w:hAnsi="Arial" w:cs="Arial"/>
                <w:lang w:val="en-US"/>
              </w:rPr>
              <w:t xml:space="preserve"> (example data for N=3,000)</w:t>
            </w:r>
            <w:r w:rsidRPr="00E86DED">
              <w:rPr>
                <w:rFonts w:ascii="Arial" w:hAnsi="Arial" w:cs="Arial"/>
                <w:lang w:val="en-US"/>
              </w:rPr>
              <w:t>. Effect</w:t>
            </w:r>
            <w:r>
              <w:rPr>
                <w:rFonts w:ascii="Arial" w:hAnsi="Arial" w:cs="Arial"/>
                <w:lang w:val="en-US"/>
              </w:rPr>
              <w:t xml:space="preserve"> estimates (odds ratios; OR)</w:t>
            </w:r>
            <w:r w:rsidRPr="00E86DED">
              <w:rPr>
                <w:rFonts w:ascii="Arial" w:hAnsi="Arial" w:cs="Arial"/>
                <w:lang w:val="en-US"/>
              </w:rPr>
              <w:t xml:space="preserve"> and </w:t>
            </w:r>
            <w:r w:rsidR="00C36B28">
              <w:rPr>
                <w:rFonts w:ascii="Arial" w:hAnsi="Arial" w:cs="Arial"/>
                <w:lang w:val="en-US"/>
              </w:rPr>
              <w:t xml:space="preserve">(raw) </w:t>
            </w:r>
            <w:r w:rsidRPr="00E86DED">
              <w:rPr>
                <w:rFonts w:ascii="Arial" w:hAnsi="Arial" w:cs="Arial"/>
                <w:lang w:val="en-US"/>
              </w:rPr>
              <w:t>p-</w:t>
            </w:r>
            <w:r>
              <w:rPr>
                <w:rFonts w:ascii="Arial" w:hAnsi="Arial" w:cs="Arial"/>
                <w:lang w:val="en-US"/>
              </w:rPr>
              <w:t>values for the marginal genetic effects (G), the environmental effects (E) and the interaction terms (</w:t>
            </w:r>
            <w:proofErr w:type="spellStart"/>
            <w:r>
              <w:rPr>
                <w:rFonts w:ascii="Arial" w:hAnsi="Arial" w:cs="Arial"/>
                <w:lang w:val="en-US"/>
              </w:rPr>
              <w:t>GxE</w:t>
            </w:r>
            <w:proofErr w:type="spellEnd"/>
            <w:r>
              <w:rPr>
                <w:rFonts w:ascii="Arial" w:hAnsi="Arial" w:cs="Arial"/>
                <w:lang w:val="en-US"/>
              </w:rPr>
              <w:t xml:space="preserve">). </w:t>
            </w:r>
            <w:r w:rsidR="00C36B28">
              <w:rPr>
                <w:rFonts w:ascii="Arial" w:hAnsi="Arial" w:cs="Arial"/>
                <w:lang w:val="en-US"/>
              </w:rPr>
              <w:t>Results from a single SNPs analysis.</w:t>
            </w:r>
          </w:p>
        </w:tc>
      </w:tr>
      <w:tr w:rsidR="00E86DED" w:rsidRPr="00E86DED" w:rsidTr="00C36B28">
        <w:trPr>
          <w:trHeight w:val="451"/>
        </w:trPr>
        <w:tc>
          <w:tcPr>
            <w:tcW w:w="1158" w:type="dxa"/>
            <w:tcBorders>
              <w:top w:val="single" w:sz="4" w:space="0" w:color="auto"/>
              <w:bottom w:val="single" w:sz="4" w:space="0" w:color="auto"/>
            </w:tcBorders>
          </w:tcPr>
          <w:p w:rsidR="00E86DED" w:rsidRPr="00E86DED" w:rsidRDefault="00E86DED" w:rsidP="00A53E0B">
            <w:pPr>
              <w:spacing w:after="0" w:line="240" w:lineRule="auto"/>
              <w:textAlignment w:val="bottom"/>
              <w:rPr>
                <w:rFonts w:ascii="Arial" w:eastAsia="Times New Roman" w:hAnsi="Arial" w:cs="Arial"/>
                <w:b/>
                <w:bCs/>
                <w:color w:val="000000"/>
                <w:kern w:val="24"/>
                <w:lang w:val="en-US" w:eastAsia="de-DE"/>
              </w:rPr>
            </w:pPr>
          </w:p>
        </w:tc>
        <w:tc>
          <w:tcPr>
            <w:tcW w:w="11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SNP</w:t>
            </w:r>
          </w:p>
        </w:tc>
        <w:tc>
          <w:tcPr>
            <w:tcW w:w="11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MAF</w:t>
            </w:r>
          </w:p>
        </w:tc>
        <w:tc>
          <w:tcPr>
            <w:tcW w:w="11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OR (G)</w:t>
            </w:r>
          </w:p>
        </w:tc>
        <w:tc>
          <w:tcPr>
            <w:tcW w:w="171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p-</w:t>
            </w:r>
            <w:proofErr w:type="spellStart"/>
            <w:r w:rsidRPr="00E86DED">
              <w:rPr>
                <w:rFonts w:ascii="Arial" w:eastAsia="Times New Roman" w:hAnsi="Arial" w:cs="Arial"/>
                <w:b/>
                <w:bCs/>
                <w:color w:val="000000"/>
                <w:kern w:val="24"/>
                <w:lang w:eastAsia="de-DE"/>
              </w:rPr>
              <w:t>value</w:t>
            </w:r>
            <w:proofErr w:type="spellEnd"/>
            <w:r w:rsidRPr="00E86DED">
              <w:rPr>
                <w:rFonts w:ascii="Arial" w:eastAsia="Times New Roman" w:hAnsi="Arial" w:cs="Arial"/>
                <w:b/>
                <w:bCs/>
                <w:color w:val="000000"/>
                <w:kern w:val="24"/>
                <w:lang w:eastAsia="de-DE"/>
              </w:rPr>
              <w:t xml:space="preserve"> (G)</w:t>
            </w:r>
          </w:p>
        </w:tc>
        <w:tc>
          <w:tcPr>
            <w:tcW w:w="183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OR (E)</w:t>
            </w:r>
          </w:p>
        </w:tc>
        <w:tc>
          <w:tcPr>
            <w:tcW w:w="203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p-</w:t>
            </w:r>
            <w:proofErr w:type="spellStart"/>
            <w:r w:rsidRPr="00E86DED">
              <w:rPr>
                <w:rFonts w:ascii="Arial" w:eastAsia="Times New Roman" w:hAnsi="Arial" w:cs="Arial"/>
                <w:b/>
                <w:bCs/>
                <w:color w:val="000000"/>
                <w:kern w:val="24"/>
                <w:lang w:eastAsia="de-DE"/>
              </w:rPr>
              <w:t>value</w:t>
            </w:r>
            <w:proofErr w:type="spellEnd"/>
            <w:r w:rsidRPr="00E86DED">
              <w:rPr>
                <w:rFonts w:ascii="Arial" w:eastAsia="Times New Roman" w:hAnsi="Arial" w:cs="Arial"/>
                <w:b/>
                <w:bCs/>
                <w:color w:val="000000"/>
                <w:kern w:val="24"/>
                <w:lang w:eastAsia="de-DE"/>
              </w:rPr>
              <w:t xml:space="preserve"> (E)</w:t>
            </w:r>
          </w:p>
        </w:tc>
        <w:tc>
          <w:tcPr>
            <w:tcW w:w="1777"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OR (</w:t>
            </w:r>
            <w:proofErr w:type="spellStart"/>
            <w:r w:rsidRPr="00E86DED">
              <w:rPr>
                <w:rFonts w:ascii="Arial" w:eastAsia="Times New Roman" w:hAnsi="Arial" w:cs="Arial"/>
                <w:b/>
                <w:bCs/>
                <w:color w:val="000000"/>
                <w:kern w:val="24"/>
                <w:lang w:eastAsia="de-DE"/>
              </w:rPr>
              <w:t>GxE</w:t>
            </w:r>
            <w:proofErr w:type="spellEnd"/>
            <w:r w:rsidRPr="00E86DED">
              <w:rPr>
                <w:rFonts w:ascii="Arial" w:eastAsia="Times New Roman" w:hAnsi="Arial" w:cs="Arial"/>
                <w:b/>
                <w:bCs/>
                <w:color w:val="000000"/>
                <w:kern w:val="24"/>
                <w:lang w:eastAsia="de-DE"/>
              </w:rPr>
              <w:t>)</w:t>
            </w:r>
          </w:p>
        </w:tc>
        <w:tc>
          <w:tcPr>
            <w:tcW w:w="1858"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E86DED" w:rsidRPr="00E86DED" w:rsidRDefault="00E86DED" w:rsidP="00A53E0B">
            <w:pPr>
              <w:spacing w:after="0" w:line="240" w:lineRule="auto"/>
              <w:jc w:val="center"/>
              <w:textAlignment w:val="bottom"/>
              <w:rPr>
                <w:rFonts w:ascii="Arial" w:eastAsia="Times New Roman" w:hAnsi="Arial" w:cs="Arial"/>
                <w:lang w:eastAsia="de-DE"/>
              </w:rPr>
            </w:pPr>
            <w:r w:rsidRPr="00E86DED">
              <w:rPr>
                <w:rFonts w:ascii="Arial" w:eastAsia="Times New Roman" w:hAnsi="Arial" w:cs="Arial"/>
                <w:b/>
                <w:bCs/>
                <w:color w:val="000000"/>
                <w:kern w:val="24"/>
                <w:lang w:eastAsia="de-DE"/>
              </w:rPr>
              <w:t>p-</w:t>
            </w:r>
            <w:proofErr w:type="spellStart"/>
            <w:r w:rsidRPr="00E86DED">
              <w:rPr>
                <w:rFonts w:ascii="Arial" w:eastAsia="Times New Roman" w:hAnsi="Arial" w:cs="Arial"/>
                <w:b/>
                <w:bCs/>
                <w:color w:val="000000"/>
                <w:kern w:val="24"/>
                <w:lang w:eastAsia="de-DE"/>
              </w:rPr>
              <w:t>value</w:t>
            </w:r>
            <w:proofErr w:type="spellEnd"/>
            <w:r w:rsidRPr="00E86DED">
              <w:rPr>
                <w:rFonts w:ascii="Arial" w:eastAsia="Times New Roman" w:hAnsi="Arial" w:cs="Arial"/>
                <w:b/>
                <w:bCs/>
                <w:color w:val="000000"/>
                <w:kern w:val="24"/>
                <w:lang w:eastAsia="de-DE"/>
              </w:rPr>
              <w:t xml:space="preserve"> (</w:t>
            </w:r>
            <w:proofErr w:type="spellStart"/>
            <w:r w:rsidRPr="00E86DED">
              <w:rPr>
                <w:rFonts w:ascii="Arial" w:eastAsia="Times New Roman" w:hAnsi="Arial" w:cs="Arial"/>
                <w:b/>
                <w:bCs/>
                <w:color w:val="000000"/>
                <w:kern w:val="24"/>
                <w:lang w:eastAsia="de-DE"/>
              </w:rPr>
              <w:t>GxE</w:t>
            </w:r>
            <w:proofErr w:type="spellEnd"/>
            <w:r w:rsidRPr="00E86DED">
              <w:rPr>
                <w:rFonts w:ascii="Arial" w:eastAsia="Times New Roman" w:hAnsi="Arial" w:cs="Arial"/>
                <w:b/>
                <w:bCs/>
                <w:color w:val="000000"/>
                <w:kern w:val="24"/>
                <w:lang w:eastAsia="de-DE"/>
              </w:rPr>
              <w:t>)</w:t>
            </w:r>
          </w:p>
        </w:tc>
      </w:tr>
      <w:tr w:rsidR="008E1768" w:rsidRPr="00E86DED" w:rsidTr="00F816F0">
        <w:trPr>
          <w:trHeight w:val="451"/>
        </w:trPr>
        <w:tc>
          <w:tcPr>
            <w:tcW w:w="1158" w:type="dxa"/>
            <w:vMerge w:val="restart"/>
            <w:tcBorders>
              <w:top w:val="single" w:sz="4" w:space="0" w:color="auto"/>
            </w:tcBorders>
            <w:textDirection w:val="btLr"/>
          </w:tcPr>
          <w:p w:rsidR="008E1768" w:rsidRPr="00C36B28" w:rsidRDefault="008E1768" w:rsidP="008E1768">
            <w:pPr>
              <w:spacing w:after="0" w:line="240" w:lineRule="auto"/>
              <w:ind w:left="113" w:right="113"/>
              <w:jc w:val="center"/>
              <w:textAlignment w:val="bottom"/>
              <w:rPr>
                <w:rFonts w:ascii="Arial" w:eastAsia="Times New Roman" w:hAnsi="Arial" w:cs="Arial"/>
                <w:b/>
                <w:color w:val="000000"/>
                <w:kern w:val="24"/>
                <w:lang w:eastAsia="de-DE"/>
              </w:rPr>
            </w:pPr>
            <w:r w:rsidRPr="00C36B28">
              <w:rPr>
                <w:rFonts w:ascii="Arial" w:eastAsia="Times New Roman" w:hAnsi="Arial" w:cs="Arial"/>
                <w:b/>
                <w:color w:val="000000"/>
                <w:kern w:val="24"/>
                <w:lang w:eastAsia="de-DE"/>
              </w:rPr>
              <w:t xml:space="preserve">6 </w:t>
            </w:r>
            <w:proofErr w:type="spellStart"/>
            <w:r w:rsidRPr="00C36B28">
              <w:rPr>
                <w:rFonts w:ascii="Arial" w:eastAsia="Times New Roman" w:hAnsi="Arial" w:cs="Arial"/>
                <w:b/>
                <w:color w:val="000000"/>
                <w:kern w:val="24"/>
                <w:lang w:eastAsia="de-DE"/>
              </w:rPr>
              <w:t>risk</w:t>
            </w:r>
            <w:proofErr w:type="spellEnd"/>
            <w:r w:rsidRPr="00C36B28">
              <w:rPr>
                <w:rFonts w:ascii="Arial" w:eastAsia="Times New Roman" w:hAnsi="Arial" w:cs="Arial"/>
                <w:b/>
                <w:color w:val="000000"/>
                <w:kern w:val="24"/>
                <w:lang w:eastAsia="de-DE"/>
              </w:rPr>
              <w:t xml:space="preserve"> SNPs</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SNP1</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0.36</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1.54</w:t>
            </w:r>
          </w:p>
        </w:tc>
        <w:tc>
          <w:tcPr>
            <w:tcW w:w="1717" w:type="dxa"/>
            <w:tcBorders>
              <w:top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92290B">
              <w:rPr>
                <w:rFonts w:ascii="Arial" w:eastAsia="Times New Roman" w:hAnsi="Arial" w:cs="Arial"/>
                <w:color w:val="000000"/>
                <w:kern w:val="24"/>
                <w:lang w:eastAsia="de-DE"/>
              </w:rPr>
              <w:t>&lt;0.001</w:t>
            </w:r>
          </w:p>
        </w:tc>
        <w:tc>
          <w:tcPr>
            <w:tcW w:w="1837"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tcBorders>
              <w:top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1.01</w:t>
            </w:r>
          </w:p>
        </w:tc>
        <w:tc>
          <w:tcPr>
            <w:tcW w:w="1858"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0.047</w:t>
            </w:r>
          </w:p>
        </w:tc>
      </w:tr>
      <w:tr w:rsidR="008E1768" w:rsidRPr="00E86DED" w:rsidTr="00F816F0">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SNP2</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0.43</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1.45</w:t>
            </w:r>
          </w:p>
        </w:tc>
        <w:tc>
          <w:tcPr>
            <w:tcW w:w="1717" w:type="dxa"/>
            <w:shd w:val="clear" w:color="auto" w:fill="auto"/>
            <w:tcMar>
              <w:top w:w="15" w:type="dxa"/>
              <w:left w:w="15" w:type="dxa"/>
              <w:bottom w:w="0" w:type="dxa"/>
              <w:right w:w="15" w:type="dxa"/>
            </w:tcMar>
            <w:hideMark/>
          </w:tcPr>
          <w:p w:rsidR="008E1768" w:rsidRDefault="008E1768" w:rsidP="008E1768">
            <w:pPr>
              <w:jc w:val="center"/>
            </w:pPr>
            <w:r w:rsidRPr="0092290B">
              <w:rPr>
                <w:rFonts w:ascii="Arial" w:eastAsia="Times New Roman" w:hAnsi="Arial" w:cs="Arial"/>
                <w:color w:val="000000"/>
                <w:kern w:val="24"/>
                <w:lang w:eastAsia="de-DE"/>
              </w:rPr>
              <w:t>&lt;0.001</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1.02</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0.001</w:t>
            </w:r>
          </w:p>
        </w:tc>
      </w:tr>
      <w:tr w:rsidR="008E1768" w:rsidRPr="00E86DED" w:rsidTr="00F816F0">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SNP3</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0.37</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1.47</w:t>
            </w:r>
          </w:p>
        </w:tc>
        <w:tc>
          <w:tcPr>
            <w:tcW w:w="1717" w:type="dxa"/>
            <w:shd w:val="clear" w:color="auto" w:fill="auto"/>
            <w:tcMar>
              <w:top w:w="15" w:type="dxa"/>
              <w:left w:w="15" w:type="dxa"/>
              <w:bottom w:w="0" w:type="dxa"/>
              <w:right w:w="15" w:type="dxa"/>
            </w:tcMar>
            <w:hideMark/>
          </w:tcPr>
          <w:p w:rsidR="008E1768" w:rsidRDefault="008E1768" w:rsidP="008E1768">
            <w:pPr>
              <w:jc w:val="center"/>
            </w:pPr>
            <w:r w:rsidRPr="0092290B">
              <w:rPr>
                <w:rFonts w:ascii="Arial" w:eastAsia="Times New Roman" w:hAnsi="Arial" w:cs="Arial"/>
                <w:color w:val="000000"/>
                <w:kern w:val="24"/>
                <w:lang w:eastAsia="de-DE"/>
              </w:rPr>
              <w:t>&lt;0.001</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1.02</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0.004</w:t>
            </w:r>
          </w:p>
        </w:tc>
      </w:tr>
      <w:tr w:rsidR="008E1768" w:rsidRPr="00E86DED" w:rsidTr="00F816F0">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SNP4</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0.43</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1.66</w:t>
            </w:r>
          </w:p>
        </w:tc>
        <w:tc>
          <w:tcPr>
            <w:tcW w:w="1717" w:type="dxa"/>
            <w:shd w:val="clear" w:color="auto" w:fill="auto"/>
            <w:tcMar>
              <w:top w:w="15" w:type="dxa"/>
              <w:left w:w="15" w:type="dxa"/>
              <w:bottom w:w="0" w:type="dxa"/>
              <w:right w:w="15" w:type="dxa"/>
            </w:tcMar>
            <w:hideMark/>
          </w:tcPr>
          <w:p w:rsidR="008E1768" w:rsidRDefault="008E1768" w:rsidP="008E1768">
            <w:pPr>
              <w:jc w:val="center"/>
            </w:pPr>
            <w:r w:rsidRPr="0092290B">
              <w:rPr>
                <w:rFonts w:ascii="Arial" w:eastAsia="Times New Roman" w:hAnsi="Arial" w:cs="Arial"/>
                <w:color w:val="000000"/>
                <w:kern w:val="24"/>
                <w:lang w:eastAsia="de-DE"/>
              </w:rPr>
              <w:t>&lt;0.001</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1.01</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0.101</w:t>
            </w:r>
          </w:p>
        </w:tc>
      </w:tr>
      <w:tr w:rsidR="008E1768" w:rsidRPr="00E86DED" w:rsidTr="00F816F0">
        <w:trPr>
          <w:trHeight w:val="451"/>
        </w:trPr>
        <w:tc>
          <w:tcPr>
            <w:tcW w:w="1158" w:type="dxa"/>
            <w:vMerge/>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SNP5</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0.24</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1.24</w:t>
            </w:r>
          </w:p>
        </w:tc>
        <w:tc>
          <w:tcPr>
            <w:tcW w:w="1717" w:type="dxa"/>
            <w:shd w:val="clear" w:color="auto" w:fill="auto"/>
            <w:tcMar>
              <w:top w:w="15" w:type="dxa"/>
              <w:left w:w="15" w:type="dxa"/>
              <w:bottom w:w="0" w:type="dxa"/>
              <w:right w:w="15" w:type="dxa"/>
            </w:tcMar>
            <w:hideMark/>
          </w:tcPr>
          <w:p w:rsidR="008E1768" w:rsidRDefault="008E1768" w:rsidP="008E1768">
            <w:pPr>
              <w:jc w:val="center"/>
            </w:pPr>
            <w:r w:rsidRPr="0092290B">
              <w:rPr>
                <w:rFonts w:ascii="Arial" w:eastAsia="Times New Roman" w:hAnsi="Arial" w:cs="Arial"/>
                <w:color w:val="000000"/>
                <w:kern w:val="24"/>
                <w:lang w:eastAsia="de-DE"/>
              </w:rPr>
              <w:t>&lt;0.001</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1.03</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Pr>
                <w:rFonts w:ascii="Arial" w:hAnsi="Arial" w:cs="Arial"/>
                <w:color w:val="000000"/>
                <w:kern w:val="24"/>
              </w:rPr>
              <w:t>&lt;0.001</w:t>
            </w:r>
          </w:p>
        </w:tc>
      </w:tr>
      <w:tr w:rsidR="008E1768" w:rsidRPr="00E86DED" w:rsidTr="00F816F0">
        <w:trPr>
          <w:trHeight w:val="451"/>
        </w:trPr>
        <w:tc>
          <w:tcPr>
            <w:tcW w:w="1158" w:type="dxa"/>
            <w:vMerge/>
            <w:tcBorders>
              <w:bottom w:val="single" w:sz="4" w:space="0" w:color="auto"/>
            </w:tcBorders>
          </w:tcPr>
          <w:p w:rsidR="008E1768" w:rsidRPr="00C36B28" w:rsidRDefault="008E1768" w:rsidP="008E1768">
            <w:pPr>
              <w:spacing w:after="0" w:line="240" w:lineRule="auto"/>
              <w:textAlignment w:val="bottom"/>
              <w:rPr>
                <w:rFonts w:ascii="Arial" w:eastAsia="Times New Roman" w:hAnsi="Arial" w:cs="Arial"/>
                <w:b/>
                <w:color w:val="000000"/>
                <w:kern w:val="24"/>
                <w:lang w:eastAsia="de-DE"/>
              </w:rPr>
            </w:pP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SNP6</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0.09</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1.08</w:t>
            </w:r>
          </w:p>
        </w:tc>
        <w:tc>
          <w:tcPr>
            <w:tcW w:w="1717"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0.428</w:t>
            </w:r>
          </w:p>
        </w:tc>
        <w:tc>
          <w:tcPr>
            <w:tcW w:w="1837"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tcBorders>
              <w:bottom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1.03</w:t>
            </w:r>
          </w:p>
        </w:tc>
        <w:tc>
          <w:tcPr>
            <w:tcW w:w="1858"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0.004</w:t>
            </w:r>
          </w:p>
        </w:tc>
      </w:tr>
      <w:tr w:rsidR="008E1768" w:rsidRPr="00E86DED" w:rsidTr="00F816F0">
        <w:trPr>
          <w:trHeight w:val="451"/>
        </w:trPr>
        <w:tc>
          <w:tcPr>
            <w:tcW w:w="1158" w:type="dxa"/>
            <w:vMerge w:val="restart"/>
            <w:tcBorders>
              <w:top w:val="single" w:sz="4" w:space="0" w:color="auto"/>
            </w:tcBorders>
            <w:textDirection w:val="btLr"/>
          </w:tcPr>
          <w:p w:rsidR="008E1768" w:rsidRPr="00C36B28" w:rsidRDefault="008E1768" w:rsidP="008E1768">
            <w:pPr>
              <w:spacing w:after="0" w:line="240" w:lineRule="auto"/>
              <w:ind w:left="113" w:right="113"/>
              <w:jc w:val="center"/>
              <w:textAlignment w:val="bottom"/>
              <w:rPr>
                <w:rFonts w:ascii="Arial" w:eastAsia="Times New Roman" w:hAnsi="Arial" w:cs="Arial"/>
                <w:b/>
                <w:color w:val="000000"/>
                <w:kern w:val="24"/>
                <w:lang w:eastAsia="de-DE"/>
              </w:rPr>
            </w:pPr>
            <w:r w:rsidRPr="00C36B28">
              <w:rPr>
                <w:rFonts w:ascii="Arial" w:eastAsia="Times New Roman" w:hAnsi="Arial" w:cs="Arial"/>
                <w:b/>
                <w:color w:val="000000"/>
                <w:kern w:val="24"/>
                <w:lang w:eastAsia="de-DE"/>
              </w:rPr>
              <w:t xml:space="preserve">6 </w:t>
            </w:r>
            <w:proofErr w:type="spellStart"/>
            <w:r w:rsidRPr="00C36B28">
              <w:rPr>
                <w:rFonts w:ascii="Arial" w:eastAsia="Times New Roman" w:hAnsi="Arial" w:cs="Arial"/>
                <w:b/>
                <w:color w:val="000000"/>
                <w:kern w:val="24"/>
                <w:lang w:eastAsia="de-DE"/>
              </w:rPr>
              <w:t>noise</w:t>
            </w:r>
            <w:proofErr w:type="spellEnd"/>
            <w:r w:rsidRPr="00C36B28">
              <w:rPr>
                <w:rFonts w:ascii="Arial" w:eastAsia="Times New Roman" w:hAnsi="Arial" w:cs="Arial"/>
                <w:b/>
                <w:color w:val="000000"/>
                <w:kern w:val="24"/>
                <w:lang w:eastAsia="de-DE"/>
              </w:rPr>
              <w:t xml:space="preserve"> SNPs</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SNP7</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0.16</w:t>
            </w:r>
          </w:p>
        </w:tc>
        <w:tc>
          <w:tcPr>
            <w:tcW w:w="1158"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0.96</w:t>
            </w:r>
          </w:p>
        </w:tc>
        <w:tc>
          <w:tcPr>
            <w:tcW w:w="1717"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0.592</w:t>
            </w:r>
          </w:p>
        </w:tc>
        <w:tc>
          <w:tcPr>
            <w:tcW w:w="1837"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tcBorders>
              <w:top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1.00</w:t>
            </w:r>
          </w:p>
        </w:tc>
        <w:tc>
          <w:tcPr>
            <w:tcW w:w="1858" w:type="dxa"/>
            <w:tcBorders>
              <w:top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0.546</w:t>
            </w:r>
          </w:p>
        </w:tc>
      </w:tr>
      <w:tr w:rsidR="008E1768" w:rsidRPr="00E86DED" w:rsidTr="00F816F0">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SNP8</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0.25</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1.13</w:t>
            </w:r>
          </w:p>
        </w:tc>
        <w:tc>
          <w:tcPr>
            <w:tcW w:w="171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0.036</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0.99</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0.200</w:t>
            </w:r>
          </w:p>
        </w:tc>
      </w:tr>
      <w:tr w:rsidR="008E1768" w:rsidRPr="00E86DED" w:rsidTr="00F816F0">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SNP9</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0.37</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1.03</w:t>
            </w:r>
          </w:p>
        </w:tc>
        <w:tc>
          <w:tcPr>
            <w:tcW w:w="171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0.632</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1.00</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0.851</w:t>
            </w:r>
          </w:p>
        </w:tc>
      </w:tr>
      <w:tr w:rsidR="008E1768" w:rsidRPr="00E86DED" w:rsidTr="00F816F0">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sidRPr="00E86DED">
              <w:rPr>
                <w:rFonts w:ascii="Arial" w:eastAsia="Times New Roman" w:hAnsi="Arial" w:cs="Arial"/>
                <w:color w:val="000000"/>
                <w:kern w:val="24"/>
                <w:lang w:eastAsia="de-DE"/>
              </w:rPr>
              <w:t>SNP1</w:t>
            </w:r>
            <w:r>
              <w:rPr>
                <w:rFonts w:ascii="Arial" w:eastAsia="Times New Roman" w:hAnsi="Arial" w:cs="Arial"/>
                <w:color w:val="000000"/>
                <w:kern w:val="24"/>
                <w:lang w:eastAsia="de-DE"/>
              </w:rPr>
              <w:t>0</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0.50</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1.11</w:t>
            </w:r>
          </w:p>
        </w:tc>
        <w:tc>
          <w:tcPr>
            <w:tcW w:w="171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0.050</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1.01</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0.013</w:t>
            </w:r>
          </w:p>
        </w:tc>
      </w:tr>
      <w:tr w:rsidR="008E1768" w:rsidRPr="00E86DED" w:rsidTr="00F816F0">
        <w:trPr>
          <w:trHeight w:val="451"/>
        </w:trPr>
        <w:tc>
          <w:tcPr>
            <w:tcW w:w="1158" w:type="dxa"/>
            <w:vMerge/>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SNP11</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0.02</w:t>
            </w:r>
          </w:p>
        </w:tc>
        <w:tc>
          <w:tcPr>
            <w:tcW w:w="11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1.11</w:t>
            </w:r>
          </w:p>
        </w:tc>
        <w:tc>
          <w:tcPr>
            <w:tcW w:w="171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0.538</w:t>
            </w:r>
          </w:p>
        </w:tc>
        <w:tc>
          <w:tcPr>
            <w:tcW w:w="183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1.00</w:t>
            </w:r>
          </w:p>
        </w:tc>
        <w:tc>
          <w:tcPr>
            <w:tcW w:w="1858" w:type="dxa"/>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0.846</w:t>
            </w:r>
          </w:p>
        </w:tc>
      </w:tr>
      <w:tr w:rsidR="008E1768" w:rsidRPr="00E86DED" w:rsidTr="00F816F0">
        <w:trPr>
          <w:trHeight w:val="451"/>
        </w:trPr>
        <w:tc>
          <w:tcPr>
            <w:tcW w:w="1158" w:type="dxa"/>
            <w:vMerge/>
            <w:tcBorders>
              <w:bottom w:val="single" w:sz="4" w:space="0" w:color="auto"/>
            </w:tcBorders>
          </w:tcPr>
          <w:p w:rsidR="008E1768" w:rsidRPr="00E86DED" w:rsidRDefault="008E1768" w:rsidP="008E1768">
            <w:pPr>
              <w:spacing w:after="0" w:line="240" w:lineRule="auto"/>
              <w:textAlignment w:val="bottom"/>
              <w:rPr>
                <w:rFonts w:ascii="Arial" w:eastAsia="Times New Roman" w:hAnsi="Arial" w:cs="Arial"/>
                <w:color w:val="000000"/>
                <w:kern w:val="24"/>
                <w:lang w:eastAsia="de-DE"/>
              </w:rPr>
            </w:pP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E86DED" w:rsidRDefault="008E1768" w:rsidP="008E1768">
            <w:pPr>
              <w:spacing w:after="0" w:line="240" w:lineRule="auto"/>
              <w:textAlignment w:val="bottom"/>
              <w:rPr>
                <w:rFonts w:ascii="Arial" w:eastAsia="Times New Roman" w:hAnsi="Arial" w:cs="Arial"/>
                <w:lang w:eastAsia="de-DE"/>
              </w:rPr>
            </w:pPr>
            <w:r>
              <w:rPr>
                <w:rFonts w:ascii="Arial" w:eastAsia="Times New Roman" w:hAnsi="Arial" w:cs="Arial"/>
                <w:color w:val="000000"/>
                <w:kern w:val="24"/>
                <w:lang w:eastAsia="de-DE"/>
              </w:rPr>
              <w:t>SNP12</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0.09</w:t>
            </w:r>
          </w:p>
        </w:tc>
        <w:tc>
          <w:tcPr>
            <w:tcW w:w="1158"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1.01</w:t>
            </w:r>
          </w:p>
        </w:tc>
        <w:tc>
          <w:tcPr>
            <w:tcW w:w="1717"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0.930</w:t>
            </w:r>
          </w:p>
        </w:tc>
        <w:tc>
          <w:tcPr>
            <w:tcW w:w="1837"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1.09</w:t>
            </w:r>
          </w:p>
        </w:tc>
        <w:tc>
          <w:tcPr>
            <w:tcW w:w="2037" w:type="dxa"/>
            <w:tcBorders>
              <w:bottom w:val="single" w:sz="4" w:space="0" w:color="auto"/>
            </w:tcBorders>
            <w:shd w:val="clear" w:color="auto" w:fill="auto"/>
            <w:tcMar>
              <w:top w:w="15" w:type="dxa"/>
              <w:left w:w="15" w:type="dxa"/>
              <w:bottom w:w="0" w:type="dxa"/>
              <w:right w:w="15" w:type="dxa"/>
            </w:tcMar>
            <w:hideMark/>
          </w:tcPr>
          <w:p w:rsidR="008E1768" w:rsidRDefault="008E1768" w:rsidP="008E1768">
            <w:pPr>
              <w:jc w:val="center"/>
            </w:pPr>
            <w:r w:rsidRPr="00290356">
              <w:rPr>
                <w:rFonts w:ascii="Arial" w:eastAsia="Times New Roman" w:hAnsi="Arial" w:cs="Arial"/>
                <w:color w:val="000000"/>
                <w:kern w:val="24"/>
                <w:lang w:eastAsia="de-DE"/>
              </w:rPr>
              <w:t>&lt;0.001</w:t>
            </w:r>
          </w:p>
        </w:tc>
        <w:tc>
          <w:tcPr>
            <w:tcW w:w="1777"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0.99</w:t>
            </w:r>
          </w:p>
        </w:tc>
        <w:tc>
          <w:tcPr>
            <w:tcW w:w="1858" w:type="dxa"/>
            <w:tcBorders>
              <w:bottom w:val="single" w:sz="4" w:space="0" w:color="auto"/>
            </w:tcBorders>
            <w:shd w:val="clear" w:color="auto" w:fill="auto"/>
            <w:tcMar>
              <w:top w:w="15" w:type="dxa"/>
              <w:left w:w="15" w:type="dxa"/>
              <w:bottom w:w="0" w:type="dxa"/>
              <w:right w:w="15" w:type="dxa"/>
            </w:tcMar>
            <w:vAlign w:val="bottom"/>
            <w:hideMark/>
          </w:tcPr>
          <w:p w:rsidR="008E1768" w:rsidRPr="00C36B28" w:rsidRDefault="008E1768" w:rsidP="008E1768">
            <w:pPr>
              <w:pStyle w:val="StandardWeb"/>
              <w:spacing w:before="0" w:beforeAutospacing="0" w:after="0" w:afterAutospacing="0"/>
              <w:jc w:val="center"/>
              <w:textAlignment w:val="bottom"/>
              <w:rPr>
                <w:rFonts w:ascii="Arial" w:hAnsi="Arial" w:cs="Arial"/>
                <w:color w:val="000000"/>
                <w:kern w:val="24"/>
                <w:sz w:val="22"/>
                <w:szCs w:val="22"/>
              </w:rPr>
            </w:pPr>
            <w:r w:rsidRPr="00C36B28">
              <w:rPr>
                <w:rFonts w:ascii="Arial" w:hAnsi="Arial" w:cs="Arial"/>
                <w:color w:val="000000"/>
                <w:kern w:val="24"/>
                <w:sz w:val="22"/>
                <w:szCs w:val="22"/>
              </w:rPr>
              <w:t>0.492</w:t>
            </w:r>
          </w:p>
        </w:tc>
      </w:tr>
    </w:tbl>
    <w:p w:rsidR="00F70153" w:rsidRDefault="00F70153" w:rsidP="006449CA">
      <w:pPr>
        <w:rPr>
          <w:lang w:val="en-US"/>
        </w:rPr>
        <w:sectPr w:rsidR="00F70153" w:rsidSect="006449CA">
          <w:pgSz w:w="16838" w:h="11906" w:orient="landscape"/>
          <w:pgMar w:top="1417" w:right="1417" w:bottom="1417" w:left="1134" w:header="708" w:footer="708" w:gutter="0"/>
          <w:cols w:space="708"/>
          <w:docGrid w:linePitch="360"/>
        </w:sectPr>
      </w:pPr>
    </w:p>
    <w:p w:rsidR="00ED6559" w:rsidRPr="00F70153" w:rsidRDefault="00F70153" w:rsidP="006449CA">
      <w:pPr>
        <w:rPr>
          <w:rFonts w:ascii="Arial" w:hAnsi="Arial" w:cs="Arial"/>
          <w:b/>
          <w:sz w:val="32"/>
          <w:szCs w:val="32"/>
          <w:lang w:val="en-US"/>
        </w:rPr>
      </w:pPr>
      <w:r w:rsidRPr="00F70153">
        <w:rPr>
          <w:rFonts w:ascii="Arial" w:hAnsi="Arial" w:cs="Arial"/>
          <w:b/>
          <w:sz w:val="32"/>
          <w:szCs w:val="32"/>
          <w:lang w:val="en-US"/>
        </w:rPr>
        <w:lastRenderedPageBreak/>
        <w:t xml:space="preserve">Comparison </w:t>
      </w:r>
      <w:r>
        <w:rPr>
          <w:rFonts w:ascii="Arial" w:hAnsi="Arial" w:cs="Arial"/>
          <w:b/>
          <w:sz w:val="32"/>
          <w:szCs w:val="32"/>
          <w:lang w:val="en-US"/>
        </w:rPr>
        <w:t xml:space="preserve">of </w:t>
      </w:r>
      <w:r w:rsidRPr="00F70153">
        <w:rPr>
          <w:rFonts w:ascii="Arial" w:hAnsi="Arial" w:cs="Arial"/>
          <w:b/>
          <w:sz w:val="32"/>
          <w:szCs w:val="32"/>
          <w:lang w:val="en-US"/>
        </w:rPr>
        <w:t>GRS approaches and lasso regression</w:t>
      </w:r>
    </w:p>
    <w:p w:rsidR="00F70153" w:rsidRDefault="00F70153" w:rsidP="006449CA">
      <w:pPr>
        <w:rPr>
          <w:rFonts w:ascii="Arial" w:hAnsi="Arial" w:cs="Arial"/>
          <w:b/>
          <w:sz w:val="24"/>
          <w:szCs w:val="24"/>
          <w:lang w:val="en-US"/>
        </w:rPr>
      </w:pPr>
    </w:p>
    <w:p w:rsidR="00F70153" w:rsidRPr="00F70153" w:rsidRDefault="00F70153" w:rsidP="006449CA">
      <w:pPr>
        <w:rPr>
          <w:rFonts w:ascii="Arial" w:hAnsi="Arial" w:cs="Arial"/>
          <w:lang w:val="en-US"/>
        </w:rPr>
      </w:pPr>
      <w:r w:rsidRPr="00F70153">
        <w:rPr>
          <w:rFonts w:ascii="Arial" w:hAnsi="Arial" w:cs="Arial"/>
          <w:b/>
          <w:sz w:val="24"/>
          <w:szCs w:val="24"/>
          <w:lang w:val="en-US"/>
        </w:rPr>
        <w:t>Methods</w:t>
      </w:r>
    </w:p>
    <w:p w:rsidR="00F70153" w:rsidRPr="005B4726" w:rsidRDefault="00F70153" w:rsidP="00F70153">
      <w:pPr>
        <w:spacing w:after="0" w:line="480" w:lineRule="auto"/>
        <w:jc w:val="both"/>
        <w:rPr>
          <w:rFonts w:ascii="Arial" w:hAnsi="Arial" w:cs="Arial"/>
          <w:lang w:val="en-US"/>
        </w:rPr>
      </w:pPr>
      <w:r>
        <w:rPr>
          <w:rFonts w:ascii="Arial" w:hAnsi="Arial" w:cs="Arial"/>
          <w:lang w:val="en-US"/>
        </w:rPr>
        <w:t xml:space="preserve">The GRS approaches are further compared to a lasso logistic regression with interaction terms (equation (3) in the main text with </w:t>
      </w:r>
      <m:oMath>
        <m:r>
          <w:rPr>
            <w:rFonts w:ascii="Cambria Math" w:hAnsi="Cambria Math" w:cs="Arial"/>
            <w:lang w:val="en-US"/>
          </w:rPr>
          <m:t>α</m:t>
        </m:r>
        <m:r>
          <w:rPr>
            <w:rFonts w:ascii="Cambria Math" w:eastAsiaTheme="minorEastAsia" w:hAnsi="Cambria Math" w:cs="Arial"/>
            <w:lang w:val="en-US"/>
          </w:rPr>
          <m:t>=1</m:t>
        </m:r>
      </m:oMath>
      <w:r>
        <w:rPr>
          <w:rFonts w:ascii="Arial" w:hAnsi="Arial" w:cs="Arial"/>
          <w:lang w:val="en-US"/>
        </w:rPr>
        <w:t xml:space="preserve">) applied to the whole study sample. Lockhart et al. recently proposed </w:t>
      </w:r>
      <w:r w:rsidRPr="005B4726">
        <w:rPr>
          <w:rFonts w:ascii="Arial" w:hAnsi="Arial" w:cs="Arial"/>
          <w:lang w:val="en-US"/>
        </w:rPr>
        <w:t>a test statistic based on lasso f</w:t>
      </w:r>
      <w:r>
        <w:rPr>
          <w:rFonts w:ascii="Arial" w:hAnsi="Arial" w:cs="Arial"/>
          <w:lang w:val="en-US"/>
        </w:rPr>
        <w:t>itted values, called the covari</w:t>
      </w:r>
      <w:r w:rsidRPr="005B4726">
        <w:rPr>
          <w:rFonts w:ascii="Arial" w:hAnsi="Arial" w:cs="Arial"/>
          <w:lang w:val="en-US"/>
        </w:rPr>
        <w:t>ance test statistic</w:t>
      </w:r>
      <w:r>
        <w:rPr>
          <w:rFonts w:ascii="Arial" w:hAnsi="Arial" w:cs="Arial"/>
          <w:lang w:val="en-US"/>
        </w:rPr>
        <w:t xml:space="preserve"> </w:t>
      </w:r>
      <w:r>
        <w:rPr>
          <w:rFonts w:ascii="Arial" w:hAnsi="Arial" w:cs="Arial"/>
          <w:lang w:val="en-US"/>
        </w:rPr>
        <w:fldChar w:fldCharType="begin" w:fldLock="1"/>
      </w:r>
      <w:r>
        <w:rPr>
          <w:rFonts w:ascii="Arial" w:hAnsi="Arial" w:cs="Arial"/>
          <w:lang w:val="en-US"/>
        </w:rPr>
        <w:instrText>ADDIN CSL_CITATION { "citationItems" : [ { "id" : "ITEM-1", "itemData" : { "DOI" : "10.1214/13-AOS1175", "ISBN" : "0090-5364", "ISSN" : "0090-5364", "author" : [ { "dropping-particle" : "", "family" : "Lockhart", "given" : "Richard", "non-dropping-particle" : "", "parse-names" : false, "suffix" : "" }, { "dropping-particle" : "", "family" : "Taylor", "given" : "Jonathan", "non-dropping-particle" : "", "parse-names" : false, "suffix" : "" }, { "dropping-particle" : "", "family" : "Tibshirani", "given" : "Ryan J.", "non-dropping-particle" : "", "parse-names" : false, "suffix" : "" }, { "dropping-particle" : "", "family" : "Tibshirani", "given" : "Robert", "non-dropping-particle" : "", "parse-names" : false, "suffix" : "" } ], "container-title" : "The Annals of Statistics", "id" : "ITEM-1", "issue" : "2", "issued" : { "date-parts" : [ [ "2014", "4" ] ] }, "page" : "413-468", "title" : "A significance test for the lasso", "type" : "article-journal", "volume" : "42" }, "uris" : [ "http://www.mendeley.com/documents/?uuid=4995cde6-b2a9-425b-802d-25104e31e8c9" ] } ], "mendeley" : { "formattedCitation" : "[1]", "plainTextFormattedCitation" : "[1]", "previouslyFormattedCitation" : "(Lockhart et al. 2014)" }, "properties" : { "noteIndex" : 9 }, "schema" : "https://github.com/citation-style-language/schema/raw/master/csl-citation.json" }</w:instrText>
      </w:r>
      <w:r>
        <w:rPr>
          <w:rFonts w:ascii="Arial" w:hAnsi="Arial" w:cs="Arial"/>
          <w:lang w:val="en-US"/>
        </w:rPr>
        <w:fldChar w:fldCharType="separate"/>
      </w:r>
      <w:r w:rsidRPr="00F70153">
        <w:rPr>
          <w:rFonts w:ascii="Arial" w:hAnsi="Arial" w:cs="Arial"/>
          <w:noProof/>
          <w:lang w:val="en-US"/>
        </w:rPr>
        <w:t>[1]</w:t>
      </w:r>
      <w:r>
        <w:rPr>
          <w:rFonts w:ascii="Arial" w:hAnsi="Arial" w:cs="Arial"/>
          <w:lang w:val="en-US"/>
        </w:rPr>
        <w:fldChar w:fldCharType="end"/>
      </w:r>
      <w:r>
        <w:rPr>
          <w:rFonts w:ascii="Arial" w:hAnsi="Arial" w:cs="Arial"/>
          <w:lang w:val="en-US"/>
        </w:rPr>
        <w:t>. The covari</w:t>
      </w:r>
      <w:r w:rsidRPr="005B4726">
        <w:rPr>
          <w:rFonts w:ascii="Arial" w:hAnsi="Arial" w:cs="Arial"/>
          <w:lang w:val="en-US"/>
        </w:rPr>
        <w:t>ance test statistic</w:t>
      </w:r>
      <w:r>
        <w:rPr>
          <w:rFonts w:ascii="Arial" w:hAnsi="Arial" w:cs="Arial"/>
          <w:lang w:val="en-US"/>
        </w:rPr>
        <w:t xml:space="preserve"> </w:t>
      </w:r>
      <w:r w:rsidRPr="005B4726">
        <w:rPr>
          <w:rFonts w:ascii="Arial" w:hAnsi="Arial" w:cs="Arial"/>
          <w:lang w:val="en-US"/>
        </w:rPr>
        <w:t>is constructed from the lasso solution path</w:t>
      </w:r>
      <w:r>
        <w:rPr>
          <w:rFonts w:ascii="Arial" w:hAnsi="Arial" w:cs="Arial"/>
          <w:lang w:val="en-US"/>
        </w:rPr>
        <w:t xml:space="preserve"> that </w:t>
      </w:r>
      <w:r w:rsidRPr="005B4726">
        <w:rPr>
          <w:rFonts w:ascii="Arial" w:hAnsi="Arial" w:cs="Arial"/>
          <w:lang w:val="en-US"/>
        </w:rPr>
        <w:t>can be computed by the</w:t>
      </w:r>
      <w:r>
        <w:rPr>
          <w:rFonts w:ascii="Arial" w:hAnsi="Arial" w:cs="Arial"/>
          <w:lang w:val="en-US"/>
        </w:rPr>
        <w:t xml:space="preserve"> </w:t>
      </w:r>
      <w:r w:rsidRPr="005B4726">
        <w:rPr>
          <w:rFonts w:ascii="Arial" w:hAnsi="Arial" w:cs="Arial"/>
          <w:lang w:val="en-US"/>
        </w:rPr>
        <w:t xml:space="preserve">LARS algorithm of </w:t>
      </w:r>
      <w:proofErr w:type="spellStart"/>
      <w:r w:rsidRPr="005B4726">
        <w:rPr>
          <w:rFonts w:ascii="Arial" w:hAnsi="Arial" w:cs="Arial"/>
          <w:lang w:val="en-US"/>
        </w:rPr>
        <w:t>Efron</w:t>
      </w:r>
      <w:proofErr w:type="spellEnd"/>
      <w:r w:rsidRPr="005B4726">
        <w:rPr>
          <w:rFonts w:ascii="Arial" w:hAnsi="Arial" w:cs="Arial"/>
          <w:lang w:val="en-US"/>
        </w:rPr>
        <w:t xml:space="preserve"> et al.</w:t>
      </w:r>
      <w:r>
        <w:rPr>
          <w:rFonts w:ascii="Arial" w:hAnsi="Arial" w:cs="Arial"/>
          <w:lang w:val="en-US"/>
        </w:rPr>
        <w:t xml:space="preserve"> </w:t>
      </w:r>
      <w:r>
        <w:rPr>
          <w:rFonts w:ascii="Arial" w:hAnsi="Arial" w:cs="Arial"/>
          <w:lang w:val="en-US"/>
        </w:rPr>
        <w:fldChar w:fldCharType="begin" w:fldLock="1"/>
      </w:r>
      <w:r>
        <w:rPr>
          <w:rFonts w:ascii="Arial" w:hAnsi="Arial" w:cs="Arial"/>
          <w:lang w:val="en-US"/>
        </w:rPr>
        <w:instrText>ADDIN CSL_CITATION { "citationItems" : [ { "id" : "ITEM-1", "itemData" : { "abstract" : "The purpose of model selection algorithms such as All Subsets, Forward Selection and Backward Elimination is to choose a linear model on the basis of the same set of data to which the model will be applied. Typically we have available a large collection of possible covariates from which we hope to select a parsimonious set for the efficient prediction of a response variable. Least Angle Regression (LARS), a new model selection algorithm, is a useful and less greedy version of traditional forward selection methods. Three main properties are derived: (1) A simple modification of the LARS algorithm implements the Lasso, an attractive version of ordinary least squares that constrains the sum of the absolute regression coefficients; the LARS modification calculates all possible Lasso estimates for a given problem, using an order of magnitude less computer time than previous methods. (2) A different LARS modification efficiently implements Forward Stagewise linear regression, another promising new model selection method; this connection explains the similar numerical results previously observed for the Lasso and Stagewise, and helps us understand the properties of both methods, which are seen as constrained versions of the simpler LARS algorithm. (3) A simple approximation for the degrees of freedom of a LARS estimate is available, from which we derive a Cp estimate of prediction error; this allows a principled choice among the range of possible LARS estimates. LARS and its variants are computationally efficient: the paper describes a publicly available algorithm that requires only the same order of magnitude of computational effort as ordinary least squares applied to the full set of covariates.", "author" : [ { "dropping-particle" : "", "family" : "Efron", "given" : "B", "non-dropping-particle" : "", "parse-names" : false, "suffix" : "" }, { "dropping-particle" : "", "family" : "Hastie", "given" : "T", "non-dropping-particle" : "", "parse-names" : false, "suffix" : "" }, { "dropping-particle" : "", "family" : "Johnstone", "given" : "I", "non-dropping-particle" : "", "parse-names" : false, "suffix" : "" }, { "dropping-particle" : "", "family" : "Tibshirani", "given" : "Robert", "non-dropping-particle" : "", "parse-names" : false, "suffix" : "" } ], "id" : "ITEM-1", "issue" : "2", "issued" : { "date-parts" : [ [ "2004" ] ] }, "page" : "407-499", "title" : "Least Angle Regression", "type" : "article-journal", "volume" : "32" }, "uris" : [ "http://www.mendeley.com/documents/?uuid=192e5944-ef81-4fd9-8611-6d2179ffe7fb" ] } ], "mendeley" : { "formattedCitation" : "[2]", "plainTextFormattedCitation" : "[2]", "previouslyFormattedCitation" : "(Efron et al. 2004)" }, "properties" : { "noteIndex" : 9 }, "schema" : "https://github.com/citation-style-language/schema/raw/master/csl-citation.json" }</w:instrText>
      </w:r>
      <w:r>
        <w:rPr>
          <w:rFonts w:ascii="Arial" w:hAnsi="Arial" w:cs="Arial"/>
          <w:lang w:val="en-US"/>
        </w:rPr>
        <w:fldChar w:fldCharType="separate"/>
      </w:r>
      <w:r w:rsidRPr="00F70153">
        <w:rPr>
          <w:rFonts w:ascii="Arial" w:hAnsi="Arial" w:cs="Arial"/>
          <w:noProof/>
          <w:lang w:val="en-US"/>
        </w:rPr>
        <w:t>[2]</w:t>
      </w:r>
      <w:r>
        <w:rPr>
          <w:rFonts w:ascii="Arial" w:hAnsi="Arial" w:cs="Arial"/>
          <w:lang w:val="en-US"/>
        </w:rPr>
        <w:fldChar w:fldCharType="end"/>
      </w:r>
      <w:r>
        <w:rPr>
          <w:rFonts w:ascii="Arial" w:hAnsi="Arial" w:cs="Arial"/>
          <w:lang w:val="en-US"/>
        </w:rPr>
        <w:t xml:space="preserve">. The significance test for the lasso is implemented in the R package </w:t>
      </w:r>
      <w:proofErr w:type="spellStart"/>
      <w:r w:rsidRPr="005D2AB3">
        <w:rPr>
          <w:rFonts w:ascii="Arial" w:hAnsi="Arial" w:cs="Arial"/>
          <w:i/>
          <w:lang w:val="en-US"/>
        </w:rPr>
        <w:t>covTest</w:t>
      </w:r>
      <w:proofErr w:type="spellEnd"/>
      <w:r>
        <w:rPr>
          <w:rFonts w:ascii="Arial" w:hAnsi="Arial" w:cs="Arial"/>
          <w:lang w:val="en-US"/>
        </w:rPr>
        <w:t xml:space="preserve"> </w:t>
      </w:r>
      <w:r>
        <w:rPr>
          <w:rFonts w:ascii="Arial" w:hAnsi="Arial" w:cs="Arial"/>
          <w:lang w:val="en-US"/>
        </w:rPr>
        <w:fldChar w:fldCharType="begin" w:fldLock="1"/>
      </w:r>
      <w:r>
        <w:rPr>
          <w:rFonts w:ascii="Arial" w:hAnsi="Arial" w:cs="Arial"/>
          <w:lang w:val="en-US"/>
        </w:rPr>
        <w:instrText>ADDIN CSL_CITATION { "citationItems" : [ { "id" : "ITEM-1", "itemData" : { "DOI" : "10.1214/13-AOS1175", "ISBN" : "0090-5364", "ISSN" : "0090-5364", "author" : [ { "dropping-particle" : "", "family" : "Lockhart", "given" : "Richard", "non-dropping-particle" : "", "parse-names" : false, "suffix" : "" }, { "dropping-particle" : "", "family" : "Taylor", "given" : "Jonathan", "non-dropping-particle" : "", "parse-names" : false, "suffix" : "" }, { "dropping-particle" : "", "family" : "Tibshirani", "given" : "Ryan J.", "non-dropping-particle" : "", "parse-names" : false, "suffix" : "" }, { "dropping-particle" : "", "family" : "Tibshirani", "given" : "Robert", "non-dropping-particle" : "", "parse-names" : false, "suffix" : "" } ], "container-title" : "The Annals of Statistics", "id" : "ITEM-1", "issue" : "2", "issued" : { "date-parts" : [ [ "2014", "4" ] ] }, "page" : "413-468", "title" : "A significance test for the lasso", "type" : "article-journal", "volume" : "42" }, "uris" : [ "http://www.mendeley.com/documents/?uuid=4995cde6-b2a9-425b-802d-25104e31e8c9" ] } ], "mendeley" : { "formattedCitation" : "[1]", "plainTextFormattedCitation" : "[1]", "previouslyFormattedCitation" : "(Lockhart et al. 2014)" }, "properties" : { "noteIndex" : 9 }, "schema" : "https://github.com/citation-style-language/schema/raw/master/csl-citation.json" }</w:instrText>
      </w:r>
      <w:r>
        <w:rPr>
          <w:rFonts w:ascii="Arial" w:hAnsi="Arial" w:cs="Arial"/>
          <w:lang w:val="en-US"/>
        </w:rPr>
        <w:fldChar w:fldCharType="separate"/>
      </w:r>
      <w:r w:rsidRPr="00F70153">
        <w:rPr>
          <w:rFonts w:ascii="Arial" w:hAnsi="Arial" w:cs="Arial"/>
          <w:noProof/>
          <w:lang w:val="en-US"/>
        </w:rPr>
        <w:t>[1]</w:t>
      </w:r>
      <w:r>
        <w:rPr>
          <w:rFonts w:ascii="Arial" w:hAnsi="Arial" w:cs="Arial"/>
          <w:lang w:val="en-US"/>
        </w:rPr>
        <w:fldChar w:fldCharType="end"/>
      </w:r>
      <w:r>
        <w:rPr>
          <w:rFonts w:ascii="Arial" w:hAnsi="Arial" w:cs="Arial"/>
          <w:lang w:val="en-US"/>
        </w:rPr>
        <w:t xml:space="preserve">. Using this R package, p-values can be generated for the coefficients </w:t>
      </w:r>
      <m:oMath>
        <m:sSub>
          <m:sSubPr>
            <m:ctrlPr>
              <w:rPr>
                <w:rFonts w:ascii="Cambria Math" w:hAnsi="Cambria Math" w:cs="Arial"/>
                <w:i/>
                <w:iCs/>
                <w:lang w:val="en-US"/>
              </w:rPr>
            </m:ctrlPr>
          </m:sSubPr>
          <m:e>
            <m:acc>
              <m:accPr>
                <m:ctrlPr>
                  <w:rPr>
                    <w:rFonts w:ascii="Cambria Math" w:hAnsi="Cambria Math" w:cs="Arial"/>
                    <w:i/>
                    <w:iCs/>
                    <w:lang w:val="en-US"/>
                  </w:rPr>
                </m:ctrlPr>
              </m:accPr>
              <m:e>
                <m:r>
                  <w:rPr>
                    <w:rFonts w:ascii="Cambria Math" w:hAnsi="Cambria Math" w:cs="Arial"/>
                    <w:lang w:val="en-US"/>
                  </w:rPr>
                  <m:t>δ</m:t>
                </m:r>
              </m:e>
            </m:acc>
          </m:e>
          <m:sub>
            <m:r>
              <w:rPr>
                <w:rFonts w:ascii="Cambria Math" w:hAnsi="Cambria Math" w:cs="Arial"/>
                <w:lang w:val="en-US"/>
              </w:rPr>
              <m:t>j</m:t>
            </m:r>
          </m:sub>
        </m:sSub>
        <m:r>
          <w:rPr>
            <w:rFonts w:ascii="Cambria Math" w:eastAsiaTheme="minorEastAsia" w:hAnsi="Cambria Math" w:cs="Arial"/>
            <w:lang w:val="en-US"/>
          </w:rPr>
          <m:t xml:space="preserve"> (j=1, …, k)</m:t>
        </m:r>
      </m:oMath>
      <w:r>
        <w:rPr>
          <w:rFonts w:ascii="Arial" w:eastAsiaTheme="minorEastAsia" w:hAnsi="Arial" w:cs="Arial"/>
          <w:lang w:val="en-US"/>
        </w:rPr>
        <w:t xml:space="preserve"> of the interaction terms in equation (3) in the main text. </w:t>
      </w:r>
    </w:p>
    <w:p w:rsidR="00F70153" w:rsidRDefault="00F70153" w:rsidP="00F70153">
      <w:pPr>
        <w:spacing w:after="0" w:line="480" w:lineRule="auto"/>
        <w:jc w:val="both"/>
        <w:rPr>
          <w:rFonts w:ascii="Arial" w:hAnsi="Arial" w:cs="Arial"/>
          <w:lang w:val="en-US"/>
        </w:rPr>
      </w:pPr>
    </w:p>
    <w:p w:rsidR="00F70153" w:rsidRPr="004E464F" w:rsidRDefault="00F70153" w:rsidP="00F70153">
      <w:pPr>
        <w:spacing w:after="0" w:line="480" w:lineRule="auto"/>
        <w:jc w:val="both"/>
        <w:rPr>
          <w:rFonts w:ascii="Arial" w:hAnsi="Arial" w:cs="Arial"/>
          <w:lang w:val="en-US"/>
        </w:rPr>
      </w:pPr>
      <w:r w:rsidRPr="004E464F">
        <w:rPr>
          <w:rFonts w:ascii="Arial" w:hAnsi="Arial" w:cs="Arial"/>
          <w:lang w:val="en-US"/>
        </w:rPr>
        <w:t xml:space="preserve">The power of the model was calculated as </w:t>
      </w:r>
      <w:r>
        <w:rPr>
          <w:rFonts w:ascii="Arial" w:hAnsi="Arial" w:cs="Arial"/>
          <w:lang w:val="en-US"/>
        </w:rPr>
        <w:t xml:space="preserve">average </w:t>
      </w:r>
      <w:r w:rsidRPr="004E464F">
        <w:rPr>
          <w:rFonts w:ascii="Arial" w:hAnsi="Arial" w:cs="Arial"/>
          <w:lang w:val="en-US"/>
        </w:rPr>
        <w:t xml:space="preserve">proportion </w:t>
      </w:r>
      <w:r>
        <w:rPr>
          <w:rFonts w:ascii="Arial" w:hAnsi="Arial" w:cs="Arial"/>
          <w:lang w:val="en-US"/>
        </w:rPr>
        <w:t xml:space="preserve">of </w:t>
      </w:r>
      <w:r w:rsidRPr="004E464F">
        <w:rPr>
          <w:rFonts w:ascii="Arial" w:hAnsi="Arial" w:cs="Arial"/>
          <w:lang w:val="en-US"/>
        </w:rPr>
        <w:t>true-positive interaction</w:t>
      </w:r>
      <w:r>
        <w:rPr>
          <w:rFonts w:ascii="Arial" w:hAnsi="Arial" w:cs="Arial"/>
          <w:lang w:val="en-US"/>
        </w:rPr>
        <w:t>s that</w:t>
      </w:r>
      <w:r w:rsidRPr="004E464F">
        <w:rPr>
          <w:rFonts w:ascii="Arial" w:hAnsi="Arial" w:cs="Arial"/>
          <w:lang w:val="en-US"/>
        </w:rPr>
        <w:t xml:space="preserve"> w</w:t>
      </w:r>
      <w:r>
        <w:rPr>
          <w:rFonts w:ascii="Arial" w:hAnsi="Arial" w:cs="Arial"/>
          <w:lang w:val="en-US"/>
        </w:rPr>
        <w:t>ere</w:t>
      </w:r>
      <w:r w:rsidRPr="004E464F">
        <w:rPr>
          <w:rFonts w:ascii="Arial" w:hAnsi="Arial" w:cs="Arial"/>
          <w:lang w:val="en-US"/>
        </w:rPr>
        <w:t xml:space="preserve"> correctly identified</w:t>
      </w:r>
      <w:r>
        <w:rPr>
          <w:rFonts w:ascii="Arial" w:hAnsi="Arial" w:cs="Arial"/>
          <w:lang w:val="en-US"/>
        </w:rPr>
        <w:t xml:space="preserve"> within the six risk SNPs</w:t>
      </w:r>
      <w:r w:rsidRPr="004E464F">
        <w:rPr>
          <w:rFonts w:ascii="Arial" w:hAnsi="Arial" w:cs="Arial"/>
          <w:lang w:val="en-US"/>
        </w:rPr>
        <w:t xml:space="preserve"> (</w:t>
      </w:r>
      <w:r>
        <w:rPr>
          <w:rFonts w:ascii="Arial" w:hAnsi="Arial" w:cs="Arial"/>
          <w:lang w:val="en-US"/>
        </w:rPr>
        <w:t xml:space="preserve">sign of the parameter estimate for the </w:t>
      </w:r>
      <w:r w:rsidRPr="004E464F">
        <w:rPr>
          <w:rFonts w:ascii="Arial" w:hAnsi="Arial" w:cs="Arial"/>
          <w:lang w:val="en-US"/>
        </w:rPr>
        <w:t xml:space="preserve">interaction </w:t>
      </w:r>
      <w:r>
        <w:rPr>
          <w:rFonts w:ascii="Arial" w:hAnsi="Arial" w:cs="Arial"/>
          <w:lang w:val="en-US"/>
        </w:rPr>
        <w:t xml:space="preserve">term </w:t>
      </w:r>
      <w:r w:rsidRPr="004E464F">
        <w:rPr>
          <w:rFonts w:ascii="Arial" w:hAnsi="Arial" w:cs="Arial"/>
          <w:lang w:val="en-US"/>
        </w:rPr>
        <w:t xml:space="preserve">correctly identified and p-value&lt;0.05) across </w:t>
      </w:r>
      <w:r>
        <w:rPr>
          <w:rFonts w:ascii="Arial" w:hAnsi="Arial" w:cs="Arial"/>
          <w:lang w:val="en-US"/>
        </w:rPr>
        <w:t>100</w:t>
      </w:r>
      <w:r w:rsidRPr="004E464F">
        <w:rPr>
          <w:rFonts w:ascii="Arial" w:hAnsi="Arial" w:cs="Arial"/>
          <w:lang w:val="en-US"/>
        </w:rPr>
        <w:t xml:space="preserve"> replications. The type I error of the model was calculated as the </w:t>
      </w:r>
      <w:r>
        <w:rPr>
          <w:rFonts w:ascii="Arial" w:hAnsi="Arial" w:cs="Arial"/>
          <w:lang w:val="en-US"/>
        </w:rPr>
        <w:t>number</w:t>
      </w:r>
      <w:r w:rsidRPr="004E464F">
        <w:rPr>
          <w:rFonts w:ascii="Arial" w:hAnsi="Arial" w:cs="Arial"/>
          <w:lang w:val="en-US"/>
        </w:rPr>
        <w:t xml:space="preserve"> </w:t>
      </w:r>
      <w:r>
        <w:rPr>
          <w:rFonts w:ascii="Arial" w:hAnsi="Arial" w:cs="Arial"/>
          <w:lang w:val="en-US"/>
        </w:rPr>
        <w:t xml:space="preserve">of false-positive </w:t>
      </w:r>
      <w:r w:rsidRPr="004E464F">
        <w:rPr>
          <w:rFonts w:ascii="Arial" w:hAnsi="Arial" w:cs="Arial"/>
          <w:lang w:val="en-US"/>
        </w:rPr>
        <w:t>interaction</w:t>
      </w:r>
      <w:r>
        <w:rPr>
          <w:rFonts w:ascii="Arial" w:hAnsi="Arial" w:cs="Arial"/>
          <w:lang w:val="en-US"/>
        </w:rPr>
        <w:t>s</w:t>
      </w:r>
      <w:r w:rsidRPr="004E464F">
        <w:rPr>
          <w:rFonts w:ascii="Arial" w:hAnsi="Arial" w:cs="Arial"/>
          <w:lang w:val="en-US"/>
        </w:rPr>
        <w:t xml:space="preserve"> </w:t>
      </w:r>
      <w:r>
        <w:rPr>
          <w:rFonts w:ascii="Arial" w:hAnsi="Arial" w:cs="Arial"/>
          <w:lang w:val="en-US"/>
        </w:rPr>
        <w:t>that were</w:t>
      </w:r>
      <w:r w:rsidRPr="004E464F">
        <w:rPr>
          <w:rFonts w:ascii="Arial" w:hAnsi="Arial" w:cs="Arial"/>
          <w:lang w:val="en-US"/>
        </w:rPr>
        <w:t xml:space="preserve"> identified </w:t>
      </w:r>
      <w:r>
        <w:rPr>
          <w:rFonts w:ascii="Arial" w:hAnsi="Arial" w:cs="Arial"/>
          <w:lang w:val="en-US"/>
        </w:rPr>
        <w:t xml:space="preserve">within the noise SNPs in the scenarios with six risk SNPs that interact with the environmental factor </w:t>
      </w:r>
      <m:oMath>
        <m:r>
          <w:rPr>
            <w:rFonts w:ascii="Cambria Math" w:hAnsi="Cambria Math" w:cs="Arial"/>
            <w:lang w:val="en-US"/>
          </w:rPr>
          <m:t>E</m:t>
        </m:r>
      </m:oMath>
      <w:r>
        <w:rPr>
          <w:rFonts w:ascii="Arial" w:hAnsi="Arial" w:cs="Arial"/>
          <w:lang w:val="en-US"/>
        </w:rPr>
        <w:t xml:space="preserve"> as well as </w:t>
      </w:r>
      <w:r w:rsidRPr="004E464F">
        <w:rPr>
          <w:rFonts w:ascii="Arial" w:hAnsi="Arial" w:cs="Arial"/>
          <w:lang w:val="en-US"/>
        </w:rPr>
        <w:t>under the null hypothesis</w:t>
      </w:r>
      <w:r>
        <w:rPr>
          <w:rFonts w:ascii="Arial" w:hAnsi="Arial" w:cs="Arial"/>
          <w:lang w:val="en-US"/>
        </w:rPr>
        <w:t xml:space="preserve"> (no interaction present)</w:t>
      </w:r>
      <w:r w:rsidR="00504842">
        <w:rPr>
          <w:rFonts w:ascii="Arial" w:hAnsi="Arial" w:cs="Arial"/>
          <w:lang w:val="en-US"/>
        </w:rPr>
        <w:t xml:space="preserve"> a</w:t>
      </w:r>
      <w:r w:rsidR="00F33D57">
        <w:rPr>
          <w:rFonts w:ascii="Arial" w:hAnsi="Arial" w:cs="Arial"/>
          <w:lang w:val="en-US"/>
        </w:rPr>
        <w:t>cross</w:t>
      </w:r>
      <w:r w:rsidR="00504842">
        <w:rPr>
          <w:rFonts w:ascii="Arial" w:hAnsi="Arial" w:cs="Arial"/>
          <w:lang w:val="en-US"/>
        </w:rPr>
        <w:t xml:space="preserve"> </w:t>
      </w:r>
      <w:r w:rsidR="00F33D57">
        <w:rPr>
          <w:rFonts w:ascii="Arial" w:hAnsi="Arial" w:cs="Arial"/>
          <w:lang w:val="en-US"/>
        </w:rPr>
        <w:t>1</w:t>
      </w:r>
      <w:r w:rsidR="00504842">
        <w:rPr>
          <w:rFonts w:ascii="Arial" w:hAnsi="Arial" w:cs="Arial"/>
          <w:lang w:val="en-US"/>
        </w:rPr>
        <w:t>00 replications</w:t>
      </w:r>
      <w:r w:rsidRPr="004E464F">
        <w:rPr>
          <w:rFonts w:ascii="Arial" w:hAnsi="Arial" w:cs="Arial"/>
          <w:lang w:val="en-US"/>
        </w:rPr>
        <w:t xml:space="preserve">. </w:t>
      </w:r>
      <w:r>
        <w:rPr>
          <w:rFonts w:ascii="Arial" w:hAnsi="Arial" w:cs="Arial"/>
          <w:lang w:val="en-US"/>
        </w:rPr>
        <w:t xml:space="preserve">We further evaluated the </w:t>
      </w:r>
      <w:r w:rsidRPr="004E464F">
        <w:rPr>
          <w:rFonts w:ascii="Arial" w:hAnsi="Arial" w:cs="Arial"/>
          <w:lang w:val="en-US"/>
        </w:rPr>
        <w:t xml:space="preserve">proportion of </w:t>
      </w:r>
      <w:r>
        <w:rPr>
          <w:rFonts w:ascii="Arial" w:hAnsi="Arial" w:cs="Arial"/>
          <w:lang w:val="en-US"/>
        </w:rPr>
        <w:t>sign-misspecifications,</w:t>
      </w:r>
      <w:r w:rsidRPr="004E464F">
        <w:rPr>
          <w:rFonts w:ascii="Arial" w:hAnsi="Arial" w:cs="Arial"/>
          <w:lang w:val="en-US"/>
        </w:rPr>
        <w:t xml:space="preserve"> </w:t>
      </w:r>
      <w:r>
        <w:rPr>
          <w:rFonts w:ascii="Arial" w:hAnsi="Arial" w:cs="Arial"/>
          <w:lang w:val="en-US"/>
        </w:rPr>
        <w:t xml:space="preserve">which </w:t>
      </w:r>
      <w:proofErr w:type="gramStart"/>
      <w:r w:rsidRPr="004E464F">
        <w:rPr>
          <w:rFonts w:ascii="Arial" w:hAnsi="Arial" w:cs="Arial"/>
          <w:lang w:val="en-US"/>
        </w:rPr>
        <w:t>was calculated</w:t>
      </w:r>
      <w:proofErr w:type="gramEnd"/>
      <w:r w:rsidRPr="004E464F">
        <w:rPr>
          <w:rFonts w:ascii="Arial" w:hAnsi="Arial" w:cs="Arial"/>
          <w:lang w:val="en-US"/>
        </w:rPr>
        <w:t xml:space="preserve"> as the proportion of times a </w:t>
      </w:r>
      <w:r>
        <w:rPr>
          <w:rFonts w:ascii="Arial" w:hAnsi="Arial" w:cs="Arial"/>
          <w:lang w:val="en-US"/>
        </w:rPr>
        <w:t>significant</w:t>
      </w:r>
      <w:r w:rsidRPr="004E464F">
        <w:rPr>
          <w:rFonts w:ascii="Arial" w:hAnsi="Arial" w:cs="Arial"/>
          <w:lang w:val="en-US"/>
        </w:rPr>
        <w:t xml:space="preserve"> interaction was identified</w:t>
      </w:r>
      <w:r>
        <w:rPr>
          <w:rFonts w:ascii="Arial" w:hAnsi="Arial" w:cs="Arial"/>
          <w:lang w:val="en-US"/>
        </w:rPr>
        <w:t>,</w:t>
      </w:r>
      <w:r w:rsidRPr="004E464F">
        <w:rPr>
          <w:rFonts w:ascii="Arial" w:hAnsi="Arial" w:cs="Arial"/>
          <w:lang w:val="en-US"/>
        </w:rPr>
        <w:t xml:space="preserve"> but the </w:t>
      </w:r>
      <w:r>
        <w:rPr>
          <w:rFonts w:ascii="Arial" w:hAnsi="Arial" w:cs="Arial"/>
          <w:lang w:val="en-US"/>
        </w:rPr>
        <w:t>sign of the parameter estimate</w:t>
      </w:r>
      <w:r w:rsidRPr="000963A2">
        <w:rPr>
          <w:rFonts w:ascii="Arial" w:hAnsi="Arial" w:cs="Arial"/>
          <w:lang w:val="en-US"/>
        </w:rPr>
        <w:t xml:space="preserve"> for the interaction term</w:t>
      </w:r>
      <w:r w:rsidRPr="000963A2" w:rsidDel="000963A2">
        <w:rPr>
          <w:rFonts w:ascii="Arial" w:hAnsi="Arial" w:cs="Arial"/>
          <w:lang w:val="en-US"/>
        </w:rPr>
        <w:t xml:space="preserve"> </w:t>
      </w:r>
      <w:r w:rsidRPr="004E464F">
        <w:rPr>
          <w:rFonts w:ascii="Arial" w:hAnsi="Arial" w:cs="Arial"/>
          <w:lang w:val="en-US"/>
        </w:rPr>
        <w:t>was not correctly determined.</w:t>
      </w:r>
    </w:p>
    <w:p w:rsidR="00F70153" w:rsidRDefault="00F70153" w:rsidP="006449CA">
      <w:pPr>
        <w:rPr>
          <w:lang w:val="en-US"/>
        </w:rPr>
      </w:pPr>
    </w:p>
    <w:p w:rsidR="00F70153" w:rsidRPr="00F70153" w:rsidRDefault="00F70153" w:rsidP="006449CA">
      <w:pPr>
        <w:rPr>
          <w:rFonts w:ascii="Arial" w:hAnsi="Arial" w:cs="Arial"/>
          <w:b/>
          <w:sz w:val="24"/>
          <w:szCs w:val="24"/>
          <w:lang w:val="en-US"/>
        </w:rPr>
      </w:pPr>
      <w:r w:rsidRPr="00F70153">
        <w:rPr>
          <w:rFonts w:ascii="Arial" w:hAnsi="Arial" w:cs="Arial"/>
          <w:b/>
          <w:sz w:val="24"/>
          <w:szCs w:val="24"/>
          <w:lang w:val="en-US"/>
        </w:rPr>
        <w:t>Results</w:t>
      </w:r>
    </w:p>
    <w:p w:rsidR="00F70153" w:rsidRDefault="00F70153" w:rsidP="00F70153">
      <w:pPr>
        <w:spacing w:after="0" w:line="480" w:lineRule="auto"/>
        <w:jc w:val="both"/>
        <w:rPr>
          <w:rFonts w:ascii="Arial" w:hAnsi="Arial" w:cs="Arial"/>
          <w:lang w:val="en-US"/>
        </w:rPr>
      </w:pPr>
      <w:r>
        <w:rPr>
          <w:rFonts w:ascii="Arial" w:hAnsi="Arial" w:cs="Arial"/>
          <w:lang w:val="en-US"/>
        </w:rPr>
        <w:t>W</w:t>
      </w:r>
      <w:r w:rsidRPr="004E464F">
        <w:rPr>
          <w:rFonts w:ascii="Arial" w:hAnsi="Arial" w:cs="Arial"/>
          <w:lang w:val="en-US"/>
        </w:rPr>
        <w:t xml:space="preserve">e compared </w:t>
      </w:r>
      <w:r>
        <w:rPr>
          <w:rFonts w:ascii="Arial" w:hAnsi="Arial" w:cs="Arial"/>
          <w:lang w:val="en-US"/>
        </w:rPr>
        <w:t>the GRS-interaction-training approach</w:t>
      </w:r>
      <w:r w:rsidRPr="004E464F">
        <w:rPr>
          <w:rFonts w:ascii="Arial" w:hAnsi="Arial" w:cs="Arial"/>
          <w:lang w:val="en-US"/>
        </w:rPr>
        <w:t xml:space="preserve"> (balance training vs. test data 1:1)</w:t>
      </w:r>
      <w:r>
        <w:rPr>
          <w:rFonts w:ascii="Arial" w:hAnsi="Arial" w:cs="Arial"/>
          <w:lang w:val="en-US"/>
        </w:rPr>
        <w:t xml:space="preserve"> and the</w:t>
      </w:r>
      <w:r w:rsidRPr="004E464F">
        <w:rPr>
          <w:rFonts w:ascii="Arial" w:hAnsi="Arial" w:cs="Arial"/>
          <w:lang w:val="en-US"/>
        </w:rPr>
        <w:t xml:space="preserve"> GRS</w:t>
      </w:r>
      <w:r>
        <w:rPr>
          <w:rFonts w:ascii="Arial" w:hAnsi="Arial" w:cs="Arial"/>
          <w:lang w:val="en-US"/>
        </w:rPr>
        <w:t>-marginal-internal approach</w:t>
      </w:r>
      <w:r w:rsidRPr="004E464F">
        <w:rPr>
          <w:rFonts w:ascii="Arial" w:hAnsi="Arial" w:cs="Arial"/>
          <w:lang w:val="en-US"/>
        </w:rPr>
        <w:t xml:space="preserve"> </w:t>
      </w:r>
      <w:r w:rsidRPr="004E464F">
        <w:rPr>
          <w:rFonts w:ascii="Arial" w:hAnsi="Arial" w:cs="Arial"/>
          <w:lang w:val="en-US"/>
        </w:rPr>
        <w:fldChar w:fldCharType="begin" w:fldLock="1"/>
      </w:r>
      <w:r>
        <w:rPr>
          <w:rFonts w:ascii="Arial" w:hAnsi="Arial" w:cs="Arial"/>
          <w:lang w:val="en-US"/>
        </w:rPr>
        <w:instrText>ADDIN CSL_CITATION { "citationItems" : [ { "id" : "ITEM-1", "itemData" : { "DOI" : "10.1186/s12863-017-0519-1", "ISSN" : "1471-2156", "PMID" : "28606108", "abstract" : "BACKGROUND For the analysis of gene-environment (GxE) interactions commonly single nucleotide polymorphisms (SNPs) are used to characterize genetic susceptibility, an approach that mostly lacks power and has poor reproducibility. One promising approach to overcome this problem might be the use of weighted genetic risk scores (GRS), which are defined as weighted sums of risk alleles of gene variants. The gold-standard is to use external weights from published meta-analyses. METHODS In this study, we used internal weights from the marginal genetic effects of the SNPs estimated by a multivariate elastic net regression and thereby provided a method that can be used if there are no external weights available. We conducted a simulation study for the detection of GxE interactions and compared power and type I error of single SNPs analyses with Bonferroni correction and corresponding analysis with unweighted and our weighted GRS approach in scenarios with six risk SNPs and an increasing number of highly correlated (up to 210) and noise SNPs (up to 840). RESULTS Applying weighted GRS increased the power enormously in comparison to the common single SNPs approach (e.g. 94.2% vs. 35.4%, respectively, to detect a weak interaction with an OR \u2248 1.04 for six uncorrelated risk SNPs and n = 700 with a well-controlled type I error). Furthermore, weighted GRS outperformed the unweighted GRS, in particular in the presence of SNPs without any effect on the phenotype (e.g. 90.1% vs. 43.9%, respectively, when 20 noise SNPs were added to the six risk SNPs). This outperforming of the weighted GRS was confirmed in a real data application on lung inflammation in the SALIA cohort (n = 402). However, in scenarios with a high number of noise SNPs (&gt;200 vs. 6 risk SNPs), larger sample sizes are needed to avoid an increased type I error, whereas a high number of correlated SNPs can be handled even in small samples (e.g. n = 400). CONCLUSION In conclusion, weighted GRS with weights from the marginal genetic effects of the SNPs estimated by a multivariate elastic net regression were shown to be a powerful tool to detect gene-environment interactions in scenarios of high Linkage disequilibrium and noise.", "author" : [ { "dropping-particle" : "", "family" : "H\u00fcls", "given" : "Anke", "non-dropping-particle" : "", "parse-names" : false, "suffix" : "" }, { "dropping-particle" : "", "family" : "Ickstadt", "given" : "Katja", "non-dropping-particle" : "", "parse-names" : false, "suffix" : "" }, { "dropping-particle" : "", "family" : "Schikowski", "given" : "Tamara", "non-dropping-particle" : "", "parse-names" : false, "suffix" : "" }, { "dropping-particle" : "", "family" : "Kr\u00e4mer", "given" : "Ursula", "non-dropping-particle" : "", "parse-names" : false, "suffix" : "" } ], "container-title" : "BMC Genetics", "id" : "ITEM-1", "issue" : "1", "issued" : { "date-parts" : [ [ "2017", "6", "12" ] ] }, "page" : "55", "title" : "Detection of gene-environment interactions in the presence of linkage disequilibrium and noise by using genetic risk scores with internal weights from elastic net regression.", "type" : "article-journal", "volume" : "18" }, "uris" : [ "http://www.mendeley.com/documents/?uuid=4c0a9efb-8dfd-437e-8fed-998b0bf480df", "http://www.mendeley.com/documents/?uuid=f574fd81-7284-4747-af36-9b78f4bd753c" ] } ], "mendeley" : { "formattedCitation" : "[3]", "plainTextFormattedCitation" : "[3]", "previouslyFormattedCitation" : "(H\u00fcls et al. 2017)" }, "properties" : { "noteIndex" : 0 }, "schema" : "https://github.com/citation-style-language/schema/raw/master/csl-citation.json" }</w:instrText>
      </w:r>
      <w:r w:rsidRPr="004E464F">
        <w:rPr>
          <w:rFonts w:ascii="Arial" w:hAnsi="Arial" w:cs="Arial"/>
          <w:lang w:val="en-US"/>
        </w:rPr>
        <w:fldChar w:fldCharType="separate"/>
      </w:r>
      <w:r w:rsidRPr="00F70153">
        <w:rPr>
          <w:rFonts w:ascii="Arial" w:hAnsi="Arial" w:cs="Arial"/>
          <w:noProof/>
          <w:lang w:val="en-US"/>
        </w:rPr>
        <w:t>[3]</w:t>
      </w:r>
      <w:r w:rsidRPr="004E464F">
        <w:rPr>
          <w:rFonts w:ascii="Arial" w:hAnsi="Arial" w:cs="Arial"/>
          <w:lang w:val="en-US"/>
        </w:rPr>
        <w:fldChar w:fldCharType="end"/>
      </w:r>
      <w:r>
        <w:rPr>
          <w:rFonts w:ascii="Arial" w:hAnsi="Arial" w:cs="Arial"/>
          <w:lang w:val="en-US"/>
        </w:rPr>
        <w:t xml:space="preserve"> to the results of the lasso regression </w:t>
      </w:r>
      <w:r w:rsidRPr="004E464F">
        <w:rPr>
          <w:rFonts w:ascii="Arial" w:hAnsi="Arial" w:cs="Arial"/>
          <w:lang w:val="en-US"/>
        </w:rPr>
        <w:t>in scenarios with (A) predominant interaction effects and (B) predominant marginal genetic effects</w:t>
      </w:r>
      <w:r>
        <w:rPr>
          <w:rFonts w:ascii="Arial" w:hAnsi="Arial" w:cs="Arial"/>
          <w:lang w:val="en-US"/>
        </w:rPr>
        <w:t xml:space="preserve"> with an increasing number of noise SNPs (up to 100)</w:t>
      </w:r>
      <w:r w:rsidRPr="004E464F">
        <w:rPr>
          <w:rFonts w:ascii="Arial" w:hAnsi="Arial" w:cs="Arial"/>
          <w:lang w:val="en-US"/>
        </w:rPr>
        <w:t>.</w:t>
      </w:r>
      <w:r>
        <w:rPr>
          <w:rFonts w:ascii="Arial" w:hAnsi="Arial" w:cs="Arial"/>
          <w:lang w:val="en-US"/>
        </w:rPr>
        <w:t xml:space="preserve"> Over all scenarios, the lasso regression reached a lower power to detect interactions than the GRS-approaches (Figure S1, Additional file 1). Furthermore, the capacity of the lasso regression to differentiate between true and false </w:t>
      </w:r>
      <w:r>
        <w:rPr>
          <w:rFonts w:ascii="Arial" w:hAnsi="Arial" w:cs="Arial"/>
          <w:lang w:val="en-US"/>
        </w:rPr>
        <w:lastRenderedPageBreak/>
        <w:t xml:space="preserve">positive SNPs was low in scenarios with a high number of noise SNPs (e.g. 100 noise SNPs and six risk SNPs; compare type I error in Figure S2, Additional file 1). </w:t>
      </w:r>
      <w:r w:rsidR="00F33D57">
        <w:rPr>
          <w:rFonts w:ascii="Arial" w:hAnsi="Arial" w:cs="Arial"/>
          <w:lang w:val="en-US"/>
        </w:rPr>
        <w:t>Furthermore, in the presence of six risk SNPs with predominant interaction effect</w:t>
      </w:r>
      <w:r w:rsidR="00D276C6">
        <w:rPr>
          <w:rFonts w:ascii="Arial" w:hAnsi="Arial" w:cs="Arial"/>
          <w:lang w:val="en-US"/>
        </w:rPr>
        <w:t>s</w:t>
      </w:r>
      <w:r w:rsidR="00F33D57">
        <w:rPr>
          <w:rFonts w:ascii="Arial" w:hAnsi="Arial" w:cs="Arial"/>
          <w:lang w:val="en-US"/>
        </w:rPr>
        <w:t xml:space="preserve"> and a high number of noise SNPs, the number of false positives SNPs showed a large variation across the 100 replications, e.g. ranging from </w:t>
      </w:r>
      <w:proofErr w:type="gramStart"/>
      <w:r w:rsidR="00F33D57">
        <w:rPr>
          <w:rFonts w:ascii="Arial" w:hAnsi="Arial" w:cs="Arial"/>
          <w:lang w:val="en-US"/>
        </w:rPr>
        <w:t>0</w:t>
      </w:r>
      <w:proofErr w:type="gramEnd"/>
      <w:r w:rsidR="00F33D57">
        <w:rPr>
          <w:rFonts w:ascii="Arial" w:hAnsi="Arial" w:cs="Arial"/>
          <w:lang w:val="en-US"/>
        </w:rPr>
        <w:t xml:space="preserve"> to 53 in the presence of 100 noise SNPs. This variation </w:t>
      </w:r>
      <w:proofErr w:type="gramStart"/>
      <w:r w:rsidR="00F33D57">
        <w:rPr>
          <w:rFonts w:ascii="Arial" w:hAnsi="Arial" w:cs="Arial"/>
          <w:lang w:val="en-US"/>
        </w:rPr>
        <w:t>is presented</w:t>
      </w:r>
      <w:proofErr w:type="gramEnd"/>
      <w:r w:rsidR="00F33D57">
        <w:rPr>
          <w:rFonts w:ascii="Arial" w:hAnsi="Arial" w:cs="Arial"/>
          <w:lang w:val="en-US"/>
        </w:rPr>
        <w:t xml:space="preserve"> </w:t>
      </w:r>
      <w:r w:rsidR="00D276C6">
        <w:rPr>
          <w:rFonts w:ascii="Arial" w:hAnsi="Arial" w:cs="Arial"/>
          <w:lang w:val="en-US"/>
        </w:rPr>
        <w:t>in</w:t>
      </w:r>
      <w:r w:rsidR="00F33D57">
        <w:rPr>
          <w:rFonts w:ascii="Arial" w:hAnsi="Arial" w:cs="Arial"/>
          <w:lang w:val="en-US"/>
        </w:rPr>
        <w:t xml:space="preserve"> the boxplots in Figure S2.</w:t>
      </w:r>
    </w:p>
    <w:p w:rsidR="00F70153" w:rsidRDefault="00F70153" w:rsidP="00F70153">
      <w:pPr>
        <w:spacing w:after="0" w:line="480" w:lineRule="auto"/>
        <w:jc w:val="both"/>
        <w:rPr>
          <w:rFonts w:ascii="Arial" w:hAnsi="Arial" w:cs="Arial"/>
          <w:lang w:val="en-US"/>
        </w:rPr>
      </w:pPr>
    </w:p>
    <w:p w:rsidR="00F70153" w:rsidRDefault="00F70153" w:rsidP="00F70153">
      <w:pPr>
        <w:spacing w:after="0" w:line="480" w:lineRule="auto"/>
        <w:jc w:val="both"/>
        <w:rPr>
          <w:rFonts w:ascii="Arial" w:hAnsi="Arial" w:cs="Arial"/>
          <w:lang w:val="en-US"/>
        </w:rPr>
      </w:pPr>
    </w:p>
    <w:p w:rsidR="00F70153" w:rsidRDefault="00F70153" w:rsidP="00F70153">
      <w:pPr>
        <w:spacing w:after="0" w:line="480" w:lineRule="auto"/>
        <w:jc w:val="both"/>
        <w:rPr>
          <w:rFonts w:ascii="Arial" w:hAnsi="Arial" w:cs="Arial"/>
          <w:lang w:val="en-US"/>
        </w:rPr>
      </w:pPr>
      <w:r>
        <w:rPr>
          <w:rFonts w:ascii="Arial" w:hAnsi="Arial" w:cs="Arial"/>
          <w:noProof/>
          <w:lang w:eastAsia="de-DE"/>
        </w:rPr>
        <w:drawing>
          <wp:inline distT="0" distB="0" distL="0" distR="0">
            <wp:extent cx="5759823" cy="4895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oktorarbeit\Paper\Paper2_GRS_training_data\BMC Genetics\R2 (major Revision)\Supplement_01_Graph_Power_misspecifications_multivariate_lasso_N_3000_OR_1.5_replic_1000_both_scrime_scenarios.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59823" cy="4895850"/>
                    </a:xfrm>
                    <a:prstGeom prst="rect">
                      <a:avLst/>
                    </a:prstGeom>
                    <a:noFill/>
                    <a:ln>
                      <a:noFill/>
                    </a:ln>
                  </pic:spPr>
                </pic:pic>
              </a:graphicData>
            </a:graphic>
          </wp:inline>
        </w:drawing>
      </w:r>
    </w:p>
    <w:p w:rsidR="00F70153" w:rsidRDefault="00F70153" w:rsidP="00F70153">
      <w:pPr>
        <w:jc w:val="both"/>
        <w:rPr>
          <w:rFonts w:ascii="Arial" w:hAnsi="Arial" w:cs="Arial"/>
          <w:lang w:val="en-US"/>
        </w:rPr>
      </w:pPr>
      <w:r>
        <w:rPr>
          <w:rFonts w:ascii="Arial" w:hAnsi="Arial" w:cs="Arial"/>
          <w:b/>
          <w:lang w:val="en-US"/>
        </w:rPr>
        <w:t>Figure S</w:t>
      </w:r>
      <w:r w:rsidRPr="009C6ABA">
        <w:rPr>
          <w:rFonts w:ascii="Arial" w:hAnsi="Arial" w:cs="Arial"/>
          <w:b/>
          <w:lang w:val="en-US"/>
        </w:rPr>
        <w:t>1:</w:t>
      </w:r>
      <w:r w:rsidRPr="009C6ABA">
        <w:rPr>
          <w:rFonts w:ascii="Arial" w:hAnsi="Arial" w:cs="Arial"/>
          <w:lang w:val="en-US"/>
        </w:rPr>
        <w:t xml:space="preserve"> GRS-approaches vs. lasso regression with increasing number of noise SNPs (up to 100). Power and sign-misspecifications comparison of </w:t>
      </w:r>
      <w:proofErr w:type="spellStart"/>
      <w:r w:rsidRPr="009C6ABA">
        <w:rPr>
          <w:rFonts w:ascii="Arial" w:hAnsi="Arial" w:cs="Arial"/>
          <w:lang w:val="en-US"/>
        </w:rPr>
        <w:t>i</w:t>
      </w:r>
      <w:proofErr w:type="spellEnd"/>
      <w:r w:rsidRPr="009C6ABA">
        <w:rPr>
          <w:rFonts w:ascii="Arial" w:hAnsi="Arial" w:cs="Arial"/>
          <w:lang w:val="en-US"/>
        </w:rPr>
        <w:t xml:space="preserve">) the GRS-interaction-training approach (red lines; one half of the data used as training data and the other half as test data), ii) the GRS-marginal-internal approach (blue lines) and iii) lasso logistic regression (black </w:t>
      </w:r>
      <w:r w:rsidR="00D276C6">
        <w:rPr>
          <w:rFonts w:ascii="Arial" w:hAnsi="Arial" w:cs="Arial"/>
          <w:lang w:val="en-US"/>
        </w:rPr>
        <w:t xml:space="preserve">solid </w:t>
      </w:r>
      <w:r w:rsidRPr="009C6ABA">
        <w:rPr>
          <w:rFonts w:ascii="Arial" w:hAnsi="Arial" w:cs="Arial"/>
          <w:lang w:val="en-US"/>
        </w:rPr>
        <w:t>lines).</w:t>
      </w:r>
    </w:p>
    <w:p w:rsidR="00F70153" w:rsidRDefault="00F70153" w:rsidP="00F70153">
      <w:pPr>
        <w:spacing w:after="0" w:line="480" w:lineRule="auto"/>
        <w:jc w:val="both"/>
        <w:rPr>
          <w:rFonts w:ascii="Arial" w:hAnsi="Arial" w:cs="Arial"/>
          <w:lang w:val="en-US"/>
        </w:rPr>
        <w:sectPr w:rsidR="00F70153" w:rsidSect="00F70153">
          <w:pgSz w:w="11906" w:h="16838"/>
          <w:pgMar w:top="1417" w:right="1417" w:bottom="1134" w:left="1417" w:header="708" w:footer="708" w:gutter="0"/>
          <w:cols w:space="708"/>
          <w:docGrid w:linePitch="360"/>
        </w:sectPr>
      </w:pPr>
    </w:p>
    <w:p w:rsidR="00F70153" w:rsidRDefault="00F70153" w:rsidP="00F70153">
      <w:pPr>
        <w:jc w:val="both"/>
        <w:rPr>
          <w:rFonts w:ascii="Arial" w:hAnsi="Arial" w:cs="Arial"/>
          <w:b/>
          <w:lang w:val="en-US"/>
        </w:rPr>
      </w:pPr>
      <w:r>
        <w:rPr>
          <w:rFonts w:ascii="Arial" w:hAnsi="Arial" w:cs="Arial"/>
          <w:b/>
          <w:noProof/>
          <w:lang w:eastAsia="de-DE"/>
        </w:rPr>
        <w:lastRenderedPageBreak/>
        <w:drawing>
          <wp:inline distT="0" distB="0" distL="0" distR="0">
            <wp:extent cx="5762625" cy="4895850"/>
            <wp:effectExtent l="0" t="0" r="0" b="0"/>
            <wp:docPr id="2" name="Grafik 2" descr="P:\Doktorarbeit\Paper\Paper2_GRS_training_data\BMC Genetics\R2 (major Revision)\Supplement_02_Graph_type1error_multivariate_lasso_N_3000_OR_1.5_replic_1000_both_scrime_scena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oktorarbeit\Paper\Paper2_GRS_training_data\BMC Genetics\R2 (major Revision)\Supplement_02_Graph_type1error_multivariate_lasso_N_3000_OR_1.5_replic_1000_both_scrime_scenari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2625" cy="4895850"/>
                    </a:xfrm>
                    <a:prstGeom prst="rect">
                      <a:avLst/>
                    </a:prstGeom>
                    <a:noFill/>
                    <a:ln>
                      <a:noFill/>
                    </a:ln>
                  </pic:spPr>
                </pic:pic>
              </a:graphicData>
            </a:graphic>
          </wp:inline>
        </w:drawing>
      </w:r>
    </w:p>
    <w:p w:rsidR="00F70153" w:rsidRDefault="00F70153" w:rsidP="00F70153">
      <w:pPr>
        <w:jc w:val="both"/>
        <w:rPr>
          <w:rFonts w:ascii="Arial" w:hAnsi="Arial" w:cs="Arial"/>
          <w:lang w:val="en-US"/>
        </w:rPr>
      </w:pPr>
      <w:r w:rsidRPr="009C6ABA">
        <w:rPr>
          <w:rFonts w:ascii="Arial" w:hAnsi="Arial" w:cs="Arial"/>
          <w:b/>
          <w:lang w:val="en-US"/>
        </w:rPr>
        <w:t xml:space="preserve">Figure </w:t>
      </w:r>
      <w:r>
        <w:rPr>
          <w:rFonts w:ascii="Arial" w:hAnsi="Arial" w:cs="Arial"/>
          <w:b/>
          <w:lang w:val="en-US"/>
        </w:rPr>
        <w:t>S</w:t>
      </w:r>
      <w:r w:rsidRPr="009C6ABA">
        <w:rPr>
          <w:rFonts w:ascii="Arial" w:hAnsi="Arial" w:cs="Arial"/>
          <w:b/>
          <w:lang w:val="en-US"/>
        </w:rPr>
        <w:t>2:</w:t>
      </w:r>
      <w:r w:rsidRPr="009C6ABA">
        <w:rPr>
          <w:rFonts w:ascii="Arial" w:hAnsi="Arial" w:cs="Arial"/>
          <w:lang w:val="en-US"/>
        </w:rPr>
        <w:t xml:space="preserve"> GRS-approaches vs. lasso regression with increasing number of noise SNPs (up to 100). Type I error comparison of </w:t>
      </w:r>
      <w:proofErr w:type="spellStart"/>
      <w:r w:rsidRPr="009C6ABA">
        <w:rPr>
          <w:rFonts w:ascii="Arial" w:hAnsi="Arial" w:cs="Arial"/>
          <w:lang w:val="en-US"/>
        </w:rPr>
        <w:t>i</w:t>
      </w:r>
      <w:proofErr w:type="spellEnd"/>
      <w:r w:rsidRPr="009C6ABA">
        <w:rPr>
          <w:rFonts w:ascii="Arial" w:hAnsi="Arial" w:cs="Arial"/>
          <w:lang w:val="en-US"/>
        </w:rPr>
        <w:t xml:space="preserve">) the GRS-interaction-training approach (red lines; one half of the data used as training data and the other half as test data), ii) the GRS-marginal-internal approach (blue lines) and iii) lasso logistic regression (black </w:t>
      </w:r>
      <w:r w:rsidR="00F33D57">
        <w:rPr>
          <w:rFonts w:ascii="Arial" w:hAnsi="Arial" w:cs="Arial"/>
          <w:lang w:val="en-US"/>
        </w:rPr>
        <w:t>boxplots</w:t>
      </w:r>
      <w:r w:rsidRPr="009C6ABA">
        <w:rPr>
          <w:rFonts w:ascii="Arial" w:hAnsi="Arial" w:cs="Arial"/>
          <w:lang w:val="en-US"/>
        </w:rPr>
        <w:t xml:space="preserve">). The type I error of the lasso regression was calculated as the number of false-positive interactions that were identified within the noise SNPs in the scenarios with six risk SNPs </w:t>
      </w:r>
      <w:r w:rsidR="00504842">
        <w:rPr>
          <w:rFonts w:ascii="Arial" w:hAnsi="Arial" w:cs="Arial"/>
          <w:lang w:val="en-US"/>
        </w:rPr>
        <w:t xml:space="preserve">(first row, boxplots marked with “o”) </w:t>
      </w:r>
      <w:r w:rsidRPr="009C6ABA">
        <w:rPr>
          <w:rFonts w:ascii="Arial" w:hAnsi="Arial" w:cs="Arial"/>
          <w:lang w:val="en-US"/>
        </w:rPr>
        <w:t>as well as under the null hypothesis (no interaction present)</w:t>
      </w:r>
      <w:r w:rsidR="00504842">
        <w:rPr>
          <w:rFonts w:ascii="Arial" w:hAnsi="Arial" w:cs="Arial"/>
          <w:lang w:val="en-US"/>
        </w:rPr>
        <w:t xml:space="preserve"> (second row, boxplots marked with “x”)</w:t>
      </w:r>
      <w:r w:rsidR="00F33D57">
        <w:rPr>
          <w:rFonts w:ascii="Arial" w:hAnsi="Arial" w:cs="Arial"/>
          <w:lang w:val="en-US"/>
        </w:rPr>
        <w:t xml:space="preserve"> </w:t>
      </w:r>
      <w:r w:rsidR="00D30495">
        <w:rPr>
          <w:rFonts w:ascii="Arial" w:hAnsi="Arial" w:cs="Arial"/>
          <w:lang w:val="en-US"/>
        </w:rPr>
        <w:t>across</w:t>
      </w:r>
      <w:r w:rsidR="00F33D57">
        <w:rPr>
          <w:rFonts w:ascii="Arial" w:hAnsi="Arial" w:cs="Arial"/>
          <w:lang w:val="en-US"/>
        </w:rPr>
        <w:t>100 repli</w:t>
      </w:r>
      <w:bookmarkStart w:id="0" w:name="_GoBack"/>
      <w:bookmarkEnd w:id="0"/>
      <w:r w:rsidR="00F33D57">
        <w:rPr>
          <w:rFonts w:ascii="Arial" w:hAnsi="Arial" w:cs="Arial"/>
          <w:lang w:val="en-US"/>
        </w:rPr>
        <w:t>cations</w:t>
      </w:r>
      <w:r w:rsidRPr="009C6ABA">
        <w:rPr>
          <w:rFonts w:ascii="Arial" w:hAnsi="Arial" w:cs="Arial"/>
          <w:lang w:val="en-US"/>
        </w:rPr>
        <w:t>.</w:t>
      </w:r>
    </w:p>
    <w:p w:rsidR="00F70153" w:rsidRDefault="00F70153" w:rsidP="00F70153">
      <w:pPr>
        <w:spacing w:after="0" w:line="480" w:lineRule="auto"/>
        <w:jc w:val="both"/>
        <w:rPr>
          <w:rFonts w:ascii="Arial" w:hAnsi="Arial" w:cs="Arial"/>
          <w:lang w:val="en-US"/>
        </w:rPr>
      </w:pPr>
    </w:p>
    <w:p w:rsidR="00F70153" w:rsidRDefault="00F70153" w:rsidP="006449CA">
      <w:pPr>
        <w:rPr>
          <w:lang w:val="en-US"/>
        </w:rPr>
        <w:sectPr w:rsidR="00F70153" w:rsidSect="00F70153">
          <w:pgSz w:w="11906" w:h="16838"/>
          <w:pgMar w:top="1417" w:right="1417" w:bottom="1134" w:left="1417" w:header="708" w:footer="708" w:gutter="0"/>
          <w:cols w:space="708"/>
          <w:docGrid w:linePitch="360"/>
        </w:sectPr>
      </w:pPr>
    </w:p>
    <w:p w:rsidR="00F70153" w:rsidRPr="00F70153" w:rsidRDefault="00F70153" w:rsidP="006449CA">
      <w:pPr>
        <w:rPr>
          <w:rFonts w:ascii="Arial" w:hAnsi="Arial" w:cs="Arial"/>
          <w:b/>
          <w:sz w:val="32"/>
          <w:szCs w:val="32"/>
          <w:lang w:val="en-US"/>
        </w:rPr>
      </w:pPr>
      <w:r w:rsidRPr="00F70153">
        <w:rPr>
          <w:rFonts w:ascii="Arial" w:hAnsi="Arial" w:cs="Arial"/>
          <w:b/>
          <w:sz w:val="32"/>
          <w:szCs w:val="32"/>
          <w:lang w:val="en-US"/>
        </w:rPr>
        <w:lastRenderedPageBreak/>
        <w:t>References</w:t>
      </w:r>
    </w:p>
    <w:p w:rsidR="00F70153" w:rsidRPr="008E1768" w:rsidRDefault="00F70153" w:rsidP="00F70153">
      <w:pPr>
        <w:widowControl w:val="0"/>
        <w:autoSpaceDE w:val="0"/>
        <w:autoSpaceDN w:val="0"/>
        <w:adjustRightInd w:val="0"/>
        <w:spacing w:line="240" w:lineRule="auto"/>
        <w:rPr>
          <w:rFonts w:ascii="Calibri" w:hAnsi="Calibri" w:cs="Times New Roman"/>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Pr="008E1768">
        <w:rPr>
          <w:rFonts w:ascii="Calibri" w:hAnsi="Calibri" w:cs="Times New Roman"/>
          <w:noProof/>
          <w:szCs w:val="24"/>
          <w:lang w:val="en-US"/>
        </w:rPr>
        <w:t xml:space="preserve">1. Lockhart R, Taylor J, Tibshirani RJ, Tibshirani R. A significance test for the lasso. Ann. Stat. 2014;42:413–68. </w:t>
      </w:r>
    </w:p>
    <w:p w:rsidR="00F70153" w:rsidRPr="008E1768" w:rsidRDefault="00F70153" w:rsidP="00F70153">
      <w:pPr>
        <w:widowControl w:val="0"/>
        <w:autoSpaceDE w:val="0"/>
        <w:autoSpaceDN w:val="0"/>
        <w:adjustRightInd w:val="0"/>
        <w:spacing w:line="240" w:lineRule="auto"/>
        <w:rPr>
          <w:rFonts w:ascii="Calibri" w:hAnsi="Calibri" w:cs="Times New Roman"/>
          <w:noProof/>
          <w:szCs w:val="24"/>
          <w:lang w:val="en-US"/>
        </w:rPr>
      </w:pPr>
      <w:r w:rsidRPr="008E1768">
        <w:rPr>
          <w:rFonts w:ascii="Calibri" w:hAnsi="Calibri" w:cs="Times New Roman"/>
          <w:noProof/>
          <w:szCs w:val="24"/>
          <w:lang w:val="en-US"/>
        </w:rPr>
        <w:t xml:space="preserve">2. Efron B, Hastie T, Johnstone I, Tibshirani R. Least Angle Regression. 2004;32:407–99. </w:t>
      </w:r>
    </w:p>
    <w:p w:rsidR="00F70153" w:rsidRPr="00F70153" w:rsidRDefault="00F70153" w:rsidP="00F70153">
      <w:pPr>
        <w:widowControl w:val="0"/>
        <w:autoSpaceDE w:val="0"/>
        <w:autoSpaceDN w:val="0"/>
        <w:adjustRightInd w:val="0"/>
        <w:spacing w:line="240" w:lineRule="auto"/>
        <w:rPr>
          <w:rFonts w:ascii="Calibri" w:hAnsi="Calibri"/>
          <w:noProof/>
        </w:rPr>
      </w:pPr>
      <w:r w:rsidRPr="008E1768">
        <w:rPr>
          <w:rFonts w:ascii="Calibri" w:hAnsi="Calibri" w:cs="Times New Roman"/>
          <w:noProof/>
          <w:szCs w:val="24"/>
          <w:lang w:val="en-US"/>
        </w:rPr>
        <w:t xml:space="preserve">3. Hüls A, Ickstadt K, Schikowski T, Krämer U. Detection of gene-environment interactions in the presence of linkage disequilibrium and noise by using genetic risk scores with internal weights from elastic net regression. </w:t>
      </w:r>
      <w:r w:rsidRPr="00F70153">
        <w:rPr>
          <w:rFonts w:ascii="Calibri" w:hAnsi="Calibri" w:cs="Times New Roman"/>
          <w:noProof/>
          <w:szCs w:val="24"/>
        </w:rPr>
        <w:t xml:space="preserve">BMC Genet. 2017;18:55. </w:t>
      </w:r>
    </w:p>
    <w:p w:rsidR="00F70153" w:rsidRPr="00ED6559" w:rsidRDefault="00F70153" w:rsidP="006449CA">
      <w:pPr>
        <w:rPr>
          <w:lang w:val="en-US"/>
        </w:rPr>
      </w:pPr>
      <w:r>
        <w:rPr>
          <w:lang w:val="en-US"/>
        </w:rPr>
        <w:fldChar w:fldCharType="end"/>
      </w:r>
    </w:p>
    <w:sectPr w:rsidR="00F70153" w:rsidRPr="00ED6559" w:rsidSect="00F701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559"/>
    <w:rsid w:val="001C06C1"/>
    <w:rsid w:val="00423B02"/>
    <w:rsid w:val="005020F1"/>
    <w:rsid w:val="00504842"/>
    <w:rsid w:val="006449CA"/>
    <w:rsid w:val="008E1768"/>
    <w:rsid w:val="00C36B28"/>
    <w:rsid w:val="00D276C6"/>
    <w:rsid w:val="00D30495"/>
    <w:rsid w:val="00E86DED"/>
    <w:rsid w:val="00ED6559"/>
    <w:rsid w:val="00F33D57"/>
    <w:rsid w:val="00F70153"/>
    <w:rsid w:val="00FD6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573A"/>
  <w15:chartTrackingRefBased/>
  <w15:docId w15:val="{73081F49-4275-44DD-82A3-EB3CD0FA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86DE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C4EE-256E-454D-A6B5-AD4D15C6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2235</Words>
  <Characters>14219</Characters>
  <Application>Microsoft Office Word</Application>
  <DocSecurity>0</DocSecurity>
  <Lines>473</Lines>
  <Paragraphs>238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Hüls</dc:creator>
  <cp:keywords/>
  <dc:description/>
  <cp:lastModifiedBy>Anke Hüls</cp:lastModifiedBy>
  <cp:revision>3</cp:revision>
  <dcterms:created xsi:type="dcterms:W3CDTF">2017-11-15T14:51:00Z</dcterms:created>
  <dcterms:modified xsi:type="dcterms:W3CDTF">2017-11-15T14:59:00Z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http://www.zotero.org/styles/bmc-genetics</vt:lpwstr>
  </property>
  <property fmtid="{D5CDD505-2E9C-101B-9397-08002B2CF9AE}" pid="9" name="Mendeley Recent Style Name 3_1">
    <vt:lpwstr>BMC Genetics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http://www.zotero.org/styles/european-respiratory-journal</vt:lpwstr>
  </property>
  <property fmtid="{D5CDD505-2E9C-101B-9397-08002B2CF9AE}" pid="13" name="Mendeley Recent Style Name 5_1">
    <vt:lpwstr>European Respiratory Journal</vt:lpwstr>
  </property>
  <property fmtid="{D5CDD505-2E9C-101B-9397-08002B2CF9AE}" pid="14" name="Mendeley Recent Style Id 6_1">
    <vt:lpwstr>http://www.zotero.org/styles/international-journal-of-hygiene-and-environmental-health</vt:lpwstr>
  </property>
  <property fmtid="{D5CDD505-2E9C-101B-9397-08002B2CF9AE}" pid="15" name="Mendeley Recent Style Name 6_1">
    <vt:lpwstr>International Journal of Hygiene and Environmental Health</vt:lpwstr>
  </property>
  <property fmtid="{D5CDD505-2E9C-101B-9397-08002B2CF9AE}" pid="16" name="Mendeley Recent Style Id 7_1">
    <vt:lpwstr>http://www.zotero.org/styles/journal-of-investigative-dermatology</vt:lpwstr>
  </property>
  <property fmtid="{D5CDD505-2E9C-101B-9397-08002B2CF9AE}" pid="17" name="Mendeley Recent Style Name 7_1">
    <vt:lpwstr>Journal of Investigative Dermatology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http://www.zotero.org/styles/the-journal-of-allergy-and-clinical-immunology</vt:lpwstr>
  </property>
  <property fmtid="{D5CDD505-2E9C-101B-9397-08002B2CF9AE}" pid="21" name="Mendeley Recent Style Name 9_1">
    <vt:lpwstr>The Journal of Allergy and Clinical Immunology</vt:lpwstr>
  </property>
  <property fmtid="{D5CDD505-2E9C-101B-9397-08002B2CF9AE}" pid="22" name="Mendeley Document_1">
    <vt:lpwstr>True</vt:lpwstr>
  </property>
  <property fmtid="{D5CDD505-2E9C-101B-9397-08002B2CF9AE}" pid="23" name="Mendeley Unique User Id_1">
    <vt:lpwstr>b6b3352c-0324-3181-b604-47be6d028191</vt:lpwstr>
  </property>
  <property fmtid="{D5CDD505-2E9C-101B-9397-08002B2CF9AE}" pid="24" name="Mendeley Citation Style_1">
    <vt:lpwstr>http://www.zotero.org/styles/bmc-genetics</vt:lpwstr>
  </property>
</Properties>
</file>