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64074" w14:textId="7239194F" w:rsidR="00E201BB" w:rsidRPr="00E201BB" w:rsidRDefault="007C044B" w:rsidP="00E201BB">
      <w:pPr>
        <w:rPr>
          <w:rFonts w:ascii="Times New Roman" w:hAnsi="Times New Roman" w:cs="Times New Roman"/>
          <w:color w:val="FF0000"/>
          <w:sz w:val="24"/>
        </w:rPr>
      </w:pPr>
      <w:r w:rsidRPr="007D55F7">
        <w:rPr>
          <w:rFonts w:ascii="Times New Roman" w:hAnsi="Times New Roman" w:cs="Times New Roman"/>
          <w:color w:val="FF0000"/>
          <w:sz w:val="24"/>
        </w:rPr>
        <w:t xml:space="preserve">Additional file 3: Table S1. </w:t>
      </w:r>
      <w:bookmarkStart w:id="0" w:name="_Hlk531512957"/>
      <w:r w:rsidR="00E201BB" w:rsidRPr="00194251">
        <w:rPr>
          <w:rFonts w:ascii="Times New Roman" w:hAnsi="Times New Roman" w:cs="Times New Roman"/>
          <w:color w:val="FF0000"/>
          <w:sz w:val="24"/>
        </w:rPr>
        <w:t>Go annotation</w:t>
      </w:r>
      <w:bookmarkStart w:id="1" w:name="_GoBack"/>
      <w:bookmarkEnd w:id="1"/>
      <w:r w:rsidR="00E201BB" w:rsidRPr="00194251">
        <w:rPr>
          <w:rFonts w:ascii="Times New Roman" w:hAnsi="Times New Roman" w:cs="Times New Roman"/>
          <w:color w:val="FF0000"/>
          <w:sz w:val="24"/>
        </w:rPr>
        <w:t xml:space="preserve"> of nearest genes associated with growth traits or carcass traits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9"/>
        <w:gridCol w:w="3919"/>
        <w:gridCol w:w="3793"/>
        <w:gridCol w:w="4348"/>
      </w:tblGrid>
      <w:tr w:rsidR="00E201BB" w:rsidRPr="001A358E" w14:paraId="2C871D2D" w14:textId="77777777" w:rsidTr="00084012">
        <w:trPr>
          <w:trHeight w:val="306"/>
        </w:trPr>
        <w:tc>
          <w:tcPr>
            <w:tcW w:w="1769" w:type="dxa"/>
            <w:tcBorders>
              <w:bottom w:val="single" w:sz="4" w:space="0" w:color="auto"/>
            </w:tcBorders>
            <w:vAlign w:val="center"/>
          </w:tcPr>
          <w:bookmarkEnd w:id="0"/>
          <w:p w14:paraId="4D936BA5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Gene name</w:t>
            </w:r>
          </w:p>
        </w:tc>
        <w:tc>
          <w:tcPr>
            <w:tcW w:w="3919" w:type="dxa"/>
            <w:tcBorders>
              <w:bottom w:val="single" w:sz="4" w:space="0" w:color="auto"/>
            </w:tcBorders>
            <w:vAlign w:val="center"/>
          </w:tcPr>
          <w:p w14:paraId="2B957A0D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A358E">
              <w:rPr>
                <w:rFonts w:ascii="Times New Roman" w:hAnsi="Times New Roman" w:cs="Times New Roman"/>
                <w:szCs w:val="21"/>
              </w:rPr>
              <w:t>Discription</w:t>
            </w:r>
            <w:proofErr w:type="spellEnd"/>
          </w:p>
        </w:tc>
        <w:tc>
          <w:tcPr>
            <w:tcW w:w="3793" w:type="dxa"/>
            <w:tcBorders>
              <w:bottom w:val="single" w:sz="4" w:space="0" w:color="auto"/>
            </w:tcBorders>
            <w:vAlign w:val="center"/>
          </w:tcPr>
          <w:p w14:paraId="207807C9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Molecular function</w:t>
            </w:r>
          </w:p>
        </w:tc>
        <w:tc>
          <w:tcPr>
            <w:tcW w:w="4348" w:type="dxa"/>
            <w:tcBorders>
              <w:bottom w:val="single" w:sz="4" w:space="0" w:color="auto"/>
            </w:tcBorders>
            <w:vAlign w:val="center"/>
          </w:tcPr>
          <w:p w14:paraId="37CF734D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2381">
              <w:rPr>
                <w:rFonts w:ascii="Times New Roman" w:hAnsi="Times New Roman" w:cs="Times New Roman"/>
                <w:szCs w:val="21"/>
              </w:rPr>
              <w:t>Biological process</w:t>
            </w:r>
          </w:p>
        </w:tc>
      </w:tr>
      <w:tr w:rsidR="00E201BB" w:rsidRPr="001A358E" w14:paraId="4A9BC6AB" w14:textId="77777777" w:rsidTr="00084012">
        <w:trPr>
          <w:trHeight w:val="1543"/>
        </w:trPr>
        <w:tc>
          <w:tcPr>
            <w:tcW w:w="1769" w:type="dxa"/>
            <w:tcBorders>
              <w:bottom w:val="nil"/>
            </w:tcBorders>
            <w:vAlign w:val="center"/>
          </w:tcPr>
          <w:p w14:paraId="567716C5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POU1F1</w:t>
            </w:r>
          </w:p>
        </w:tc>
        <w:tc>
          <w:tcPr>
            <w:tcW w:w="3919" w:type="dxa"/>
            <w:tcBorders>
              <w:bottom w:val="nil"/>
            </w:tcBorders>
            <w:vAlign w:val="center"/>
          </w:tcPr>
          <w:p w14:paraId="31B17216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POU class 1 homeobox 1;</w:t>
            </w:r>
            <w:r w:rsidRPr="001A358E">
              <w:rPr>
                <w:rFonts w:ascii="Times New Roman" w:hAnsi="Times New Roman" w:cs="Times New Roman"/>
              </w:rPr>
              <w:t xml:space="preserve"> </w:t>
            </w:r>
            <w:r w:rsidRPr="001A358E">
              <w:rPr>
                <w:rFonts w:ascii="Times New Roman" w:hAnsi="Times New Roman" w:cs="Times New Roman"/>
                <w:szCs w:val="21"/>
              </w:rPr>
              <w:t>pituitary-specific transcription factor;</w:t>
            </w:r>
            <w:r w:rsidRPr="001A358E">
              <w:rPr>
                <w:rFonts w:ascii="Times New Roman" w:hAnsi="Times New Roman" w:cs="Times New Roman"/>
              </w:rPr>
              <w:t xml:space="preserve"> g</w:t>
            </w:r>
            <w:r w:rsidRPr="001A358E">
              <w:rPr>
                <w:rFonts w:ascii="Times New Roman" w:hAnsi="Times New Roman" w:cs="Times New Roman"/>
                <w:szCs w:val="21"/>
              </w:rPr>
              <w:t>rowth hormone factor 1</w:t>
            </w:r>
          </w:p>
        </w:tc>
        <w:tc>
          <w:tcPr>
            <w:tcW w:w="3793" w:type="dxa"/>
            <w:tcBorders>
              <w:bottom w:val="nil"/>
            </w:tcBorders>
            <w:vAlign w:val="center"/>
          </w:tcPr>
          <w:p w14:paraId="7F728CC1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transcription factor that activates promoters of growth hormone (GH), prolactin (PRL) and</w:t>
            </w:r>
            <w:r w:rsidRPr="001A358E">
              <w:rPr>
                <w:rFonts w:ascii="Times New Roman" w:hAnsi="Times New Roman" w:cs="Times New Roman"/>
              </w:rPr>
              <w:t xml:space="preserve"> </w:t>
            </w:r>
            <w:r w:rsidRPr="001A358E">
              <w:rPr>
                <w:rFonts w:ascii="Times New Roman" w:hAnsi="Times New Roman" w:cs="Times New Roman"/>
                <w:szCs w:val="21"/>
              </w:rPr>
              <w:t>thyroid-stimulating hormone-β (TSH-β) genes</w:t>
            </w:r>
          </w:p>
        </w:tc>
        <w:tc>
          <w:tcPr>
            <w:tcW w:w="4348" w:type="dxa"/>
            <w:tcBorders>
              <w:bottom w:val="nil"/>
            </w:tcBorders>
            <w:vAlign w:val="center"/>
          </w:tcPr>
          <w:p w14:paraId="688ED55A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positive regulation of transcription by RNA polymerase II</w:t>
            </w:r>
          </w:p>
        </w:tc>
      </w:tr>
      <w:tr w:rsidR="00E201BB" w:rsidRPr="001A358E" w14:paraId="20DBCAFF" w14:textId="77777777" w:rsidTr="00084012">
        <w:trPr>
          <w:trHeight w:val="1236"/>
        </w:trPr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14:paraId="55217A51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IGFBP2</w:t>
            </w:r>
          </w:p>
        </w:tc>
        <w:tc>
          <w:tcPr>
            <w:tcW w:w="3919" w:type="dxa"/>
            <w:tcBorders>
              <w:top w:val="nil"/>
              <w:bottom w:val="nil"/>
            </w:tcBorders>
            <w:vAlign w:val="center"/>
          </w:tcPr>
          <w:p w14:paraId="005E5A5C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</w:t>
            </w:r>
            <w:r w:rsidRPr="001A358E">
              <w:rPr>
                <w:rFonts w:ascii="Times New Roman" w:hAnsi="Times New Roman" w:cs="Times New Roman"/>
                <w:szCs w:val="21"/>
              </w:rPr>
              <w:t>nsulin-like growth factor-binding protein 2</w:t>
            </w:r>
          </w:p>
        </w:tc>
        <w:tc>
          <w:tcPr>
            <w:tcW w:w="3793" w:type="dxa"/>
            <w:tcBorders>
              <w:top w:val="nil"/>
              <w:bottom w:val="nil"/>
            </w:tcBorders>
            <w:vAlign w:val="center"/>
          </w:tcPr>
          <w:p w14:paraId="3EBD223C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insulin-like growth factor I binding, insulin-like growth factor II binding</w:t>
            </w:r>
          </w:p>
          <w:p w14:paraId="78D73515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48" w:type="dxa"/>
            <w:tcBorders>
              <w:top w:val="nil"/>
              <w:bottom w:val="nil"/>
            </w:tcBorders>
            <w:vAlign w:val="center"/>
          </w:tcPr>
          <w:p w14:paraId="731C5452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regulation of cell growth, regulation of insulin-like growth factor receptor signaling pathway</w:t>
            </w:r>
          </w:p>
        </w:tc>
      </w:tr>
      <w:tr w:rsidR="00E201BB" w:rsidRPr="001A358E" w14:paraId="6B6A9443" w14:textId="77777777" w:rsidTr="00084012">
        <w:trPr>
          <w:trHeight w:val="621"/>
        </w:trPr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14:paraId="2B076032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TBC1D1</w:t>
            </w:r>
          </w:p>
        </w:tc>
        <w:tc>
          <w:tcPr>
            <w:tcW w:w="3919" w:type="dxa"/>
            <w:tcBorders>
              <w:top w:val="nil"/>
              <w:bottom w:val="nil"/>
            </w:tcBorders>
            <w:vAlign w:val="center"/>
          </w:tcPr>
          <w:p w14:paraId="5502238C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TBC1 domain family member 1</w:t>
            </w:r>
          </w:p>
        </w:tc>
        <w:tc>
          <w:tcPr>
            <w:tcW w:w="3793" w:type="dxa"/>
            <w:tcBorders>
              <w:top w:val="nil"/>
              <w:bottom w:val="nil"/>
            </w:tcBorders>
            <w:vAlign w:val="center"/>
          </w:tcPr>
          <w:p w14:paraId="4E1A9357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Translocation of SLC2A4 (GLUT4) to the plasma membrane</w:t>
            </w:r>
          </w:p>
        </w:tc>
        <w:tc>
          <w:tcPr>
            <w:tcW w:w="4348" w:type="dxa"/>
            <w:tcBorders>
              <w:top w:val="nil"/>
              <w:bottom w:val="nil"/>
            </w:tcBorders>
            <w:vAlign w:val="center"/>
          </w:tcPr>
          <w:p w14:paraId="6C935681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nknown</w:t>
            </w:r>
          </w:p>
        </w:tc>
      </w:tr>
      <w:tr w:rsidR="00E201BB" w:rsidRPr="001A358E" w14:paraId="582C57B5" w14:textId="77777777" w:rsidTr="00084012">
        <w:trPr>
          <w:trHeight w:val="929"/>
        </w:trPr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14:paraId="72C6C2DA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ATGL</w:t>
            </w:r>
          </w:p>
        </w:tc>
        <w:tc>
          <w:tcPr>
            <w:tcW w:w="3919" w:type="dxa"/>
            <w:tcBorders>
              <w:top w:val="nil"/>
              <w:bottom w:val="nil"/>
            </w:tcBorders>
            <w:vAlign w:val="center"/>
          </w:tcPr>
          <w:p w14:paraId="4E2E106B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 w:rsidRPr="001A358E">
              <w:rPr>
                <w:rFonts w:ascii="Times New Roman" w:hAnsi="Times New Roman" w:cs="Times New Roman"/>
                <w:szCs w:val="21"/>
              </w:rPr>
              <w:t xml:space="preserve">dipose triglyceride lipase; </w:t>
            </w:r>
            <w:proofErr w:type="spellStart"/>
            <w:r w:rsidRPr="001A358E">
              <w:rPr>
                <w:rFonts w:ascii="Times New Roman" w:hAnsi="Times New Roman" w:cs="Times New Roman"/>
                <w:szCs w:val="21"/>
              </w:rPr>
              <w:t>Patatin</w:t>
            </w:r>
            <w:proofErr w:type="spellEnd"/>
            <w:r w:rsidRPr="001A358E">
              <w:rPr>
                <w:rFonts w:ascii="Times New Roman" w:hAnsi="Times New Roman" w:cs="Times New Roman"/>
                <w:szCs w:val="21"/>
              </w:rPr>
              <w:t xml:space="preserve"> like phospholipase domain containing 2</w:t>
            </w:r>
          </w:p>
        </w:tc>
        <w:tc>
          <w:tcPr>
            <w:tcW w:w="3793" w:type="dxa"/>
            <w:tcBorders>
              <w:top w:val="nil"/>
              <w:bottom w:val="nil"/>
            </w:tcBorders>
            <w:vAlign w:val="center"/>
          </w:tcPr>
          <w:p w14:paraId="5838B003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triglyceride lipase activity</w:t>
            </w:r>
          </w:p>
        </w:tc>
        <w:tc>
          <w:tcPr>
            <w:tcW w:w="4348" w:type="dxa"/>
            <w:tcBorders>
              <w:top w:val="nil"/>
              <w:bottom w:val="nil"/>
            </w:tcBorders>
            <w:vAlign w:val="center"/>
          </w:tcPr>
          <w:p w14:paraId="11C54673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lipid homeostasis, positive regulation of triglyceride catabolic process</w:t>
            </w:r>
          </w:p>
        </w:tc>
      </w:tr>
      <w:tr w:rsidR="00E201BB" w:rsidRPr="001A358E" w14:paraId="0888AF1C" w14:textId="77777777" w:rsidTr="00084012">
        <w:trPr>
          <w:trHeight w:val="1228"/>
        </w:trPr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14:paraId="382DA1DB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OCA2</w:t>
            </w:r>
          </w:p>
        </w:tc>
        <w:tc>
          <w:tcPr>
            <w:tcW w:w="3919" w:type="dxa"/>
            <w:tcBorders>
              <w:top w:val="nil"/>
              <w:bottom w:val="nil"/>
            </w:tcBorders>
            <w:vAlign w:val="center"/>
          </w:tcPr>
          <w:p w14:paraId="49A72600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A358E">
              <w:rPr>
                <w:rFonts w:ascii="Times New Roman" w:hAnsi="Times New Roman" w:cs="Times New Roman"/>
                <w:szCs w:val="21"/>
              </w:rPr>
              <w:t>oculocutaneous albinism II</w:t>
            </w:r>
            <w:r>
              <w:rPr>
                <w:rFonts w:ascii="Times New Roman" w:hAnsi="Times New Roman" w:cs="Times New Roman"/>
                <w:szCs w:val="21"/>
              </w:rPr>
              <w:t>;</w:t>
            </w:r>
            <w:r w:rsidRPr="001A358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50488">
              <w:rPr>
                <w:rFonts w:ascii="Times New Roman" w:hAnsi="Times New Roman" w:cs="Times New Roman"/>
                <w:szCs w:val="21"/>
              </w:rPr>
              <w:t>OCA2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1A358E">
              <w:rPr>
                <w:rFonts w:ascii="Times New Roman" w:hAnsi="Times New Roman" w:cs="Times New Roman"/>
                <w:szCs w:val="21"/>
              </w:rPr>
              <w:t>melanosomal</w:t>
            </w:r>
            <w:proofErr w:type="spellEnd"/>
            <w:r w:rsidRPr="001A358E">
              <w:rPr>
                <w:rFonts w:ascii="Times New Roman" w:hAnsi="Times New Roman" w:cs="Times New Roman"/>
                <w:szCs w:val="21"/>
              </w:rPr>
              <w:t xml:space="preserve"> transmembrane protein</w:t>
            </w:r>
          </w:p>
        </w:tc>
        <w:tc>
          <w:tcPr>
            <w:tcW w:w="3793" w:type="dxa"/>
            <w:tcBorders>
              <w:top w:val="nil"/>
              <w:bottom w:val="nil"/>
            </w:tcBorders>
            <w:vAlign w:val="center"/>
          </w:tcPr>
          <w:p w14:paraId="2C69A6DE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nknown</w:t>
            </w:r>
          </w:p>
        </w:tc>
        <w:tc>
          <w:tcPr>
            <w:tcW w:w="4348" w:type="dxa"/>
            <w:tcBorders>
              <w:top w:val="nil"/>
              <w:bottom w:val="nil"/>
            </w:tcBorders>
            <w:vAlign w:val="center"/>
          </w:tcPr>
          <w:p w14:paraId="6C335675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3B2A">
              <w:rPr>
                <w:rFonts w:ascii="Times New Roman" w:hAnsi="Times New Roman" w:cs="Times New Roman"/>
                <w:szCs w:val="21"/>
              </w:rPr>
              <w:t>cell proliferation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13B2A">
              <w:rPr>
                <w:rFonts w:ascii="Times New Roman" w:hAnsi="Times New Roman" w:cs="Times New Roman"/>
                <w:szCs w:val="21"/>
              </w:rPr>
              <w:t>melanin biosynthetic process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13B2A">
              <w:rPr>
                <w:rFonts w:ascii="Times New Roman" w:hAnsi="Times New Roman" w:cs="Times New Roman"/>
                <w:szCs w:val="21"/>
              </w:rPr>
              <w:t>melanocyte differentiation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13B2A">
              <w:rPr>
                <w:rFonts w:ascii="Times New Roman" w:hAnsi="Times New Roman" w:cs="Times New Roman"/>
                <w:szCs w:val="21"/>
              </w:rPr>
              <w:t>spermatid development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13B2A">
              <w:rPr>
                <w:rFonts w:ascii="Times New Roman" w:hAnsi="Times New Roman" w:cs="Times New Roman"/>
                <w:szCs w:val="21"/>
              </w:rPr>
              <w:t>transmembrane transport</w:t>
            </w:r>
          </w:p>
        </w:tc>
      </w:tr>
      <w:tr w:rsidR="00E201BB" w:rsidRPr="001A358E" w14:paraId="00A756D4" w14:textId="77777777" w:rsidTr="00084012">
        <w:trPr>
          <w:trHeight w:val="2779"/>
        </w:trPr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14:paraId="7EB26829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3B2A">
              <w:rPr>
                <w:rFonts w:ascii="Times New Roman" w:hAnsi="Times New Roman" w:cs="Times New Roman"/>
                <w:szCs w:val="21"/>
              </w:rPr>
              <w:lastRenderedPageBreak/>
              <w:t>CAPN3</w:t>
            </w:r>
          </w:p>
        </w:tc>
        <w:tc>
          <w:tcPr>
            <w:tcW w:w="3919" w:type="dxa"/>
            <w:tcBorders>
              <w:top w:val="nil"/>
              <w:bottom w:val="nil"/>
            </w:tcBorders>
            <w:vAlign w:val="center"/>
          </w:tcPr>
          <w:p w14:paraId="1D52E66E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" w:name="OLE_LINK3"/>
            <w:bookmarkStart w:id="3" w:name="OLE_LINK4"/>
            <w:r>
              <w:rPr>
                <w:rFonts w:ascii="Times New Roman" w:hAnsi="Times New Roman" w:cs="Times New Roman"/>
                <w:szCs w:val="21"/>
              </w:rPr>
              <w:t>c</w:t>
            </w:r>
            <w:r w:rsidRPr="00135F05">
              <w:rPr>
                <w:rFonts w:ascii="Times New Roman" w:hAnsi="Times New Roman" w:cs="Times New Roman"/>
                <w:szCs w:val="21"/>
              </w:rPr>
              <w:t>alpain</w:t>
            </w:r>
            <w:bookmarkEnd w:id="2"/>
            <w:bookmarkEnd w:id="3"/>
            <w:r w:rsidRPr="00135F05">
              <w:rPr>
                <w:rFonts w:ascii="Times New Roman" w:hAnsi="Times New Roman" w:cs="Times New Roman"/>
                <w:szCs w:val="21"/>
              </w:rPr>
              <w:t>-3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135F05">
              <w:rPr>
                <w:rFonts w:ascii="Times New Roman" w:hAnsi="Times New Roman" w:cs="Times New Roman"/>
                <w:szCs w:val="21"/>
              </w:rPr>
              <w:t>Calcium-activated neutral proteinase 3</w:t>
            </w:r>
            <w:r>
              <w:rPr>
                <w:rFonts w:ascii="Times New Roman" w:hAnsi="Times New Roman" w:cs="Times New Roman"/>
                <w:szCs w:val="21"/>
              </w:rPr>
              <w:t>; c</w:t>
            </w:r>
            <w:r w:rsidRPr="00135F05">
              <w:rPr>
                <w:rFonts w:ascii="Times New Roman" w:hAnsi="Times New Roman" w:cs="Times New Roman"/>
                <w:szCs w:val="21"/>
              </w:rPr>
              <w:t>alpain p94</w:t>
            </w:r>
            <w:r>
              <w:rPr>
                <w:rFonts w:ascii="Times New Roman" w:hAnsi="Times New Roman" w:cs="Times New Roman"/>
                <w:szCs w:val="21"/>
              </w:rPr>
              <w:t>; m</w:t>
            </w:r>
            <w:r w:rsidRPr="00135F05">
              <w:rPr>
                <w:rFonts w:ascii="Times New Roman" w:hAnsi="Times New Roman" w:cs="Times New Roman"/>
                <w:szCs w:val="21"/>
              </w:rPr>
              <w:t>uscle-specific calcium-activated neutral protease 3</w:t>
            </w:r>
          </w:p>
        </w:tc>
        <w:tc>
          <w:tcPr>
            <w:tcW w:w="3793" w:type="dxa"/>
            <w:tcBorders>
              <w:top w:val="nil"/>
              <w:bottom w:val="nil"/>
            </w:tcBorders>
            <w:vAlign w:val="center"/>
          </w:tcPr>
          <w:p w14:paraId="105ED56B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5F05">
              <w:rPr>
                <w:rFonts w:ascii="Times New Roman" w:hAnsi="Times New Roman" w:cs="Times New Roman"/>
                <w:szCs w:val="21"/>
              </w:rPr>
              <w:t>calcium-dependent cysteine-type endopeptidase activity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t xml:space="preserve"> </w:t>
            </w:r>
            <w:r w:rsidRPr="00544758">
              <w:rPr>
                <w:rFonts w:ascii="Times New Roman" w:hAnsi="Times New Roman" w:cs="Times New Roman"/>
                <w:szCs w:val="21"/>
              </w:rPr>
              <w:t>catalytic activity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35F05">
              <w:rPr>
                <w:rFonts w:ascii="Times New Roman" w:hAnsi="Times New Roman" w:cs="Times New Roman"/>
                <w:szCs w:val="21"/>
              </w:rPr>
              <w:t>structural constituent of muscle</w:t>
            </w:r>
          </w:p>
        </w:tc>
        <w:tc>
          <w:tcPr>
            <w:tcW w:w="4348" w:type="dxa"/>
            <w:tcBorders>
              <w:top w:val="nil"/>
              <w:bottom w:val="nil"/>
            </w:tcBorders>
            <w:vAlign w:val="center"/>
          </w:tcPr>
          <w:p w14:paraId="212E19FA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4758">
              <w:rPr>
                <w:rFonts w:ascii="Times New Roman" w:hAnsi="Times New Roman" w:cs="Times New Roman"/>
                <w:szCs w:val="21"/>
              </w:rPr>
              <w:t>cellular response to calcium ion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44758">
              <w:rPr>
                <w:rFonts w:ascii="Times New Roman" w:hAnsi="Times New Roman" w:cs="Times New Roman"/>
                <w:szCs w:val="21"/>
              </w:rPr>
              <w:t>myofibril assembly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44758">
              <w:rPr>
                <w:rFonts w:ascii="Times New Roman" w:hAnsi="Times New Roman" w:cs="Times New Roman"/>
                <w:szCs w:val="21"/>
              </w:rPr>
              <w:t>negative regulation of apoptotic process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E71C07">
              <w:rPr>
                <w:rFonts w:ascii="Times New Roman" w:hAnsi="Times New Roman" w:cs="Times New Roman"/>
                <w:szCs w:val="21"/>
              </w:rPr>
              <w:t>positive regulation of NF-</w:t>
            </w:r>
            <w:proofErr w:type="spellStart"/>
            <w:r w:rsidRPr="00E71C07">
              <w:rPr>
                <w:rFonts w:ascii="Times New Roman" w:hAnsi="Times New Roman" w:cs="Times New Roman"/>
                <w:szCs w:val="21"/>
              </w:rPr>
              <w:t>kappaB</w:t>
            </w:r>
            <w:proofErr w:type="spellEnd"/>
            <w:r w:rsidRPr="00E71C07">
              <w:rPr>
                <w:rFonts w:ascii="Times New Roman" w:hAnsi="Times New Roman" w:cs="Times New Roman"/>
                <w:szCs w:val="21"/>
              </w:rPr>
              <w:t xml:space="preserve"> transcription factor activity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E71C07">
              <w:rPr>
                <w:rFonts w:ascii="Times New Roman" w:hAnsi="Times New Roman" w:cs="Times New Roman"/>
                <w:szCs w:val="21"/>
              </w:rPr>
              <w:t>positive regulation of proteolysis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E71C07">
              <w:rPr>
                <w:rFonts w:ascii="Times New Roman" w:hAnsi="Times New Roman" w:cs="Times New Roman"/>
                <w:szCs w:val="21"/>
              </w:rPr>
              <w:t>positive regulation of satellite cell activation involved in skeletal muscle regeneration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B1EA2">
              <w:rPr>
                <w:rFonts w:ascii="Times New Roman" w:hAnsi="Times New Roman" w:cs="Times New Roman"/>
                <w:szCs w:val="21"/>
              </w:rPr>
              <w:t>response to muscle activity</w:t>
            </w:r>
          </w:p>
        </w:tc>
      </w:tr>
      <w:tr w:rsidR="00E201BB" w:rsidRPr="001A358E" w14:paraId="08FA7D46" w14:textId="77777777" w:rsidTr="00084012">
        <w:trPr>
          <w:trHeight w:val="1543"/>
        </w:trPr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14:paraId="2EBAAFAD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3B2A">
              <w:rPr>
                <w:rFonts w:ascii="Times New Roman" w:hAnsi="Times New Roman" w:cs="Times New Roman"/>
                <w:szCs w:val="21"/>
              </w:rPr>
              <w:t>SLC27A1</w:t>
            </w:r>
          </w:p>
        </w:tc>
        <w:tc>
          <w:tcPr>
            <w:tcW w:w="3919" w:type="dxa"/>
            <w:tcBorders>
              <w:top w:val="nil"/>
              <w:bottom w:val="nil"/>
            </w:tcBorders>
            <w:vAlign w:val="center"/>
          </w:tcPr>
          <w:p w14:paraId="4AF23D37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1EA2">
              <w:rPr>
                <w:rFonts w:ascii="Times New Roman" w:hAnsi="Times New Roman" w:cs="Times New Roman"/>
                <w:szCs w:val="21"/>
              </w:rPr>
              <w:t>solute carrier family 27 member 1</w:t>
            </w:r>
            <w:r>
              <w:rPr>
                <w:rFonts w:ascii="Times New Roman" w:hAnsi="Times New Roman" w:cs="Times New Roman"/>
                <w:szCs w:val="21"/>
              </w:rPr>
              <w:t>, f</w:t>
            </w:r>
            <w:r w:rsidRPr="001B1EA2">
              <w:rPr>
                <w:rFonts w:ascii="Times New Roman" w:hAnsi="Times New Roman" w:cs="Times New Roman"/>
                <w:szCs w:val="21"/>
              </w:rPr>
              <w:t>atty acid transport protein 1</w:t>
            </w:r>
          </w:p>
        </w:tc>
        <w:tc>
          <w:tcPr>
            <w:tcW w:w="3793" w:type="dxa"/>
            <w:tcBorders>
              <w:top w:val="nil"/>
              <w:bottom w:val="nil"/>
            </w:tcBorders>
            <w:vAlign w:val="center"/>
          </w:tcPr>
          <w:p w14:paraId="4A234341" w14:textId="77777777" w:rsidR="00E201BB" w:rsidRPr="001B1EA2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1EA2">
              <w:rPr>
                <w:rFonts w:ascii="Times New Roman" w:hAnsi="Times New Roman" w:cs="Times New Roman"/>
                <w:szCs w:val="21"/>
              </w:rPr>
              <w:t>fatty acid transmembrane transporter activity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B1EA2">
              <w:rPr>
                <w:rFonts w:ascii="Times New Roman" w:hAnsi="Times New Roman" w:cs="Times New Roman"/>
                <w:szCs w:val="21"/>
              </w:rPr>
              <w:t>protein homodimerization activity</w:t>
            </w:r>
          </w:p>
        </w:tc>
        <w:tc>
          <w:tcPr>
            <w:tcW w:w="4348" w:type="dxa"/>
            <w:tcBorders>
              <w:top w:val="nil"/>
              <w:bottom w:val="nil"/>
            </w:tcBorders>
            <w:vAlign w:val="center"/>
          </w:tcPr>
          <w:p w14:paraId="45D7F5B8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1EA2">
              <w:rPr>
                <w:rFonts w:ascii="Times New Roman" w:hAnsi="Times New Roman" w:cs="Times New Roman"/>
                <w:szCs w:val="21"/>
              </w:rPr>
              <w:t>adiponectin-activated signaling pathway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B1EA2">
              <w:rPr>
                <w:rFonts w:ascii="Times New Roman" w:hAnsi="Times New Roman" w:cs="Times New Roman"/>
                <w:szCs w:val="21"/>
              </w:rPr>
              <w:t>cardiolipin biosynthetic process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t xml:space="preserve"> </w:t>
            </w:r>
            <w:r w:rsidRPr="001B1EA2">
              <w:rPr>
                <w:rFonts w:ascii="Times New Roman" w:hAnsi="Times New Roman" w:cs="Times New Roman"/>
                <w:szCs w:val="21"/>
              </w:rPr>
              <w:t>long-chain fatty acid import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t xml:space="preserve"> </w:t>
            </w:r>
            <w:r w:rsidRPr="001B1EA2">
              <w:rPr>
                <w:rFonts w:ascii="Times New Roman" w:hAnsi="Times New Roman" w:cs="Times New Roman"/>
                <w:szCs w:val="21"/>
              </w:rPr>
              <w:t>positive regulation of triglyceride biosynthetic process</w:t>
            </w:r>
          </w:p>
        </w:tc>
      </w:tr>
      <w:tr w:rsidR="00E201BB" w:rsidRPr="001A358E" w14:paraId="64C860A1" w14:textId="77777777" w:rsidTr="00084012">
        <w:trPr>
          <w:trHeight w:val="920"/>
        </w:trPr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14:paraId="0CA4895A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3B2A">
              <w:rPr>
                <w:rFonts w:ascii="Times New Roman" w:hAnsi="Times New Roman" w:cs="Times New Roman"/>
                <w:szCs w:val="21"/>
              </w:rPr>
              <w:t>PBEF1</w:t>
            </w:r>
          </w:p>
        </w:tc>
        <w:tc>
          <w:tcPr>
            <w:tcW w:w="3919" w:type="dxa"/>
            <w:tcBorders>
              <w:top w:val="nil"/>
              <w:bottom w:val="nil"/>
            </w:tcBorders>
            <w:vAlign w:val="center"/>
          </w:tcPr>
          <w:p w14:paraId="1F35E789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1EA2">
              <w:rPr>
                <w:rFonts w:ascii="Times New Roman" w:hAnsi="Times New Roman" w:cs="Times New Roman"/>
                <w:szCs w:val="21"/>
              </w:rPr>
              <w:t xml:space="preserve">nicotinamide </w:t>
            </w:r>
            <w:proofErr w:type="spellStart"/>
            <w:r w:rsidRPr="001B1EA2">
              <w:rPr>
                <w:rFonts w:ascii="Times New Roman" w:hAnsi="Times New Roman" w:cs="Times New Roman"/>
                <w:szCs w:val="21"/>
              </w:rPr>
              <w:t>phosphoribosyltransferase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proofErr w:type="spellStart"/>
            <w:r w:rsidRPr="001B1EA2">
              <w:rPr>
                <w:rFonts w:ascii="Times New Roman" w:hAnsi="Times New Roman" w:cs="Times New Roman"/>
                <w:szCs w:val="21"/>
              </w:rPr>
              <w:t>Visfatin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B1EA2">
              <w:rPr>
                <w:rFonts w:ascii="Times New Roman" w:hAnsi="Times New Roman" w:cs="Times New Roman"/>
                <w:szCs w:val="21"/>
              </w:rPr>
              <w:t>pre-B-cell colony-enhancing factor</w:t>
            </w:r>
          </w:p>
        </w:tc>
        <w:tc>
          <w:tcPr>
            <w:tcW w:w="3793" w:type="dxa"/>
            <w:tcBorders>
              <w:top w:val="nil"/>
              <w:bottom w:val="nil"/>
            </w:tcBorders>
            <w:vAlign w:val="center"/>
          </w:tcPr>
          <w:p w14:paraId="72004231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1EA2">
              <w:rPr>
                <w:rFonts w:ascii="Times New Roman" w:hAnsi="Times New Roman" w:cs="Times New Roman"/>
                <w:szCs w:val="21"/>
              </w:rPr>
              <w:t xml:space="preserve">nicotinate-nucleotide </w:t>
            </w:r>
            <w:proofErr w:type="spellStart"/>
            <w:r w:rsidRPr="001B1EA2">
              <w:rPr>
                <w:rFonts w:ascii="Times New Roman" w:hAnsi="Times New Roman" w:cs="Times New Roman"/>
                <w:szCs w:val="21"/>
              </w:rPr>
              <w:t>diphosphorylase</w:t>
            </w:r>
            <w:proofErr w:type="spellEnd"/>
            <w:r w:rsidRPr="001B1EA2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Pr="001B1EA2">
              <w:rPr>
                <w:rFonts w:ascii="Times New Roman" w:hAnsi="Times New Roman" w:cs="Times New Roman"/>
                <w:szCs w:val="21"/>
              </w:rPr>
              <w:t>carboxylating</w:t>
            </w:r>
            <w:proofErr w:type="spellEnd"/>
            <w:r w:rsidRPr="001B1EA2">
              <w:rPr>
                <w:rFonts w:ascii="Times New Roman" w:hAnsi="Times New Roman" w:cs="Times New Roman"/>
                <w:szCs w:val="21"/>
              </w:rPr>
              <w:t>) activity</w:t>
            </w:r>
          </w:p>
        </w:tc>
        <w:tc>
          <w:tcPr>
            <w:tcW w:w="4348" w:type="dxa"/>
            <w:tcBorders>
              <w:top w:val="nil"/>
              <w:bottom w:val="nil"/>
            </w:tcBorders>
            <w:vAlign w:val="center"/>
          </w:tcPr>
          <w:p w14:paraId="0EF84053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1EA2">
              <w:rPr>
                <w:rFonts w:ascii="Times New Roman" w:hAnsi="Times New Roman" w:cs="Times New Roman"/>
                <w:szCs w:val="21"/>
              </w:rPr>
              <w:t>NAD biosynthetic process</w:t>
            </w:r>
          </w:p>
        </w:tc>
      </w:tr>
      <w:tr w:rsidR="00E201BB" w:rsidRPr="001A358E" w14:paraId="0AC462B2" w14:textId="77777777" w:rsidTr="00084012">
        <w:trPr>
          <w:trHeight w:val="621"/>
        </w:trPr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14:paraId="762FEE55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4" w:name="OLE_LINK5"/>
            <w:bookmarkStart w:id="5" w:name="OLE_LINK6"/>
            <w:r w:rsidRPr="00513B2A">
              <w:rPr>
                <w:rFonts w:ascii="Times New Roman" w:hAnsi="Times New Roman" w:cs="Times New Roman"/>
                <w:szCs w:val="21"/>
              </w:rPr>
              <w:t>SETDB2</w:t>
            </w:r>
            <w:bookmarkEnd w:id="4"/>
            <w:bookmarkEnd w:id="5"/>
          </w:p>
        </w:tc>
        <w:tc>
          <w:tcPr>
            <w:tcW w:w="3919" w:type="dxa"/>
            <w:tcBorders>
              <w:top w:val="nil"/>
              <w:bottom w:val="nil"/>
            </w:tcBorders>
            <w:vAlign w:val="center"/>
          </w:tcPr>
          <w:p w14:paraId="27D717A9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12A4B">
              <w:rPr>
                <w:rFonts w:ascii="Times New Roman" w:hAnsi="Times New Roman" w:cs="Times New Roman"/>
                <w:szCs w:val="21"/>
              </w:rPr>
              <w:t>SET domain bifurcated 2</w:t>
            </w:r>
          </w:p>
        </w:tc>
        <w:tc>
          <w:tcPr>
            <w:tcW w:w="3793" w:type="dxa"/>
            <w:tcBorders>
              <w:top w:val="nil"/>
              <w:bottom w:val="nil"/>
            </w:tcBorders>
            <w:vAlign w:val="center"/>
          </w:tcPr>
          <w:p w14:paraId="01B36DB7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12A4B">
              <w:rPr>
                <w:rFonts w:ascii="Times New Roman" w:hAnsi="Times New Roman" w:cs="Times New Roman"/>
                <w:szCs w:val="21"/>
              </w:rPr>
              <w:t>DNA binding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12A4B">
              <w:rPr>
                <w:rFonts w:ascii="Times New Roman" w:hAnsi="Times New Roman" w:cs="Times New Roman"/>
                <w:szCs w:val="21"/>
              </w:rPr>
              <w:t>histone methyltransferase activity (H3-K9 specific)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112A4B">
              <w:rPr>
                <w:rFonts w:ascii="Times New Roman" w:hAnsi="Times New Roman" w:cs="Times New Roman"/>
                <w:szCs w:val="21"/>
              </w:rPr>
              <w:t>zinc ion binding</w:t>
            </w:r>
          </w:p>
        </w:tc>
        <w:tc>
          <w:tcPr>
            <w:tcW w:w="4348" w:type="dxa"/>
            <w:tcBorders>
              <w:top w:val="nil"/>
              <w:bottom w:val="nil"/>
            </w:tcBorders>
            <w:vAlign w:val="center"/>
          </w:tcPr>
          <w:p w14:paraId="5B84A540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12A4B">
              <w:rPr>
                <w:rFonts w:ascii="Times New Roman" w:hAnsi="Times New Roman" w:cs="Times New Roman"/>
                <w:szCs w:val="21"/>
              </w:rPr>
              <w:t>chromosome segregation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F4B24">
              <w:rPr>
                <w:rFonts w:ascii="Times New Roman" w:hAnsi="Times New Roman" w:cs="Times New Roman"/>
                <w:szCs w:val="21"/>
              </w:rPr>
              <w:t>mitotic cell cycle</w:t>
            </w:r>
          </w:p>
        </w:tc>
      </w:tr>
      <w:tr w:rsidR="00E201BB" w:rsidRPr="001A358E" w14:paraId="45EA05D5" w14:textId="77777777" w:rsidTr="00084012">
        <w:trPr>
          <w:trHeight w:val="1236"/>
        </w:trPr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14:paraId="2B0AF3FF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3B2A">
              <w:rPr>
                <w:rFonts w:ascii="Times New Roman" w:hAnsi="Times New Roman" w:cs="Times New Roman"/>
                <w:szCs w:val="21"/>
              </w:rPr>
              <w:t>FOXO3</w:t>
            </w:r>
          </w:p>
        </w:tc>
        <w:tc>
          <w:tcPr>
            <w:tcW w:w="3919" w:type="dxa"/>
            <w:tcBorders>
              <w:top w:val="nil"/>
              <w:bottom w:val="nil"/>
            </w:tcBorders>
            <w:vAlign w:val="center"/>
          </w:tcPr>
          <w:p w14:paraId="5E3F535A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F4B24">
              <w:rPr>
                <w:rFonts w:ascii="Times New Roman" w:hAnsi="Times New Roman" w:cs="Times New Roman"/>
                <w:szCs w:val="21"/>
              </w:rPr>
              <w:t>forkhead</w:t>
            </w:r>
            <w:proofErr w:type="spellEnd"/>
            <w:r w:rsidRPr="000F4B24">
              <w:rPr>
                <w:rFonts w:ascii="Times New Roman" w:hAnsi="Times New Roman" w:cs="Times New Roman"/>
                <w:szCs w:val="21"/>
              </w:rPr>
              <w:t xml:space="preserve"> box O3</w:t>
            </w:r>
          </w:p>
        </w:tc>
        <w:tc>
          <w:tcPr>
            <w:tcW w:w="3793" w:type="dxa"/>
            <w:tcBorders>
              <w:top w:val="nil"/>
              <w:bottom w:val="nil"/>
            </w:tcBorders>
            <w:vAlign w:val="center"/>
          </w:tcPr>
          <w:p w14:paraId="3E6D9C1B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4B24">
              <w:rPr>
                <w:rFonts w:ascii="Times New Roman" w:hAnsi="Times New Roman" w:cs="Times New Roman"/>
                <w:szCs w:val="21"/>
              </w:rPr>
              <w:t>beta-catenin binding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F4B24">
              <w:rPr>
                <w:rFonts w:ascii="Times New Roman" w:hAnsi="Times New Roman" w:cs="Times New Roman"/>
                <w:szCs w:val="21"/>
              </w:rPr>
              <w:t>chromatin DNA binding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F4B24">
              <w:rPr>
                <w:rFonts w:ascii="Times New Roman" w:hAnsi="Times New Roman" w:cs="Times New Roman"/>
                <w:szCs w:val="21"/>
              </w:rPr>
              <w:t>RNA polymerase II transcription regulatory region sequence-specific DNA binding</w:t>
            </w:r>
          </w:p>
        </w:tc>
        <w:tc>
          <w:tcPr>
            <w:tcW w:w="4348" w:type="dxa"/>
            <w:tcBorders>
              <w:top w:val="nil"/>
              <w:bottom w:val="nil"/>
            </w:tcBorders>
            <w:vAlign w:val="center"/>
          </w:tcPr>
          <w:p w14:paraId="0E0A8DAE" w14:textId="77777777" w:rsidR="00E201BB" w:rsidRPr="000F4B24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F4B24">
              <w:rPr>
                <w:rFonts w:ascii="Times New Roman" w:hAnsi="Times New Roman" w:cs="Times New Roman"/>
                <w:szCs w:val="21"/>
              </w:rPr>
              <w:t>cell differentiation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8B0472">
              <w:rPr>
                <w:rFonts w:ascii="Times New Roman" w:hAnsi="Times New Roman" w:cs="Times New Roman"/>
                <w:szCs w:val="21"/>
              </w:rPr>
              <w:t>embryogenesis and morphogenesis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8B0472">
              <w:rPr>
                <w:rFonts w:ascii="Times New Roman" w:hAnsi="Times New Roman" w:cs="Times New Roman"/>
                <w:szCs w:val="21"/>
              </w:rPr>
              <w:t>initiation of primordial ovarian follicle growth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8B0472">
              <w:rPr>
                <w:rFonts w:ascii="Times New Roman" w:hAnsi="Times New Roman" w:cs="Times New Roman"/>
                <w:szCs w:val="21"/>
              </w:rPr>
              <w:t>antral ovarian follicle growth</w:t>
            </w:r>
          </w:p>
        </w:tc>
      </w:tr>
      <w:tr w:rsidR="00E201BB" w:rsidRPr="001A358E" w14:paraId="19247047" w14:textId="77777777" w:rsidTr="00084012">
        <w:trPr>
          <w:trHeight w:val="621"/>
        </w:trPr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14:paraId="3DEE8A01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5F05">
              <w:rPr>
                <w:rFonts w:ascii="Times New Roman" w:hAnsi="Times New Roman" w:cs="Times New Roman"/>
                <w:szCs w:val="21"/>
              </w:rPr>
              <w:t>BOD1L</w:t>
            </w:r>
          </w:p>
        </w:tc>
        <w:tc>
          <w:tcPr>
            <w:tcW w:w="3919" w:type="dxa"/>
            <w:tcBorders>
              <w:top w:val="nil"/>
              <w:bottom w:val="nil"/>
            </w:tcBorders>
            <w:vAlign w:val="center"/>
          </w:tcPr>
          <w:p w14:paraId="0331291A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6510F">
              <w:rPr>
                <w:rFonts w:ascii="Times New Roman" w:hAnsi="Times New Roman" w:cs="Times New Roman"/>
                <w:szCs w:val="21"/>
              </w:rPr>
              <w:t>biorientation of chromosomes in cell division 1 like 1</w:t>
            </w:r>
          </w:p>
        </w:tc>
        <w:tc>
          <w:tcPr>
            <w:tcW w:w="3793" w:type="dxa"/>
            <w:tcBorders>
              <w:top w:val="nil"/>
              <w:bottom w:val="nil"/>
            </w:tcBorders>
            <w:vAlign w:val="center"/>
          </w:tcPr>
          <w:p w14:paraId="10026AAB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nkown</w:t>
            </w:r>
            <w:proofErr w:type="spellEnd"/>
          </w:p>
        </w:tc>
        <w:tc>
          <w:tcPr>
            <w:tcW w:w="4348" w:type="dxa"/>
            <w:tcBorders>
              <w:top w:val="nil"/>
              <w:bottom w:val="nil"/>
            </w:tcBorders>
            <w:vAlign w:val="center"/>
          </w:tcPr>
          <w:p w14:paraId="47C2D9A5" w14:textId="77777777" w:rsidR="00E201BB" w:rsidRPr="001A358E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B0472">
              <w:rPr>
                <w:rFonts w:ascii="Times New Roman" w:hAnsi="Times New Roman" w:cs="Times New Roman"/>
                <w:szCs w:val="21"/>
              </w:rPr>
              <w:t>cellular response to DNA damage stimulus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86510F">
              <w:rPr>
                <w:rFonts w:ascii="Times New Roman" w:hAnsi="Times New Roman" w:cs="Times New Roman"/>
                <w:szCs w:val="21"/>
              </w:rPr>
              <w:t>replication fork processing</w:t>
            </w:r>
          </w:p>
        </w:tc>
      </w:tr>
      <w:tr w:rsidR="00E201BB" w:rsidRPr="0001246B" w14:paraId="28E5F8CF" w14:textId="77777777" w:rsidTr="00084012">
        <w:trPr>
          <w:trHeight w:val="929"/>
        </w:trPr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 w14:paraId="25F40566" w14:textId="77777777" w:rsidR="00E201BB" w:rsidRPr="0001246B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1246B">
              <w:rPr>
                <w:rFonts w:ascii="Times New Roman" w:hAnsi="Times New Roman" w:cs="Times New Roman" w:hint="eastAsia"/>
                <w:szCs w:val="21"/>
              </w:rPr>
              <w:lastRenderedPageBreak/>
              <w:t>M</w:t>
            </w:r>
            <w:r w:rsidRPr="0001246B">
              <w:rPr>
                <w:rFonts w:ascii="Times New Roman" w:hAnsi="Times New Roman" w:cs="Times New Roman"/>
                <w:szCs w:val="21"/>
              </w:rPr>
              <w:t>C4R</w:t>
            </w:r>
          </w:p>
        </w:tc>
        <w:tc>
          <w:tcPr>
            <w:tcW w:w="3919" w:type="dxa"/>
            <w:tcBorders>
              <w:top w:val="nil"/>
              <w:bottom w:val="nil"/>
            </w:tcBorders>
            <w:vAlign w:val="center"/>
          </w:tcPr>
          <w:p w14:paraId="1D7FD6F9" w14:textId="77777777" w:rsidR="00E201BB" w:rsidRPr="0001246B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melanocortin 4 receptor</w:t>
            </w:r>
          </w:p>
        </w:tc>
        <w:tc>
          <w:tcPr>
            <w:tcW w:w="3793" w:type="dxa"/>
            <w:tcBorders>
              <w:top w:val="nil"/>
              <w:bottom w:val="nil"/>
            </w:tcBorders>
            <w:vAlign w:val="center"/>
          </w:tcPr>
          <w:p w14:paraId="4C66DBC8" w14:textId="77777777" w:rsidR="00E201BB" w:rsidRPr="0001246B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ubiquitin protein ligase binding, melanocyte-stimulating hormone receptor activity</w:t>
            </w:r>
          </w:p>
        </w:tc>
        <w:tc>
          <w:tcPr>
            <w:tcW w:w="4348" w:type="dxa"/>
            <w:tcBorders>
              <w:top w:val="nil"/>
              <w:bottom w:val="nil"/>
            </w:tcBorders>
            <w:vAlign w:val="center"/>
          </w:tcPr>
          <w:p w14:paraId="210A72E1" w14:textId="77777777" w:rsidR="00E201BB" w:rsidRPr="0001246B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feeding behavior, insulin secretion, regulation of metabolic process, positive regulation of bone resorption</w:t>
            </w:r>
          </w:p>
        </w:tc>
      </w:tr>
      <w:tr w:rsidR="00E201BB" w:rsidRPr="0001246B" w14:paraId="3AD6E17C" w14:textId="77777777" w:rsidTr="00084012">
        <w:trPr>
          <w:trHeight w:val="929"/>
        </w:trPr>
        <w:tc>
          <w:tcPr>
            <w:tcW w:w="1769" w:type="dxa"/>
            <w:tcBorders>
              <w:top w:val="nil"/>
              <w:bottom w:val="single" w:sz="4" w:space="0" w:color="auto"/>
            </w:tcBorders>
            <w:vAlign w:val="center"/>
          </w:tcPr>
          <w:p w14:paraId="1986D33A" w14:textId="77777777" w:rsidR="00E201BB" w:rsidRPr="0001246B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6" w:name="_Hlk531678617"/>
            <w:r w:rsidRPr="0001246B">
              <w:rPr>
                <w:rFonts w:ascii="Times New Roman" w:hAnsi="Times New Roman" w:cs="Times New Roman"/>
                <w:szCs w:val="21"/>
              </w:rPr>
              <w:t>FBXL5</w:t>
            </w:r>
            <w:bookmarkEnd w:id="6"/>
          </w:p>
        </w:tc>
        <w:tc>
          <w:tcPr>
            <w:tcW w:w="3919" w:type="dxa"/>
            <w:tcBorders>
              <w:top w:val="nil"/>
              <w:bottom w:val="single" w:sz="4" w:space="0" w:color="auto"/>
            </w:tcBorders>
            <w:vAlign w:val="center"/>
          </w:tcPr>
          <w:p w14:paraId="64620A1F" w14:textId="77777777" w:rsidR="00E201BB" w:rsidRPr="0001246B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 xml:space="preserve">F-Box </w:t>
            </w:r>
            <w:proofErr w:type="gramStart"/>
            <w:r w:rsidRPr="0001246B">
              <w:rPr>
                <w:rFonts w:ascii="Times New Roman" w:hAnsi="Times New Roman" w:cs="Times New Roman"/>
                <w:szCs w:val="21"/>
              </w:rPr>
              <w:t>And</w:t>
            </w:r>
            <w:proofErr w:type="gramEnd"/>
            <w:r w:rsidRPr="0001246B">
              <w:rPr>
                <w:rFonts w:ascii="Times New Roman" w:hAnsi="Times New Roman" w:cs="Times New Roman"/>
                <w:szCs w:val="21"/>
              </w:rPr>
              <w:t xml:space="preserve"> Leucine Rich Repeat Protein 5</w:t>
            </w:r>
          </w:p>
        </w:tc>
        <w:tc>
          <w:tcPr>
            <w:tcW w:w="3793" w:type="dxa"/>
            <w:tcBorders>
              <w:top w:val="nil"/>
              <w:bottom w:val="single" w:sz="4" w:space="0" w:color="auto"/>
            </w:tcBorders>
            <w:vAlign w:val="center"/>
          </w:tcPr>
          <w:p w14:paraId="202B2DFE" w14:textId="77777777" w:rsidR="00E201BB" w:rsidRPr="0001246B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ubiquitin protein transferase activity and iron ion binding.</w:t>
            </w:r>
          </w:p>
        </w:tc>
        <w:tc>
          <w:tcPr>
            <w:tcW w:w="4348" w:type="dxa"/>
            <w:tcBorders>
              <w:top w:val="nil"/>
              <w:bottom w:val="single" w:sz="4" w:space="0" w:color="auto"/>
            </w:tcBorders>
            <w:vAlign w:val="center"/>
          </w:tcPr>
          <w:p w14:paraId="33901DE0" w14:textId="77777777" w:rsidR="00E201BB" w:rsidRPr="0001246B" w:rsidRDefault="00E201BB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protein catabolic process and iron ion homeostasis</w:t>
            </w:r>
          </w:p>
        </w:tc>
      </w:tr>
    </w:tbl>
    <w:p w14:paraId="53962780" w14:textId="77777777" w:rsidR="00E201BB" w:rsidRPr="00E201BB" w:rsidRDefault="00E201BB" w:rsidP="007C044B">
      <w:pPr>
        <w:rPr>
          <w:rFonts w:ascii="Times New Roman" w:hAnsi="Times New Roman" w:cs="Times New Roman"/>
          <w:color w:val="FF0000"/>
          <w:sz w:val="24"/>
        </w:rPr>
      </w:pPr>
    </w:p>
    <w:sectPr w:rsidR="00E201BB" w:rsidRPr="00E201BB" w:rsidSect="007C044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789FA" w14:textId="77777777" w:rsidR="0007733A" w:rsidRDefault="0007733A" w:rsidP="007C044B">
      <w:r>
        <w:separator/>
      </w:r>
    </w:p>
  </w:endnote>
  <w:endnote w:type="continuationSeparator" w:id="0">
    <w:p w14:paraId="48FE4781" w14:textId="77777777" w:rsidR="0007733A" w:rsidRDefault="0007733A" w:rsidP="007C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23B2F" w14:textId="77777777" w:rsidR="0007733A" w:rsidRDefault="0007733A" w:rsidP="007C044B">
      <w:r>
        <w:separator/>
      </w:r>
    </w:p>
  </w:footnote>
  <w:footnote w:type="continuationSeparator" w:id="0">
    <w:p w14:paraId="49E2A42D" w14:textId="77777777" w:rsidR="0007733A" w:rsidRDefault="0007733A" w:rsidP="007C0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7C"/>
    <w:rsid w:val="0007733A"/>
    <w:rsid w:val="00194251"/>
    <w:rsid w:val="007C044B"/>
    <w:rsid w:val="007D55F7"/>
    <w:rsid w:val="00A454B1"/>
    <w:rsid w:val="00B3627C"/>
    <w:rsid w:val="00E201BB"/>
    <w:rsid w:val="00E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6DCEE"/>
  <w15:chartTrackingRefBased/>
  <w15:docId w15:val="{BFCA3474-67FC-4DD9-A104-7925AACA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4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4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04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04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044B"/>
    <w:rPr>
      <w:sz w:val="18"/>
      <w:szCs w:val="18"/>
    </w:rPr>
  </w:style>
  <w:style w:type="table" w:styleId="a7">
    <w:name w:val="Table Grid"/>
    <w:basedOn w:val="a1"/>
    <w:uiPriority w:val="39"/>
    <w:rsid w:val="007C0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菁菁</dc:creator>
  <cp:keywords/>
  <dc:description/>
  <cp:lastModifiedBy>李 菁菁</cp:lastModifiedBy>
  <cp:revision>10</cp:revision>
  <dcterms:created xsi:type="dcterms:W3CDTF">2019-08-12T13:07:00Z</dcterms:created>
  <dcterms:modified xsi:type="dcterms:W3CDTF">2019-08-12T13:23:00Z</dcterms:modified>
</cp:coreProperties>
</file>