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333D" w:rsidRPr="00374774" w:rsidRDefault="009B333D" w:rsidP="009B333D">
      <w:pPr>
        <w:spacing w:line="276" w:lineRule="auto"/>
      </w:pPr>
    </w:p>
    <w:p w:rsidR="009B333D" w:rsidRPr="009401FD" w:rsidRDefault="009B333D" w:rsidP="009B333D">
      <w:pPr>
        <w:spacing w:line="276" w:lineRule="auto"/>
      </w:pPr>
      <w:r w:rsidRPr="00374774">
        <w:rPr>
          <w:b/>
          <w:bCs/>
        </w:rPr>
        <w:t>APPENDIX</w:t>
      </w:r>
    </w:p>
    <w:p w:rsidR="009B333D" w:rsidRPr="00A96D9F" w:rsidRDefault="009B333D" w:rsidP="009B333D">
      <w:pPr>
        <w:pStyle w:val="C1"/>
      </w:pPr>
      <w:r>
        <w:t>Table S</w:t>
      </w:r>
      <w:r w:rsidRPr="009779F1">
        <w:t xml:space="preserve">1. </w:t>
      </w:r>
      <w:proofErr w:type="spellStart"/>
      <w:proofErr w:type="gramStart"/>
      <w:r w:rsidRPr="00A96D9F">
        <w:t>HostSeq</w:t>
      </w:r>
      <w:proofErr w:type="spellEnd"/>
      <w:r w:rsidRPr="00A96D9F">
        <w:t xml:space="preserve"> Core Consent Elements.</w:t>
      </w:r>
      <w:proofErr w:type="gramEnd"/>
      <w:r w:rsidRPr="00A96D9F">
        <w:t xml:space="preserve"> In order to deposit datasets in </w:t>
      </w:r>
      <w:proofErr w:type="spellStart"/>
      <w:r w:rsidRPr="00A96D9F">
        <w:rPr>
          <w:u w:val="single"/>
        </w:rPr>
        <w:t>HostSeq</w:t>
      </w:r>
      <w:proofErr w:type="spellEnd"/>
      <w:r w:rsidRPr="00A96D9F">
        <w:rPr>
          <w:u w:val="single"/>
        </w:rPr>
        <w:t xml:space="preserve"> COVID-19 controlled-access Databank,</w:t>
      </w:r>
      <w:r w:rsidRPr="00A96D9F">
        <w:t xml:space="preserve"> all the </w:t>
      </w:r>
      <w:r w:rsidRPr="008D56AA">
        <w:t>elements in this table must be</w:t>
      </w:r>
      <w:r w:rsidRPr="00A96D9F">
        <w:t xml:space="preserve"> obtained in the research consen</w:t>
      </w:r>
      <w:r>
        <w:rPr>
          <w:b/>
        </w:rPr>
        <w:t>t.</w:t>
      </w:r>
    </w:p>
    <w:tbl>
      <w:tblPr>
        <w:tblW w:w="9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4560"/>
        <w:gridCol w:w="4560"/>
      </w:tblGrid>
      <w:tr w:rsidR="009B333D" w:rsidRPr="009779F1" w:rsidTr="00836C2D">
        <w:trPr>
          <w:trHeight w:val="185"/>
        </w:trPr>
        <w:tc>
          <w:tcPr>
            <w:tcW w:w="4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B5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ELEMENTS</w:t>
            </w:r>
          </w:p>
        </w:tc>
        <w:tc>
          <w:tcPr>
            <w:tcW w:w="45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5B5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DETAILS</w:t>
            </w:r>
          </w:p>
        </w:tc>
      </w:tr>
      <w:tr w:rsidR="009B333D" w:rsidRPr="009779F1" w:rsidTr="00836C2D">
        <w:trPr>
          <w:trHeight w:val="1178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Research data</w:t>
            </w:r>
          </w:p>
          <w:p w:rsidR="009B333D" w:rsidRPr="008D56AA" w:rsidRDefault="009B333D" w:rsidP="00836C2D">
            <w:pPr>
              <w:spacing w:before="240" w:line="276" w:lineRule="auto"/>
              <w:rPr>
                <w:b/>
                <w:i/>
                <w:sz w:val="20"/>
                <w:szCs w:val="20"/>
              </w:rPr>
            </w:pPr>
            <w:r w:rsidRPr="008D56AA">
              <w:rPr>
                <w:b/>
                <w:i/>
                <w:sz w:val="20"/>
                <w:szCs w:val="20"/>
              </w:rPr>
              <w:t xml:space="preserve"> 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Whole genome sequencing of the sample and the ongoing collection of clinical data from participant’s medical records/chart, administrative databases, etc.</w:t>
            </w:r>
          </w:p>
        </w:tc>
      </w:tr>
      <w:tr w:rsidR="009B333D" w:rsidRPr="009779F1" w:rsidTr="00836C2D">
        <w:trPr>
          <w:trHeight w:val="401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International sharing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International sharing of genetic and clinical data</w:t>
            </w:r>
          </w:p>
        </w:tc>
      </w:tr>
      <w:tr w:rsidR="009B333D" w:rsidRPr="009779F1" w:rsidTr="00836C2D">
        <w:trPr>
          <w:trHeight w:val="565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Future research use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Future health research on COVID-19 and other health outcomes</w:t>
            </w:r>
          </w:p>
        </w:tc>
      </w:tr>
      <w:tr w:rsidR="009B333D" w:rsidRPr="009779F1" w:rsidTr="00836C2D">
        <w:trPr>
          <w:trHeight w:val="594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Commercial use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Use of genetic and clinical data for commercial purposes</w:t>
            </w:r>
          </w:p>
        </w:tc>
      </w:tr>
      <w:tr w:rsidR="009B333D" w:rsidRPr="009779F1" w:rsidTr="00836C2D">
        <w:trPr>
          <w:trHeight w:val="594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Controlled access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Sharing of genetic and clinical data through a controlled-access mechanism</w:t>
            </w:r>
          </w:p>
        </w:tc>
      </w:tr>
      <w:tr w:rsidR="009B333D" w:rsidRPr="009779F1" w:rsidTr="00836C2D">
        <w:trPr>
          <w:trHeight w:val="775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Storage on cloud servers in Canada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 xml:space="preserve">Storage of genetic and clinical data in the </w:t>
            </w:r>
            <w:proofErr w:type="spellStart"/>
            <w:r w:rsidRPr="008D56AA">
              <w:rPr>
                <w:sz w:val="20"/>
                <w:szCs w:val="20"/>
              </w:rPr>
              <w:t>HostSeq</w:t>
            </w:r>
            <w:proofErr w:type="spellEnd"/>
            <w:r w:rsidRPr="008D56AA">
              <w:rPr>
                <w:sz w:val="20"/>
                <w:szCs w:val="20"/>
              </w:rPr>
              <w:t xml:space="preserve"> Databank, on centralized Canadian cloud servers</w:t>
            </w:r>
          </w:p>
        </w:tc>
      </w:tr>
      <w:tr w:rsidR="009B333D" w:rsidRPr="009779F1" w:rsidTr="00836C2D">
        <w:trPr>
          <w:trHeight w:val="266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Duration of storage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Indefinite storage of genetic and clinical data</w:t>
            </w:r>
          </w:p>
        </w:tc>
      </w:tr>
      <w:tr w:rsidR="009B333D" w:rsidRPr="009779F1" w:rsidTr="00836C2D">
        <w:trPr>
          <w:trHeight w:val="599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Data withdrawal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Not possible to withdraw data that has already been distributed and used</w:t>
            </w:r>
          </w:p>
        </w:tc>
      </w:tr>
      <w:tr w:rsidR="009B333D" w:rsidRPr="009779F1" w:rsidTr="00836C2D">
        <w:trPr>
          <w:trHeight w:val="498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>Re-identification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Low risk that the participant could be re-identified in the future</w:t>
            </w:r>
          </w:p>
        </w:tc>
      </w:tr>
      <w:tr w:rsidR="009B333D" w:rsidRPr="009779F1" w:rsidTr="00836C2D">
        <w:trPr>
          <w:trHeight w:val="755"/>
        </w:trPr>
        <w:tc>
          <w:tcPr>
            <w:tcW w:w="4560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b/>
                <w:sz w:val="20"/>
                <w:szCs w:val="20"/>
              </w:rPr>
            </w:pPr>
            <w:r w:rsidRPr="008D56AA">
              <w:rPr>
                <w:b/>
                <w:sz w:val="20"/>
                <w:szCs w:val="20"/>
              </w:rPr>
              <w:t xml:space="preserve">Re-contact (optional) </w:t>
            </w:r>
          </w:p>
        </w:tc>
        <w:tc>
          <w:tcPr>
            <w:tcW w:w="4560" w:type="dxa"/>
            <w:tcBorders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Pr="008D56AA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D56AA">
              <w:rPr>
                <w:sz w:val="20"/>
                <w:szCs w:val="20"/>
              </w:rPr>
              <w:t>Optional re-contact to update personal information, provide new health information, or to be invited to participate in new research projects</w:t>
            </w:r>
            <w:proofErr w:type="gramStart"/>
            <w:r w:rsidRPr="008D56AA">
              <w:rPr>
                <w:sz w:val="20"/>
                <w:szCs w:val="20"/>
              </w:rPr>
              <w:t xml:space="preserve">.  </w:t>
            </w:r>
            <w:proofErr w:type="gramEnd"/>
          </w:p>
        </w:tc>
      </w:tr>
    </w:tbl>
    <w:p w:rsidR="009B333D" w:rsidRPr="009779F1" w:rsidRDefault="009B333D" w:rsidP="009B333D">
      <w:pPr>
        <w:spacing w:line="276" w:lineRule="auto"/>
      </w:pPr>
    </w:p>
    <w:p w:rsidR="009B333D" w:rsidRPr="009779F1" w:rsidRDefault="009B333D" w:rsidP="009B333D">
      <w:pPr>
        <w:pStyle w:val="C1"/>
      </w:pPr>
      <w:r>
        <w:t>Table S</w:t>
      </w:r>
      <w:r w:rsidRPr="009779F1">
        <w:t xml:space="preserve">2. </w:t>
      </w:r>
      <w:proofErr w:type="spellStart"/>
      <w:r w:rsidRPr="009779F1">
        <w:t>HostSeq</w:t>
      </w:r>
      <w:proofErr w:type="spellEnd"/>
      <w:r w:rsidRPr="009779F1">
        <w:t xml:space="preserve"> Case Report Form</w:t>
      </w:r>
      <w:r>
        <w:t>.</w:t>
      </w:r>
    </w:p>
    <w:tbl>
      <w:tblPr>
        <w:tblW w:w="935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100" w:type="dxa"/>
          <w:left w:w="100" w:type="dxa"/>
          <w:bottom w:w="100" w:type="dxa"/>
          <w:right w:w="100" w:type="dxa"/>
        </w:tblCellMar>
        <w:tblLook w:val="0600" w:firstRow="0" w:lastRow="0" w:firstColumn="0" w:lastColumn="0" w:noHBand="1" w:noVBand="1"/>
      </w:tblPr>
      <w:tblGrid>
        <w:gridCol w:w="2910"/>
        <w:gridCol w:w="3420"/>
        <w:gridCol w:w="3024"/>
      </w:tblGrid>
      <w:tr w:rsidR="009B333D" w:rsidRPr="009779F1" w:rsidTr="00836C2D">
        <w:trPr>
          <w:trHeight w:val="300"/>
        </w:trPr>
        <w:tc>
          <w:tcPr>
            <w:tcW w:w="291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IDENTIFICATION</w:t>
            </w:r>
          </w:p>
        </w:tc>
        <w:tc>
          <w:tcPr>
            <w:tcW w:w="3420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</w:t>
            </w:r>
          </w:p>
        </w:tc>
        <w:tc>
          <w:tcPr>
            <w:tcW w:w="3024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LAB RESULTS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lastRenderedPageBreak/>
              <w:t>Host Hospital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Comorbidities: Immune system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B80FB7">
              <w:rPr>
                <w:sz w:val="20"/>
                <w:szCs w:val="20"/>
              </w:rPr>
              <w:t>Haemoglobin</w:t>
            </w:r>
            <w:proofErr w:type="spellEnd"/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Source study participant ID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HIV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WBC count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B80FB7">
              <w:rPr>
                <w:sz w:val="20"/>
                <w:szCs w:val="20"/>
              </w:rPr>
              <w:t>HostSeq</w:t>
            </w:r>
            <w:proofErr w:type="spellEnd"/>
            <w:r w:rsidRPr="00B80FB7">
              <w:rPr>
                <w:sz w:val="20"/>
                <w:szCs w:val="20"/>
              </w:rPr>
              <w:t xml:space="preserve"> ID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Immunocompromised status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Lymphocyte count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DNA ID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Onset of </w:t>
            </w:r>
            <w:r>
              <w:rPr>
                <w:sz w:val="20"/>
                <w:szCs w:val="20"/>
              </w:rPr>
              <w:t>COVID</w:t>
            </w:r>
            <w:r w:rsidRPr="00B80FB7">
              <w:rPr>
                <w:sz w:val="20"/>
                <w:szCs w:val="20"/>
              </w:rPr>
              <w:t xml:space="preserve">-19 to </w:t>
            </w:r>
            <w:proofErr w:type="spellStart"/>
            <w:r w:rsidRPr="00B80FB7">
              <w:rPr>
                <w:sz w:val="20"/>
                <w:szCs w:val="20"/>
              </w:rPr>
              <w:t>immunocompromisation</w:t>
            </w:r>
            <w:proofErr w:type="spellEnd"/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Neutrophil count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Sequencing site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Organ transplant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B80FB7">
              <w:rPr>
                <w:sz w:val="20"/>
                <w:szCs w:val="20"/>
              </w:rPr>
              <w:t>Haematocrit</w:t>
            </w:r>
            <w:proofErr w:type="spellEnd"/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Was informed consent obtained?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Organ type of transplant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Platelets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Study enrollment date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Autoimmune or rheumatologic disease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APTT/APTR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DOB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Diabetes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APTT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Age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Type I diabetes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Laboratory COVID-19 test result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Type II diabetes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INR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Suspected to be COVID-19 positive?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Comorbidities: Respiratory system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ALT/SGPT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Ambulatory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Asthma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Total Bilirubin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Hospitalized State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COPD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AST/SGOT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Date of admission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Cystic </w:t>
            </w:r>
            <w:r>
              <w:rPr>
                <w:sz w:val="20"/>
                <w:szCs w:val="20"/>
              </w:rPr>
              <w:t>f</w:t>
            </w:r>
            <w:r w:rsidRPr="00B80FB7">
              <w:rPr>
                <w:sz w:val="20"/>
                <w:szCs w:val="20"/>
              </w:rPr>
              <w:t>ibrosis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Glucose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Sex at birth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Sleep </w:t>
            </w:r>
            <w:r>
              <w:rPr>
                <w:sz w:val="20"/>
                <w:szCs w:val="20"/>
              </w:rPr>
              <w:t>a</w:t>
            </w:r>
            <w:r w:rsidRPr="00B80FB7">
              <w:rPr>
                <w:sz w:val="20"/>
                <w:szCs w:val="20"/>
              </w:rPr>
              <w:t>pnea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Blood Urea Nitrogen (urea)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Gender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Do you use a home CPAP device?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Lactate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Ancestry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Comorbidities: Genitourinary/Metabolic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Creatinine</w:t>
            </w:r>
          </w:p>
        </w:tc>
      </w:tr>
      <w:tr w:rsidR="009B333D" w:rsidRPr="009779F1" w:rsidTr="00836C2D">
        <w:trPr>
          <w:trHeight w:val="300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Height (cm)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Chronic kidney disease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Sodium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Weight (Kg)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Liver disease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Potassium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DEMOGRAPHICS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Gallbladder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B80FB7">
              <w:rPr>
                <w:sz w:val="20"/>
                <w:szCs w:val="20"/>
              </w:rPr>
              <w:t>Procalcitonin</w:t>
            </w:r>
            <w:proofErr w:type="spellEnd"/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Country of birth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Pancreas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CRP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Education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Comorbidities: Cardiovascular system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CT chest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Employment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Coronary intervention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Chest X-Ray performed?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Type of residence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Coronary artery bypass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ECG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Household composition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Congestive heart failure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POCUS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PREGNANCY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Hypertension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Echocardiogram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Pregnancy - currently pregnant?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Myocardial infarction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LDH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RISK FACTORS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Myocardial infarction Type I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D-Dimer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Cigarettes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Myocardial infarction Type II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Fibrinogen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How many cigarettes daily?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Peripheral vascular disease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Ferritin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Vaping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Stroke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Triglycerides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Cannabis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Arrhythmias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IL-6</w:t>
            </w:r>
          </w:p>
        </w:tc>
      </w:tr>
      <w:tr w:rsidR="009B333D" w:rsidRPr="009779F1" w:rsidTr="00836C2D">
        <w:trPr>
          <w:trHeight w:val="330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AT ADMISSION/ASSESSMENT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Comorbidities: Neurological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CD4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COVID-19 test date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Dementia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CD8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Date of diagnosis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Neurological or neuropsychiatric disease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CD4/CD8 ratio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Serology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Comorbidities: Cancer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NT-</w:t>
            </w:r>
            <w:proofErr w:type="spellStart"/>
            <w:r w:rsidRPr="00B80FB7">
              <w:rPr>
                <w:sz w:val="20"/>
                <w:szCs w:val="20"/>
              </w:rPr>
              <w:t>proBNP</w:t>
            </w:r>
            <w:proofErr w:type="spellEnd"/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Serology positive test date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Currently diagnosed with cancer?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BNP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lastRenderedPageBreak/>
              <w:t>Date of last negative test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Patient age at diagnosis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Troponin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PCR</w:t>
            </w:r>
          </w:p>
        </w:tc>
        <w:tc>
          <w:tcPr>
            <w:tcW w:w="3420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Leukemia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TREATMENT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Commercial serology test kit name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Lymphoma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ICU or High Dependency Unit admission?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Onset date of first/earliest symptom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Sarcoma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If yes, date of ICU admission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ER triage date at this facility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Carcinoma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If yes, date of ICU discharge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Transfer from another facility?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Myeloma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Prone </w:t>
            </w:r>
            <w:r>
              <w:rPr>
                <w:sz w:val="20"/>
                <w:szCs w:val="20"/>
              </w:rPr>
              <w:t>v</w:t>
            </w:r>
            <w:r w:rsidRPr="00B80FB7">
              <w:rPr>
                <w:sz w:val="20"/>
                <w:szCs w:val="20"/>
              </w:rPr>
              <w:t>entilation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ABO blood type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Mixed types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Inhaled </w:t>
            </w:r>
            <w:r>
              <w:rPr>
                <w:sz w:val="20"/>
                <w:szCs w:val="20"/>
              </w:rPr>
              <w:t>n</w:t>
            </w:r>
            <w:r w:rsidRPr="00B80FB7">
              <w:rPr>
                <w:sz w:val="20"/>
                <w:szCs w:val="20"/>
              </w:rPr>
              <w:t xml:space="preserve">itric </w:t>
            </w:r>
            <w:r>
              <w:rPr>
                <w:sz w:val="20"/>
                <w:szCs w:val="20"/>
              </w:rPr>
              <w:t>o</w:t>
            </w:r>
            <w:r w:rsidRPr="00B80FB7">
              <w:rPr>
                <w:sz w:val="20"/>
                <w:szCs w:val="20"/>
              </w:rPr>
              <w:t>xide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Rh factor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Cancer location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Tracheostomy inserted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Home medications</w:t>
            </w:r>
          </w:p>
        </w:tc>
        <w:tc>
          <w:tcPr>
            <w:tcW w:w="3420" w:type="dxa"/>
            <w:tcBorders>
              <w:bottom w:val="single" w:sz="6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Cancer treatment in the past 12 months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Extracorporeal support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BCG vaccine</w:t>
            </w: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Other comorbidities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RRT or dialysis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COVID-19 Vaccine?</w:t>
            </w:r>
          </w:p>
        </w:tc>
        <w:tc>
          <w:tcPr>
            <w:tcW w:w="34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PATHOGEN TESTING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Inotropes/vasopressors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Name of first dose vaccine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Pathogen testing done during this illness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OTHER intervention or procedure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Name of second dose vaccine</w:t>
            </w:r>
          </w:p>
        </w:tc>
        <w:tc>
          <w:tcPr>
            <w:tcW w:w="3420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Influenza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MEDICATION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SYMPTOMS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Coronavirus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Antiviral agent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Cough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RSV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Azithromycin “Zithromax”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Days with cough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Adenovirus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Any other antibiotic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Difficulty breathing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Enterovirus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Corticosteroid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Fever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Bacteria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Antifungal agent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Days with </w:t>
            </w:r>
            <w:r>
              <w:rPr>
                <w:sz w:val="20"/>
                <w:szCs w:val="20"/>
              </w:rPr>
              <w:t>f</w:t>
            </w:r>
            <w:r w:rsidRPr="00B80FB7">
              <w:rPr>
                <w:sz w:val="20"/>
                <w:szCs w:val="20"/>
              </w:rPr>
              <w:t>ever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Other </w:t>
            </w:r>
            <w:r>
              <w:rPr>
                <w:sz w:val="20"/>
                <w:szCs w:val="20"/>
              </w:rPr>
              <w:t>i</w:t>
            </w:r>
            <w:r w:rsidRPr="00B80FB7">
              <w:rPr>
                <w:sz w:val="20"/>
                <w:szCs w:val="20"/>
              </w:rPr>
              <w:t xml:space="preserve">nfectious </w:t>
            </w:r>
            <w:r>
              <w:rPr>
                <w:sz w:val="20"/>
                <w:szCs w:val="20"/>
              </w:rPr>
              <w:t>r</w:t>
            </w:r>
            <w:r w:rsidRPr="00B80FB7">
              <w:rPr>
                <w:sz w:val="20"/>
                <w:szCs w:val="20"/>
              </w:rPr>
              <w:t>espiratory diagnosis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Colchicine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Heart rate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Was there a physician diagnosis of pneumonia?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Chloroquine “</w:t>
            </w:r>
            <w:proofErr w:type="spellStart"/>
            <w:r w:rsidRPr="00B80FB7">
              <w:rPr>
                <w:sz w:val="20"/>
                <w:szCs w:val="20"/>
              </w:rPr>
              <w:t>Aralen</w:t>
            </w:r>
            <w:proofErr w:type="spellEnd"/>
            <w:r w:rsidRPr="00B80FB7">
              <w:rPr>
                <w:sz w:val="20"/>
                <w:szCs w:val="20"/>
              </w:rPr>
              <w:t>”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Highest respiratory rate</w:t>
            </w: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Suspected </w:t>
            </w:r>
            <w:r>
              <w:rPr>
                <w:sz w:val="20"/>
                <w:szCs w:val="20"/>
              </w:rPr>
              <w:t>n</w:t>
            </w:r>
            <w:r w:rsidRPr="00B80FB7">
              <w:rPr>
                <w:sz w:val="20"/>
                <w:szCs w:val="20"/>
              </w:rPr>
              <w:t>on-</w:t>
            </w:r>
            <w:r>
              <w:rPr>
                <w:sz w:val="20"/>
                <w:szCs w:val="20"/>
              </w:rPr>
              <w:t>i</w:t>
            </w:r>
            <w:r w:rsidRPr="00B80FB7">
              <w:rPr>
                <w:sz w:val="20"/>
                <w:szCs w:val="20"/>
              </w:rPr>
              <w:t>nfective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B80FB7">
              <w:rPr>
                <w:sz w:val="20"/>
                <w:szCs w:val="20"/>
              </w:rPr>
              <w:t>Hydroxycholorquine</w:t>
            </w:r>
            <w:proofErr w:type="spellEnd"/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Systolic blood pressure</w:t>
            </w:r>
          </w:p>
        </w:tc>
        <w:tc>
          <w:tcPr>
            <w:tcW w:w="3420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COMPLICATIONS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Tocilizumab “</w:t>
            </w:r>
            <w:proofErr w:type="spellStart"/>
            <w:r w:rsidRPr="00B80FB7">
              <w:rPr>
                <w:sz w:val="20"/>
                <w:szCs w:val="20"/>
              </w:rPr>
              <w:t>Actemra</w:t>
            </w:r>
            <w:proofErr w:type="spellEnd"/>
            <w:r w:rsidRPr="00B80FB7">
              <w:rPr>
                <w:sz w:val="20"/>
                <w:szCs w:val="20"/>
              </w:rPr>
              <w:t>”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Diastolic blood pressure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Viral pneumonitis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B80FB7">
              <w:rPr>
                <w:sz w:val="20"/>
                <w:szCs w:val="20"/>
              </w:rPr>
              <w:t>Kineret</w:t>
            </w:r>
            <w:proofErr w:type="spellEnd"/>
            <w:r w:rsidRPr="00B80FB7">
              <w:rPr>
                <w:sz w:val="20"/>
                <w:szCs w:val="20"/>
              </w:rPr>
              <w:t xml:space="preserve"> “</w:t>
            </w:r>
            <w:proofErr w:type="spellStart"/>
            <w:r w:rsidRPr="00B80FB7">
              <w:rPr>
                <w:sz w:val="20"/>
                <w:szCs w:val="20"/>
              </w:rPr>
              <w:t>Anakinra</w:t>
            </w:r>
            <w:proofErr w:type="spellEnd"/>
            <w:r w:rsidRPr="00B80FB7">
              <w:rPr>
                <w:sz w:val="20"/>
                <w:szCs w:val="20"/>
              </w:rPr>
              <w:t>”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Oxygen saturation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Bacterial pneumonia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IVIG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Fatigue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Acute Respiratory Distress Syndrome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Plasma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Myalgia (general aches and pain)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Pneumothorax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Other COVID therapy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Runny nose</w:t>
            </w:r>
          </w:p>
        </w:tc>
        <w:tc>
          <w:tcPr>
            <w:tcW w:w="3420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Pleural effusion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shd w:val="clear" w:color="auto" w:fill="A5B592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b/>
                <w:sz w:val="20"/>
                <w:szCs w:val="20"/>
              </w:rPr>
              <w:t>OUTCOME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Sore throat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Cryptogenic organizing pneumonia (COP)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Outcome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Loss of taste/smell sense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Bronchiolitis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Outcome date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Nosebleed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Meningitis / Encephalitis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Self-care ability versus before illness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Ear pain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Seizure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Repeat hospital visit within 30 days?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Wheezing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Stroke / Cerebrovascular accident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Date and reason</w:t>
            </w: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Chest pain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Congestive heart failure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Joint pain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Cardiac inflammation (mark all that apply)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lastRenderedPageBreak/>
              <w:t>Headache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Cardiac arrhythmia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</w:t>
            </w:r>
            <w:r w:rsidRPr="00B80FB7">
              <w:rPr>
                <w:sz w:val="20"/>
                <w:szCs w:val="20"/>
              </w:rPr>
              <w:t>eizures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Cardiac </w:t>
            </w:r>
            <w:proofErr w:type="spellStart"/>
            <w:r w:rsidRPr="00B80FB7">
              <w:rPr>
                <w:sz w:val="20"/>
                <w:szCs w:val="20"/>
              </w:rPr>
              <w:t>ischaemia</w:t>
            </w:r>
            <w:proofErr w:type="spellEnd"/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right w:val="single" w:sz="12" w:space="0" w:color="CCCCCC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Altered consciousness/confusion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Cardiac arrest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55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Abdominal pain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Coagulation disorder / Disseminated Intravascular Coagulation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Diarrhea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Anemia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Nausea/vomiting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Rhabdomyolysis / Myositis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Conjunctivitis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Acute renal injury/ Acute renal failure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Skin rash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 xml:space="preserve">Gastrointestinal </w:t>
            </w:r>
            <w:proofErr w:type="spellStart"/>
            <w:r w:rsidRPr="00B80FB7">
              <w:rPr>
                <w:sz w:val="20"/>
                <w:szCs w:val="20"/>
              </w:rPr>
              <w:t>haemorrhage</w:t>
            </w:r>
            <w:proofErr w:type="spellEnd"/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Other symptoms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Pancreatitis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Asymptomatic</w:t>
            </w: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Liver dysfunction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Hyperglycemia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Hypoglycemia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20" w:type="dxa"/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Inflammatory syndrome/Kawasaki Disease like</w:t>
            </w:r>
          </w:p>
        </w:tc>
        <w:tc>
          <w:tcPr>
            <w:tcW w:w="3024" w:type="dxa"/>
            <w:tcBorders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  <w:tr w:rsidR="009B333D" w:rsidRPr="009779F1" w:rsidTr="00836C2D">
        <w:trPr>
          <w:trHeight w:val="315"/>
        </w:trPr>
        <w:tc>
          <w:tcPr>
            <w:tcW w:w="2910" w:type="dxa"/>
            <w:tcBorders>
              <w:left w:val="single" w:sz="12" w:space="0" w:color="000000"/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420" w:type="dxa"/>
            <w:tcBorders>
              <w:bottom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bottom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  <w:r w:rsidRPr="00B80FB7">
              <w:rPr>
                <w:sz w:val="20"/>
                <w:szCs w:val="20"/>
              </w:rPr>
              <w:t>Other, please specify</w:t>
            </w:r>
          </w:p>
        </w:tc>
        <w:tc>
          <w:tcPr>
            <w:tcW w:w="3024" w:type="dxa"/>
            <w:tcBorders>
              <w:bottom w:val="single" w:sz="12" w:space="0" w:color="000000"/>
              <w:right w:val="single" w:sz="12" w:space="0" w:color="000000"/>
            </w:tcBorders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9B333D" w:rsidRPr="00B80FB7" w:rsidRDefault="009B333D" w:rsidP="00836C2D">
            <w:pPr>
              <w:widowControl w:val="0"/>
              <w:spacing w:line="276" w:lineRule="auto"/>
              <w:rPr>
                <w:sz w:val="20"/>
                <w:szCs w:val="20"/>
              </w:rPr>
            </w:pPr>
          </w:p>
        </w:tc>
      </w:tr>
    </w:tbl>
    <w:p w:rsidR="009B333D" w:rsidRDefault="009B333D" w:rsidP="009B333D">
      <w:pPr>
        <w:spacing w:line="276" w:lineRule="auto"/>
        <w:rPr>
          <w:rFonts w:eastAsia="Calibri" w:cs="Calibri"/>
          <w:b/>
          <w:bCs/>
          <w:szCs w:val="48"/>
        </w:rPr>
      </w:pPr>
    </w:p>
    <w:p w:rsidR="009B333D" w:rsidRDefault="009B333D" w:rsidP="009B333D">
      <w:pPr>
        <w:spacing w:after="160" w:line="259" w:lineRule="auto"/>
        <w:rPr>
          <w:rFonts w:eastAsia="Calibri" w:cs="Calibri"/>
          <w:bCs/>
          <w:i/>
          <w:sz w:val="22"/>
          <w:szCs w:val="48"/>
        </w:rPr>
      </w:pPr>
      <w:r>
        <w:br w:type="page"/>
      </w:r>
    </w:p>
    <w:p w:rsidR="009B333D" w:rsidRDefault="009B333D" w:rsidP="009B333D">
      <w:pPr>
        <w:pStyle w:val="C1"/>
      </w:pPr>
      <w:r>
        <w:lastRenderedPageBreak/>
        <w:t>Table S3. Software used for processing WGS data.</w:t>
      </w:r>
    </w:p>
    <w:tbl>
      <w:tblPr>
        <w:tblW w:w="0" w:type="auto"/>
        <w:tblBorders>
          <w:top w:val="single" w:sz="2" w:space="0" w:color="000000" w:themeColor="text1"/>
          <w:left w:val="single" w:sz="2" w:space="0" w:color="000000" w:themeColor="text1"/>
          <w:bottom w:val="single" w:sz="2" w:space="0" w:color="000000" w:themeColor="text1"/>
          <w:right w:val="single" w:sz="2" w:space="0" w:color="000000" w:themeColor="text1"/>
          <w:insideH w:val="single" w:sz="2" w:space="0" w:color="000000" w:themeColor="text1"/>
          <w:insideV w:val="single" w:sz="2" w:space="0" w:color="000000" w:themeColor="text1"/>
        </w:tblBorders>
        <w:tblLook w:val="0600" w:firstRow="0" w:lastRow="0" w:firstColumn="0" w:lastColumn="0" w:noHBand="1" w:noVBand="1"/>
      </w:tblPr>
      <w:tblGrid>
        <w:gridCol w:w="2215"/>
        <w:gridCol w:w="1898"/>
        <w:gridCol w:w="1775"/>
        <w:gridCol w:w="3491"/>
      </w:tblGrid>
      <w:tr w:rsidR="009B333D" w:rsidTr="00836C2D">
        <w:trPr>
          <w:trHeight w:val="185"/>
        </w:trPr>
        <w:tc>
          <w:tcPr>
            <w:tcW w:w="22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5B5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8538B">
              <w:rPr>
                <w:b/>
                <w:bCs/>
                <w:sz w:val="20"/>
                <w:szCs w:val="20"/>
              </w:rPr>
              <w:t>PROCESS</w:t>
            </w:r>
          </w:p>
        </w:tc>
        <w:tc>
          <w:tcPr>
            <w:tcW w:w="1898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5B5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8538B">
              <w:rPr>
                <w:b/>
                <w:bCs/>
                <w:sz w:val="20"/>
                <w:szCs w:val="20"/>
              </w:rPr>
              <w:t>SOFTWARE</w:t>
            </w:r>
          </w:p>
        </w:tc>
        <w:tc>
          <w:tcPr>
            <w:tcW w:w="1775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5B5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8538B">
              <w:rPr>
                <w:b/>
                <w:bCs/>
                <w:sz w:val="20"/>
                <w:szCs w:val="20"/>
              </w:rPr>
              <w:t>VERSION</w:t>
            </w:r>
          </w:p>
        </w:tc>
        <w:tc>
          <w:tcPr>
            <w:tcW w:w="3472" w:type="dxa"/>
            <w:tcBorders>
              <w:top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5B5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b/>
                <w:bCs/>
                <w:sz w:val="20"/>
                <w:szCs w:val="20"/>
              </w:rPr>
            </w:pPr>
            <w:r w:rsidRPr="0008538B">
              <w:rPr>
                <w:b/>
                <w:bCs/>
                <w:sz w:val="20"/>
                <w:szCs w:val="20"/>
              </w:rPr>
              <w:t>URL</w:t>
            </w:r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Sequence alignment</w:t>
            </w:r>
          </w:p>
        </w:tc>
        <w:tc>
          <w:tcPr>
            <w:tcW w:w="18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DRAGMAP</w:t>
            </w:r>
          </w:p>
        </w:tc>
        <w:tc>
          <w:tcPr>
            <w:tcW w:w="17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1.3.0</w:t>
            </w:r>
          </w:p>
        </w:tc>
        <w:tc>
          <w:tcPr>
            <w:tcW w:w="34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hyperlink r:id="rId6">
              <w:r w:rsidRPr="0008538B">
                <w:rPr>
                  <w:rStyle w:val="Hyperlink"/>
                  <w:sz w:val="20"/>
                  <w:szCs w:val="20"/>
                </w:rPr>
                <w:t>https://github.com/Illumina/DRAGMAP</w:t>
              </w:r>
            </w:hyperlink>
            <w:r w:rsidRPr="0008538B">
              <w:rPr>
                <w:color w:val="1D1C1D"/>
                <w:sz w:val="20"/>
                <w:szCs w:val="20"/>
              </w:rPr>
              <w:t xml:space="preserve"> </w:t>
            </w:r>
          </w:p>
        </w:tc>
      </w:tr>
      <w:tr w:rsidR="009B333D" w:rsidTr="00836C2D">
        <w:trPr>
          <w:trHeight w:val="555"/>
        </w:trPr>
        <w:tc>
          <w:tcPr>
            <w:tcW w:w="22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Sorting alignments</w:t>
            </w:r>
          </w:p>
        </w:tc>
        <w:tc>
          <w:tcPr>
            <w:tcW w:w="18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Picard tools</w:t>
            </w:r>
          </w:p>
        </w:tc>
        <w:tc>
          <w:tcPr>
            <w:tcW w:w="17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2.25.0</w:t>
            </w:r>
          </w:p>
        </w:tc>
        <w:tc>
          <w:tcPr>
            <w:tcW w:w="34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7">
              <w:r w:rsidRPr="0008538B">
                <w:rPr>
                  <w:rStyle w:val="Hyperlink"/>
                  <w:sz w:val="20"/>
                  <w:szCs w:val="20"/>
                </w:rPr>
                <w:t>https://broadinstitute.github.io/picard/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Genotyping</w:t>
            </w:r>
          </w:p>
        </w:tc>
        <w:tc>
          <w:tcPr>
            <w:tcW w:w="18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proofErr w:type="spellStart"/>
            <w:r w:rsidRPr="0008538B">
              <w:rPr>
                <w:color w:val="1D1C1D"/>
                <w:sz w:val="20"/>
                <w:szCs w:val="20"/>
              </w:rPr>
              <w:t>HaplotypeCaller</w:t>
            </w:r>
            <w:proofErr w:type="spellEnd"/>
          </w:p>
        </w:tc>
        <w:tc>
          <w:tcPr>
            <w:tcW w:w="17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GATK 4.2.5.0</w:t>
            </w:r>
          </w:p>
        </w:tc>
        <w:tc>
          <w:tcPr>
            <w:tcW w:w="34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hyperlink r:id="rId8">
              <w:r w:rsidRPr="0008538B">
                <w:rPr>
                  <w:rStyle w:val="Hyperlink"/>
                  <w:sz w:val="20"/>
                  <w:szCs w:val="20"/>
                </w:rPr>
                <w:t>https://gatk.broadinstitute.org/hc/en-us/articles/4418062719899-HaplotypeCaller</w:t>
              </w:r>
            </w:hyperlink>
            <w:r w:rsidRPr="0008538B">
              <w:rPr>
                <w:color w:val="1D1C1D"/>
                <w:sz w:val="20"/>
                <w:szCs w:val="20"/>
              </w:rPr>
              <w:t xml:space="preserve"> </w:t>
            </w:r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Joint-calling</w:t>
            </w:r>
          </w:p>
        </w:tc>
        <w:tc>
          <w:tcPr>
            <w:tcW w:w="18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proofErr w:type="spellStart"/>
            <w:r w:rsidRPr="0008538B">
              <w:rPr>
                <w:color w:val="1D1C1D"/>
                <w:sz w:val="20"/>
                <w:szCs w:val="20"/>
              </w:rPr>
              <w:t>GenotypeGVCFs</w:t>
            </w:r>
            <w:proofErr w:type="spellEnd"/>
          </w:p>
        </w:tc>
        <w:tc>
          <w:tcPr>
            <w:tcW w:w="17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r w:rsidRPr="0008538B">
              <w:rPr>
                <w:color w:val="1D1C1D"/>
                <w:sz w:val="19"/>
                <w:szCs w:val="19"/>
              </w:rPr>
              <w:t>GATK 4.2.5.0</w:t>
            </w:r>
          </w:p>
        </w:tc>
        <w:tc>
          <w:tcPr>
            <w:tcW w:w="34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hyperlink r:id="rId9">
              <w:r w:rsidRPr="0008538B">
                <w:rPr>
                  <w:rStyle w:val="Hyperlink"/>
                  <w:sz w:val="20"/>
                  <w:szCs w:val="20"/>
                </w:rPr>
                <w:t>https://gatk.broadinstitute.org/hc/en-us/articles/4418054384027-GenotypeGVCFs</w:t>
              </w:r>
            </w:hyperlink>
            <w:r w:rsidRPr="0008538B">
              <w:rPr>
                <w:color w:val="1D1C1D"/>
                <w:sz w:val="20"/>
                <w:szCs w:val="20"/>
              </w:rPr>
              <w:t xml:space="preserve"> </w:t>
            </w:r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HLA Class I typing</w:t>
            </w:r>
          </w:p>
        </w:tc>
        <w:tc>
          <w:tcPr>
            <w:tcW w:w="18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proofErr w:type="spellStart"/>
            <w:r w:rsidRPr="0008538B">
              <w:rPr>
                <w:color w:val="1D1C1D"/>
                <w:sz w:val="20"/>
                <w:szCs w:val="20"/>
              </w:rPr>
              <w:t>OptiType</w:t>
            </w:r>
            <w:proofErr w:type="spellEnd"/>
          </w:p>
        </w:tc>
        <w:tc>
          <w:tcPr>
            <w:tcW w:w="17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1.3.1</w:t>
            </w:r>
          </w:p>
        </w:tc>
        <w:tc>
          <w:tcPr>
            <w:tcW w:w="34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0">
              <w:r w:rsidRPr="0008538B">
                <w:rPr>
                  <w:rStyle w:val="Hyperlink"/>
                  <w:sz w:val="20"/>
                  <w:szCs w:val="20"/>
                </w:rPr>
                <w:t>https://github.com/FRED-2/OptiType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Sample contamination</w:t>
            </w:r>
          </w:p>
        </w:tc>
        <w:tc>
          <w:tcPr>
            <w:tcW w:w="1898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VerifyBamID2</w:t>
            </w:r>
          </w:p>
        </w:tc>
        <w:tc>
          <w:tcPr>
            <w:tcW w:w="177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2.0.1</w:t>
            </w:r>
          </w:p>
        </w:tc>
        <w:tc>
          <w:tcPr>
            <w:tcW w:w="347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1">
              <w:r w:rsidRPr="0008538B">
                <w:rPr>
                  <w:rStyle w:val="Hyperlink"/>
                  <w:sz w:val="20"/>
                  <w:szCs w:val="20"/>
                </w:rPr>
                <w:t>https://github.com/Griffan/VerifyBamID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left w:val="single" w:sz="2" w:space="0" w:color="000000" w:themeColor="text1"/>
              <w:bottom w:val="single" w:sz="4" w:space="0" w:color="auto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Ancestry and sex prediction</w:t>
            </w:r>
          </w:p>
        </w:tc>
        <w:tc>
          <w:tcPr>
            <w:tcW w:w="1898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GRAF</w:t>
            </w:r>
          </w:p>
        </w:tc>
        <w:tc>
          <w:tcPr>
            <w:tcW w:w="177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2.4</w:t>
            </w:r>
          </w:p>
        </w:tc>
        <w:tc>
          <w:tcPr>
            <w:tcW w:w="347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2">
              <w:r w:rsidRPr="0008538B">
                <w:rPr>
                  <w:rStyle w:val="Hyperlink"/>
                  <w:sz w:val="20"/>
                  <w:szCs w:val="20"/>
                </w:rPr>
                <w:t>https://github.com/ncbi/graf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single" w:sz="4" w:space="0" w:color="auto"/>
              <w:left w:val="single" w:sz="2" w:space="0" w:color="000000" w:themeColor="text1"/>
              <w:bottom w:val="nil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Miscellaneous</w:t>
            </w:r>
          </w:p>
        </w:tc>
        <w:tc>
          <w:tcPr>
            <w:tcW w:w="1898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GATK</w:t>
            </w:r>
          </w:p>
        </w:tc>
        <w:tc>
          <w:tcPr>
            <w:tcW w:w="177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4.2.5.0</w:t>
            </w:r>
          </w:p>
        </w:tc>
        <w:tc>
          <w:tcPr>
            <w:tcW w:w="347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3">
              <w:r w:rsidRPr="0008538B">
                <w:rPr>
                  <w:rStyle w:val="Hyperlink"/>
                  <w:sz w:val="20"/>
                  <w:szCs w:val="20"/>
                </w:rPr>
                <w:t>https://gatk.broadinstitute.org/hc/en-us/articles/4418051394587--Tool-Documentation-Index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nil"/>
              <w:left w:val="single" w:sz="2" w:space="0" w:color="000000" w:themeColor="text1"/>
              <w:bottom w:val="non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proofErr w:type="spellStart"/>
            <w:r w:rsidRPr="0008538B">
              <w:rPr>
                <w:color w:val="1D1C1D"/>
                <w:sz w:val="20"/>
                <w:szCs w:val="20"/>
              </w:rPr>
              <w:t>Samtools</w:t>
            </w:r>
            <w:proofErr w:type="spellEnd"/>
          </w:p>
        </w:tc>
        <w:tc>
          <w:tcPr>
            <w:tcW w:w="177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1.14</w:t>
            </w:r>
          </w:p>
        </w:tc>
        <w:tc>
          <w:tcPr>
            <w:tcW w:w="347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4">
              <w:r w:rsidRPr="0008538B">
                <w:rPr>
                  <w:rStyle w:val="Hyperlink"/>
                  <w:sz w:val="20"/>
                  <w:szCs w:val="20"/>
                </w:rPr>
                <w:t>http://samtools.github.io/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none" w:sz="2" w:space="0" w:color="000000" w:themeColor="text1"/>
              <w:left w:val="single" w:sz="2" w:space="0" w:color="000000" w:themeColor="text1"/>
              <w:bottom w:val="non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proofErr w:type="spellStart"/>
            <w:r w:rsidRPr="0008538B">
              <w:rPr>
                <w:color w:val="1D1C1D"/>
                <w:sz w:val="20"/>
                <w:szCs w:val="20"/>
              </w:rPr>
              <w:t>Bcftools</w:t>
            </w:r>
            <w:proofErr w:type="spellEnd"/>
          </w:p>
        </w:tc>
        <w:tc>
          <w:tcPr>
            <w:tcW w:w="177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1.11</w:t>
            </w:r>
          </w:p>
        </w:tc>
        <w:tc>
          <w:tcPr>
            <w:tcW w:w="347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5">
              <w:r w:rsidRPr="0008538B">
                <w:rPr>
                  <w:rStyle w:val="Hyperlink"/>
                  <w:sz w:val="20"/>
                  <w:szCs w:val="20"/>
                </w:rPr>
                <w:t xml:space="preserve">http://samtools.github.io/ </w:t>
              </w:r>
              <w:proofErr w:type="spellStart"/>
              <w:r w:rsidRPr="0008538B">
                <w:rPr>
                  <w:rStyle w:val="Hyperlink"/>
                  <w:sz w:val="20"/>
                  <w:szCs w:val="20"/>
                </w:rPr>
                <w:t>bcftools</w:t>
              </w:r>
              <w:proofErr w:type="spellEnd"/>
              <w:r w:rsidRPr="0008538B">
                <w:rPr>
                  <w:rStyle w:val="Hyperlink"/>
                  <w:sz w:val="20"/>
                  <w:szCs w:val="20"/>
                </w:rPr>
                <w:t>/bcftools.html</w:t>
              </w:r>
            </w:hyperlink>
          </w:p>
        </w:tc>
      </w:tr>
      <w:tr w:rsidR="009B333D" w:rsidTr="00836C2D">
        <w:trPr>
          <w:trHeight w:val="465"/>
        </w:trPr>
        <w:tc>
          <w:tcPr>
            <w:tcW w:w="2215" w:type="dxa"/>
            <w:tcBorders>
              <w:top w:val="none" w:sz="2" w:space="0" w:color="000000" w:themeColor="text1"/>
              <w:left w:val="single" w:sz="2" w:space="0" w:color="000000" w:themeColor="text1"/>
              <w:bottom w:val="non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</w:p>
        </w:tc>
        <w:tc>
          <w:tcPr>
            <w:tcW w:w="1898" w:type="dxa"/>
            <w:tcBorders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PLINK</w:t>
            </w:r>
          </w:p>
        </w:tc>
        <w:tc>
          <w:tcPr>
            <w:tcW w:w="1775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1.90 and 2.0.0</w:t>
            </w:r>
          </w:p>
        </w:tc>
        <w:tc>
          <w:tcPr>
            <w:tcW w:w="3472" w:type="dxa"/>
            <w:tcBorders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6">
              <w:r w:rsidRPr="0008538B">
                <w:rPr>
                  <w:rStyle w:val="Hyperlink"/>
                  <w:sz w:val="20"/>
                  <w:szCs w:val="20"/>
                </w:rPr>
                <w:t>https://www.cog-genomics.org/plink/</w:t>
              </w:r>
            </w:hyperlink>
            <w:r w:rsidRPr="0008538B">
              <w:rPr>
                <w:sz w:val="20"/>
                <w:szCs w:val="20"/>
              </w:rPr>
              <w:t xml:space="preserve"> </w:t>
            </w:r>
          </w:p>
        </w:tc>
      </w:tr>
      <w:tr w:rsidR="009B333D" w:rsidTr="00836C2D">
        <w:trPr>
          <w:trHeight w:val="435"/>
        </w:trPr>
        <w:tc>
          <w:tcPr>
            <w:tcW w:w="2215" w:type="dxa"/>
            <w:tcBorders>
              <w:top w:val="non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</w:p>
        </w:tc>
        <w:tc>
          <w:tcPr>
            <w:tcW w:w="1898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R</w:t>
            </w:r>
          </w:p>
        </w:tc>
        <w:tc>
          <w:tcPr>
            <w:tcW w:w="1775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pPr>
              <w:rPr>
                <w:color w:val="1D1C1D"/>
                <w:sz w:val="20"/>
                <w:szCs w:val="20"/>
              </w:rPr>
            </w:pPr>
            <w:r w:rsidRPr="0008538B">
              <w:rPr>
                <w:color w:val="1D1C1D"/>
                <w:sz w:val="20"/>
                <w:szCs w:val="20"/>
              </w:rPr>
              <w:t>3.6.3</w:t>
            </w:r>
          </w:p>
        </w:tc>
        <w:tc>
          <w:tcPr>
            <w:tcW w:w="3472" w:type="dxa"/>
            <w:tcBorders>
              <w:top w:val="single" w:sz="2" w:space="0" w:color="000000" w:themeColor="text1"/>
              <w:left w:val="single" w:sz="2" w:space="0" w:color="000000" w:themeColor="text1"/>
              <w:bottom w:val="single" w:sz="2" w:space="0" w:color="000000" w:themeColor="text1"/>
              <w:right w:val="single" w:sz="2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9B333D" w:rsidRDefault="009B333D" w:rsidP="00836C2D">
            <w:hyperlink r:id="rId17">
              <w:r w:rsidRPr="0008538B">
                <w:rPr>
                  <w:rStyle w:val="Hyperlink"/>
                  <w:sz w:val="20"/>
                  <w:szCs w:val="20"/>
                </w:rPr>
                <w:t>https://cran.r-project.org/</w:t>
              </w:r>
            </w:hyperlink>
          </w:p>
        </w:tc>
      </w:tr>
    </w:tbl>
    <w:p w:rsidR="009B333D" w:rsidRDefault="009B333D" w:rsidP="009B333D">
      <w:pPr>
        <w:spacing w:line="276" w:lineRule="auto"/>
        <w:rPr>
          <w:i/>
          <w:iCs/>
          <w:sz w:val="22"/>
          <w:szCs w:val="22"/>
        </w:rPr>
      </w:pPr>
    </w:p>
    <w:p w:rsidR="009B333D" w:rsidRDefault="009B333D" w:rsidP="009B333D">
      <w:pPr>
        <w:spacing w:line="276" w:lineRule="auto"/>
        <w:rPr>
          <w:rFonts w:eastAsia="Calibri" w:cs="Calibri"/>
          <w:b/>
          <w:bCs/>
        </w:rPr>
      </w:pPr>
    </w:p>
    <w:p w:rsidR="009B333D" w:rsidRDefault="009B333D" w:rsidP="009B333D">
      <w:pPr>
        <w:spacing w:after="160" w:line="259" w:lineRule="auto"/>
        <w:rPr>
          <w:rFonts w:eastAsia="Calibri" w:cs="Calibri"/>
          <w:bCs/>
          <w:i/>
          <w:sz w:val="22"/>
          <w:szCs w:val="48"/>
        </w:rPr>
      </w:pPr>
      <w:r>
        <w:br w:type="page"/>
      </w:r>
    </w:p>
    <w:p w:rsidR="009B333D" w:rsidRPr="009779F1" w:rsidRDefault="009B333D" w:rsidP="009B333D">
      <w:pPr>
        <w:pStyle w:val="C1"/>
      </w:pPr>
      <w:r>
        <w:lastRenderedPageBreak/>
        <w:t xml:space="preserve">Table S4. </w:t>
      </w:r>
      <w:proofErr w:type="gramStart"/>
      <w:r>
        <w:t xml:space="preserve">List of </w:t>
      </w:r>
      <w:proofErr w:type="spellStart"/>
      <w:r>
        <w:t>HostSeq</w:t>
      </w:r>
      <w:proofErr w:type="spellEnd"/>
      <w:r>
        <w:t xml:space="preserve"> participating studies as described in respective protocols.</w:t>
      </w:r>
      <w:proofErr w:type="gramEnd"/>
      <w:r>
        <w:t xml:space="preserve"> </w:t>
      </w:r>
    </w:p>
    <w:tbl>
      <w:tblPr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122"/>
        <w:gridCol w:w="4110"/>
        <w:gridCol w:w="3544"/>
      </w:tblGrid>
      <w:tr w:rsidR="009B333D" w:rsidRPr="009779F1" w:rsidTr="00836C2D">
        <w:trPr>
          <w:trHeight w:val="299"/>
        </w:trPr>
        <w:tc>
          <w:tcPr>
            <w:tcW w:w="2122" w:type="dxa"/>
            <w:shd w:val="clear" w:color="auto" w:fill="A5B592"/>
          </w:tcPr>
          <w:p w:rsidR="009B333D" w:rsidRPr="009779F1" w:rsidRDefault="009B333D" w:rsidP="00836C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  <w:r w:rsidRPr="009779F1">
              <w:rPr>
                <w:b/>
                <w:sz w:val="20"/>
                <w:szCs w:val="20"/>
              </w:rPr>
              <w:t>, PI</w:t>
            </w:r>
          </w:p>
        </w:tc>
        <w:tc>
          <w:tcPr>
            <w:tcW w:w="4110" w:type="dxa"/>
            <w:shd w:val="clear" w:color="auto" w:fill="A5B592"/>
          </w:tcPr>
          <w:p w:rsidR="009B333D" w:rsidRPr="009779F1" w:rsidRDefault="009B333D" w:rsidP="00836C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OBJECTIVES</w:t>
            </w:r>
          </w:p>
        </w:tc>
        <w:tc>
          <w:tcPr>
            <w:tcW w:w="3544" w:type="dxa"/>
            <w:shd w:val="clear" w:color="auto" w:fill="A5B592"/>
          </w:tcPr>
          <w:p w:rsidR="009B333D" w:rsidRPr="009779F1" w:rsidRDefault="009B333D" w:rsidP="00836C2D">
            <w:pPr>
              <w:spacing w:line="276" w:lineRule="auto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ELIGIBILITY</w:t>
            </w:r>
          </w:p>
        </w:tc>
      </w:tr>
      <w:tr w:rsidR="009B333D" w:rsidRPr="009779F1" w:rsidTr="00836C2D">
        <w:trPr>
          <w:trHeight w:val="2020"/>
        </w:trPr>
        <w:tc>
          <w:tcPr>
            <w:tcW w:w="2122" w:type="dxa"/>
            <w:shd w:val="clear" w:color="auto" w:fill="auto"/>
          </w:tcPr>
          <w:p w:rsidR="009B333D" w:rsidRPr="00374774" w:rsidRDefault="009B333D" w:rsidP="00836C2D">
            <w:pPr>
              <w:spacing w:line="276" w:lineRule="auto"/>
              <w:rPr>
                <w:sz w:val="20"/>
                <w:lang w:val="fr-CA"/>
              </w:rPr>
            </w:pPr>
            <w:r w:rsidRPr="00374774">
              <w:rPr>
                <w:sz w:val="20"/>
                <w:lang w:val="fr-CA"/>
              </w:rPr>
              <w:t>GENCOV</w:t>
            </w:r>
          </w:p>
          <w:p w:rsidR="009B333D" w:rsidRPr="00374774" w:rsidRDefault="009B333D" w:rsidP="00836C2D">
            <w:pPr>
              <w:spacing w:line="276" w:lineRule="auto"/>
              <w:rPr>
                <w:sz w:val="20"/>
                <w:lang w:val="fr-CA"/>
              </w:rPr>
            </w:pPr>
          </w:p>
          <w:p w:rsidR="009B333D" w:rsidRPr="00374774" w:rsidRDefault="009B333D" w:rsidP="00836C2D">
            <w:pPr>
              <w:spacing w:line="276" w:lineRule="auto"/>
              <w:rPr>
                <w:sz w:val="20"/>
                <w:lang w:val="fr-CA"/>
              </w:rPr>
            </w:pPr>
            <w:r w:rsidRPr="00374774">
              <w:rPr>
                <w:sz w:val="20"/>
                <w:lang w:val="fr-CA"/>
              </w:rPr>
              <w:t xml:space="preserve">Jordan </w:t>
            </w:r>
            <w:proofErr w:type="spellStart"/>
            <w:r w:rsidRPr="00374774">
              <w:rPr>
                <w:sz w:val="20"/>
                <w:lang w:val="fr-CA"/>
              </w:rPr>
              <w:t>Lerner</w:t>
            </w:r>
            <w:proofErr w:type="spellEnd"/>
            <w:r w:rsidRPr="00374774">
              <w:rPr>
                <w:sz w:val="20"/>
                <w:lang w:val="fr-CA"/>
              </w:rPr>
              <w:t xml:space="preserve">-Ellis Jennifer </w:t>
            </w:r>
            <w:proofErr w:type="spellStart"/>
            <w:r w:rsidRPr="00374774">
              <w:rPr>
                <w:sz w:val="20"/>
                <w:lang w:val="fr-CA"/>
              </w:rPr>
              <w:t>Taher</w:t>
            </w:r>
            <w:proofErr w:type="spellEnd"/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identify the characteristics of the antibody response that result in maintained immune response and better patient outcomes; to determine impact of genetic differences on COVID-19 infection severity and immune response; to determine impact of different viral strains on antibody response and patient outcomes.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All outpatients (seen in ER and assessment </w:t>
            </w:r>
            <w:proofErr w:type="spellStart"/>
            <w:r w:rsidRPr="009779F1">
              <w:rPr>
                <w:sz w:val="20"/>
                <w:szCs w:val="20"/>
              </w:rPr>
              <w:t>centres</w:t>
            </w:r>
            <w:proofErr w:type="spellEnd"/>
            <w:r w:rsidRPr="009779F1">
              <w:rPr>
                <w:sz w:val="20"/>
                <w:szCs w:val="20"/>
              </w:rPr>
              <w:t xml:space="preserve">) with mild symptoms as well as hospitalized patients with severe symptoms, recruited from six hospitals in Ontario. </w:t>
            </w:r>
          </w:p>
        </w:tc>
      </w:tr>
      <w:tr w:rsidR="009B333D" w:rsidRPr="009779F1" w:rsidTr="00836C2D"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779F1">
              <w:rPr>
                <w:sz w:val="20"/>
                <w:szCs w:val="20"/>
              </w:rPr>
              <w:t>GenOMICC</w:t>
            </w:r>
            <w:proofErr w:type="spellEnd"/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David </w:t>
            </w:r>
            <w:proofErr w:type="spellStart"/>
            <w:r w:rsidRPr="009779F1">
              <w:rPr>
                <w:sz w:val="20"/>
                <w:szCs w:val="20"/>
              </w:rPr>
              <w:t>Maslove</w:t>
            </w:r>
            <w:proofErr w:type="spellEnd"/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To identify genetic determinants of severe, life-threatening COVID-19 infections. 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All patients with confirmed COVID-19 admitted to ICU</w:t>
            </w:r>
          </w:p>
        </w:tc>
      </w:tr>
      <w:tr w:rsidR="009B333D" w:rsidRPr="009779F1" w:rsidTr="00836C2D">
        <w:trPr>
          <w:trHeight w:val="2236"/>
        </w:trPr>
        <w:tc>
          <w:tcPr>
            <w:tcW w:w="2122" w:type="dxa"/>
            <w:shd w:val="clear" w:color="auto" w:fill="auto"/>
          </w:tcPr>
          <w:p w:rsidR="009B333D" w:rsidRPr="00374774" w:rsidRDefault="009B333D" w:rsidP="00836C2D">
            <w:pPr>
              <w:spacing w:line="276" w:lineRule="auto"/>
              <w:rPr>
                <w:sz w:val="20"/>
              </w:rPr>
            </w:pPr>
            <w:r w:rsidRPr="00374774">
              <w:rPr>
                <w:sz w:val="20"/>
              </w:rPr>
              <w:t>CANCOV</w:t>
            </w:r>
          </w:p>
          <w:p w:rsidR="009B333D" w:rsidRPr="00374774" w:rsidRDefault="009B333D" w:rsidP="00836C2D">
            <w:pPr>
              <w:spacing w:line="276" w:lineRule="auto"/>
              <w:rPr>
                <w:sz w:val="20"/>
              </w:rPr>
            </w:pPr>
          </w:p>
          <w:p w:rsidR="009B333D" w:rsidRPr="00374774" w:rsidRDefault="009B333D" w:rsidP="00836C2D">
            <w:pPr>
              <w:spacing w:line="276" w:lineRule="auto"/>
              <w:rPr>
                <w:sz w:val="20"/>
              </w:rPr>
            </w:pPr>
            <w:r w:rsidRPr="00374774">
              <w:rPr>
                <w:sz w:val="20"/>
              </w:rPr>
              <w:t>Angela Cheung</w:t>
            </w:r>
          </w:p>
          <w:p w:rsidR="009B333D" w:rsidRPr="00374774" w:rsidRDefault="009B333D" w:rsidP="00836C2D">
            <w:pPr>
              <w:spacing w:line="276" w:lineRule="auto"/>
              <w:rPr>
                <w:sz w:val="20"/>
              </w:rPr>
            </w:pPr>
            <w:r w:rsidRPr="00374774">
              <w:rPr>
                <w:sz w:val="20"/>
              </w:rPr>
              <w:t xml:space="preserve">Margaret </w:t>
            </w:r>
            <w:proofErr w:type="spellStart"/>
            <w:r w:rsidRPr="00374774">
              <w:rPr>
                <w:sz w:val="20"/>
              </w:rPr>
              <w:t>Herridge</w:t>
            </w:r>
            <w:proofErr w:type="spellEnd"/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evaluate early to one-year outcomes in patients with COVID-19 and their family caregivers.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Hospitalized patients (&gt;16 years and positive COVID-19 test) and their caregivers.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Anticipated deaths or withdrawal of life-sustaining treatment within 48 hours, catastrophic neurological injury, patients unlikely to comply with follow-up are excluded.</w:t>
            </w:r>
          </w:p>
        </w:tc>
      </w:tr>
      <w:tr w:rsidR="009B333D" w:rsidRPr="009779F1" w:rsidTr="00836C2D">
        <w:trPr>
          <w:trHeight w:val="2454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779F1">
              <w:rPr>
                <w:sz w:val="20"/>
                <w:szCs w:val="20"/>
              </w:rPr>
              <w:t>genMARK</w:t>
            </w:r>
            <w:proofErr w:type="spellEnd"/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Upton Allen</w:t>
            </w:r>
          </w:p>
        </w:tc>
        <w:tc>
          <w:tcPr>
            <w:tcW w:w="4110" w:type="dxa"/>
          </w:tcPr>
          <w:p w:rsidR="009B333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AA1369">
              <w:rPr>
                <w:b/>
                <w:bCs/>
                <w:sz w:val="20"/>
                <w:szCs w:val="20"/>
              </w:rPr>
              <w:t>Primary</w:t>
            </w:r>
            <w:r>
              <w:rPr>
                <w:sz w:val="20"/>
                <w:szCs w:val="20"/>
              </w:rPr>
              <w:t xml:space="preserve">. </w:t>
            </w:r>
            <w:r w:rsidRPr="000A2FD8">
              <w:rPr>
                <w:sz w:val="20"/>
                <w:szCs w:val="20"/>
              </w:rPr>
              <w:t>To identify genetic variation</w:t>
            </w:r>
            <w:r>
              <w:rPr>
                <w:sz w:val="20"/>
                <w:szCs w:val="20"/>
              </w:rPr>
              <w:t xml:space="preserve"> </w:t>
            </w:r>
            <w:r w:rsidRPr="000A2FD8">
              <w:rPr>
                <w:sz w:val="20"/>
                <w:szCs w:val="20"/>
              </w:rPr>
              <w:t xml:space="preserve">associated with: </w:t>
            </w:r>
          </w:p>
          <w:p w:rsidR="009B333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0A2FD8">
              <w:rPr>
                <w:sz w:val="20"/>
                <w:szCs w:val="20"/>
              </w:rPr>
              <w:t>i</w:t>
            </w:r>
            <w:proofErr w:type="spellEnd"/>
            <w:r w:rsidRPr="000A2FD8">
              <w:rPr>
                <w:sz w:val="20"/>
                <w:szCs w:val="20"/>
              </w:rPr>
              <w:t>). Susceptibility to COVID-19 and SARS-</w:t>
            </w:r>
            <w:proofErr w:type="spellStart"/>
            <w:r w:rsidRPr="000A2FD8">
              <w:rPr>
                <w:sz w:val="20"/>
                <w:szCs w:val="20"/>
              </w:rPr>
              <w:t>CoV</w:t>
            </w:r>
            <w:proofErr w:type="spellEnd"/>
            <w:r w:rsidRPr="000A2FD8">
              <w:rPr>
                <w:sz w:val="20"/>
                <w:szCs w:val="20"/>
              </w:rPr>
              <w:t xml:space="preserve"> infection among study subjects</w:t>
            </w:r>
            <w:r>
              <w:rPr>
                <w:sz w:val="20"/>
                <w:szCs w:val="20"/>
              </w:rPr>
              <w:t xml:space="preserve"> vs</w:t>
            </w:r>
            <w:r w:rsidRPr="000A2FD8">
              <w:rPr>
                <w:sz w:val="20"/>
                <w:szCs w:val="20"/>
              </w:rPr>
              <w:t xml:space="preserve"> controls </w:t>
            </w:r>
          </w:p>
          <w:p w:rsidR="009B333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0A2FD8">
              <w:rPr>
                <w:sz w:val="20"/>
                <w:szCs w:val="20"/>
              </w:rPr>
              <w:t xml:space="preserve">ii). Likelihood of severe disease among study subjects. </w:t>
            </w:r>
          </w:p>
          <w:p w:rsidR="009B333D" w:rsidRPr="000A2FD8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AA1369">
              <w:rPr>
                <w:b/>
                <w:bCs/>
                <w:sz w:val="20"/>
                <w:szCs w:val="20"/>
              </w:rPr>
              <w:t>Secondary.</w:t>
            </w:r>
            <w:r w:rsidRPr="000A2FD8">
              <w:rPr>
                <w:sz w:val="20"/>
                <w:szCs w:val="20"/>
              </w:rPr>
              <w:t xml:space="preserve"> To assess immune</w:t>
            </w:r>
            <w:r>
              <w:rPr>
                <w:sz w:val="20"/>
                <w:szCs w:val="20"/>
              </w:rPr>
              <w:t xml:space="preserve"> </w:t>
            </w:r>
            <w:r w:rsidRPr="000A2FD8">
              <w:rPr>
                <w:sz w:val="20"/>
                <w:szCs w:val="20"/>
              </w:rPr>
              <w:t>responses,</w:t>
            </w:r>
          </w:p>
          <w:p w:rsidR="009B333D" w:rsidRPr="00AA1369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gramStart"/>
            <w:r w:rsidRPr="000A2FD8">
              <w:rPr>
                <w:sz w:val="20"/>
                <w:szCs w:val="20"/>
              </w:rPr>
              <w:t>including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0A2FD8">
              <w:rPr>
                <w:sz w:val="20"/>
                <w:szCs w:val="20"/>
              </w:rPr>
              <w:t>T cell function and</w:t>
            </w:r>
            <w:r>
              <w:rPr>
                <w:sz w:val="20"/>
                <w:szCs w:val="20"/>
              </w:rPr>
              <w:t xml:space="preserve"> </w:t>
            </w:r>
            <w:r w:rsidRPr="000A2FD8">
              <w:rPr>
                <w:sz w:val="20"/>
                <w:szCs w:val="20"/>
              </w:rPr>
              <w:t>cytokine/chemokine</w:t>
            </w:r>
            <w:r>
              <w:rPr>
                <w:sz w:val="20"/>
                <w:szCs w:val="20"/>
              </w:rPr>
              <w:t xml:space="preserve"> </w:t>
            </w:r>
            <w:r w:rsidRPr="000A2FD8">
              <w:rPr>
                <w:sz w:val="20"/>
                <w:szCs w:val="20"/>
              </w:rPr>
              <w:t>profiles among subjects with different severity of COVID-19.</w:t>
            </w:r>
          </w:p>
        </w:tc>
        <w:tc>
          <w:tcPr>
            <w:tcW w:w="3544" w:type="dxa"/>
          </w:tcPr>
          <w:p w:rsidR="009B333D" w:rsidRPr="00D0110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D01101">
              <w:rPr>
                <w:sz w:val="20"/>
                <w:szCs w:val="20"/>
              </w:rPr>
              <w:t xml:space="preserve">Individuals without a known immunodeficiency who experienced illness due to confirmed COVID-19 infection. 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Controls: individuals exposed to COVID-19 but are symptom-free as far as COVID-19 is concerned. Controls are tested for subclinical infection. Controls are 1:1 matched by age groups from within the same home, using the most distantly related household member.</w:t>
            </w:r>
          </w:p>
        </w:tc>
      </w:tr>
      <w:tr w:rsidR="009B333D" w:rsidRPr="009779F1" w:rsidTr="00836C2D">
        <w:trPr>
          <w:trHeight w:val="837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LEFT-GEN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779F1">
              <w:rPr>
                <w:sz w:val="20"/>
                <w:szCs w:val="20"/>
              </w:rPr>
              <w:t>Juthaporn</w:t>
            </w:r>
            <w:proofErr w:type="spellEnd"/>
            <w:r w:rsidRPr="009779F1">
              <w:rPr>
                <w:sz w:val="20"/>
                <w:szCs w:val="20"/>
              </w:rPr>
              <w:t xml:space="preserve"> Cowan</w:t>
            </w:r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To understand </w:t>
            </w:r>
            <w:proofErr w:type="spellStart"/>
            <w:r w:rsidRPr="009779F1">
              <w:rPr>
                <w:sz w:val="20"/>
                <w:szCs w:val="20"/>
              </w:rPr>
              <w:t>immunopathogenesis</w:t>
            </w:r>
            <w:proofErr w:type="spellEnd"/>
            <w:r w:rsidRPr="009779F1">
              <w:rPr>
                <w:sz w:val="20"/>
                <w:szCs w:val="20"/>
              </w:rPr>
              <w:t xml:space="preserve"> of persistent symptoms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All patients with confirmed COVID-19.</w:t>
            </w:r>
          </w:p>
        </w:tc>
      </w:tr>
      <w:tr w:rsidR="009B333D" w:rsidRPr="009779F1" w:rsidTr="00836C2D"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BQC19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Vincent Mooser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support the institutions of the health and social services network (HSSN) by making the unique biological material and data accessible for research on COVID-19 and related diseases.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All patients who tested for COVID-19 at participating institutions</w:t>
            </w:r>
          </w:p>
        </w:tc>
      </w:tr>
      <w:tr w:rsidR="009B333D" w:rsidRPr="009779F1" w:rsidTr="00836C2D">
        <w:trPr>
          <w:trHeight w:val="2580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lastRenderedPageBreak/>
              <w:t>CONCOR-Donor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779F1">
              <w:rPr>
                <w:sz w:val="20"/>
                <w:szCs w:val="20"/>
              </w:rPr>
              <w:t>Rulan</w:t>
            </w:r>
            <w:proofErr w:type="spellEnd"/>
            <w:r w:rsidRPr="009779F1">
              <w:rPr>
                <w:sz w:val="20"/>
                <w:szCs w:val="20"/>
              </w:rPr>
              <w:t xml:space="preserve"> Parekh</w:t>
            </w:r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determine if the titers of SARS-CoV-2 specific neutralizing antibody and serum ELISA antibodies are correlated with clinical and demographic factors; to characterize duration of immunity over 1 year and determine if the titers are modified by clinical and demographic factors; to identify genetic predictors of SARS-CoV-2-specific neutralizing antibody and serum ELISA antibody titers at baseline and over time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rFonts w:eastAsia="Gungsuh"/>
                <w:sz w:val="20"/>
                <w:szCs w:val="20"/>
              </w:rPr>
              <w:t>Individuals ≥17 years, who recovered from COVID-19 infection and volunteer to donate convalescent plasma</w:t>
            </w:r>
          </w:p>
        </w:tc>
      </w:tr>
      <w:tr w:rsidR="009B333D" w:rsidRPr="009779F1" w:rsidTr="00836C2D">
        <w:trPr>
          <w:trHeight w:val="3780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AB3C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Francois Bernier</w:t>
            </w:r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To establish prospective cohort study of all children in Alberta tested for or diagnosed with confirmed or probable COVID-19 infection; to conduct a detailed </w:t>
            </w:r>
            <w:proofErr w:type="spellStart"/>
            <w:r w:rsidRPr="009779F1">
              <w:rPr>
                <w:sz w:val="20"/>
                <w:szCs w:val="20"/>
              </w:rPr>
              <w:t>multiomic</w:t>
            </w:r>
            <w:proofErr w:type="spellEnd"/>
            <w:r w:rsidRPr="009779F1">
              <w:rPr>
                <w:sz w:val="20"/>
                <w:szCs w:val="20"/>
              </w:rPr>
              <w:t xml:space="preserve"> precision-medicine evaluation of some children in Alberta with confirmed or probable COVID-19 infection and some healthy controls; to evaluate adaptive immune response to SARS-CoV-2 virus in children measuring the development of immunity against COVID-19 in children with and without clinically apparent confirmed or probable COVID-19 infection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All children in Alberta, aged 0-17 years, who have a respiratory sample tested for COVID-19 in 2020; diagnosed with probable COVID-19 (as defined by Alberta Health), but not tested. 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Controls: 25 healthy children in Calgary who are matched on age and gender. The controls will be identified from previous research conducted by the ACH Infectious Diseases Epidemiology &amp; Vaccine Evaluation or enrolled in All Our Families cohort or in the Healthy Infants and Children Clinical Research Program.</w:t>
            </w:r>
          </w:p>
        </w:tc>
      </w:tr>
      <w:tr w:rsidR="009B333D" w:rsidRPr="009779F1" w:rsidTr="00836C2D">
        <w:trPr>
          <w:trHeight w:val="3195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Host Genetic Factors Underlying Severe COVID-19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Catherine Biggs</w:t>
            </w:r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To determine what proportion of patients with severe COVID-19 have an underlying IEI and characterize the role of genetic factors in COVID-19 disease; to explore molecularly-targeted treatments e.g., if patients with </w:t>
            </w:r>
            <w:proofErr w:type="spellStart"/>
            <w:r w:rsidRPr="009779F1">
              <w:rPr>
                <w:sz w:val="20"/>
                <w:szCs w:val="20"/>
              </w:rPr>
              <w:t>hyperinflammation</w:t>
            </w:r>
            <w:proofErr w:type="spellEnd"/>
            <w:r w:rsidRPr="009779F1">
              <w:rPr>
                <w:sz w:val="20"/>
                <w:szCs w:val="20"/>
              </w:rPr>
              <w:t xml:space="preserve"> have variants dysregulating JAK-STAT signaling, JAK inhibitors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Individuals aged &lt;70 years with documented COVID-19 infection, who are previously healthy with severe COVID-19. (Severe disease is defined as any of the following: requiring ICU admission, cardiorespiratory support such as non-invasive or mechanical ventilation, extracorporeal membrane oxygenation, or unusual complications such as multisystem inflammatory syndrome in children (MIS-C) associated with COVID-19, encephalitis, other inflammatory).</w:t>
            </w:r>
          </w:p>
        </w:tc>
      </w:tr>
      <w:tr w:rsidR="009B333D" w:rsidRPr="009779F1" w:rsidTr="00836C2D">
        <w:trPr>
          <w:trHeight w:val="1815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GD-COVID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Stuart </w:t>
            </w:r>
            <w:proofErr w:type="spellStart"/>
            <w:r w:rsidRPr="009779F1">
              <w:rPr>
                <w:sz w:val="20"/>
                <w:szCs w:val="20"/>
              </w:rPr>
              <w:t>Turvey</w:t>
            </w:r>
            <w:proofErr w:type="spellEnd"/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identify host and viral genomic factors associated with COVID-19 disease susceptibility and health outcomes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Individuals of any age with documented SARS-CoV-2 infection, who are a resident of BC; have viral genome sequencing data available through </w:t>
            </w:r>
            <w:proofErr w:type="spellStart"/>
            <w:r w:rsidRPr="009779F1">
              <w:rPr>
                <w:sz w:val="20"/>
                <w:szCs w:val="20"/>
              </w:rPr>
              <w:t>VirusSeq</w:t>
            </w:r>
            <w:proofErr w:type="spellEnd"/>
            <w:r w:rsidRPr="009779F1">
              <w:rPr>
                <w:sz w:val="20"/>
                <w:szCs w:val="20"/>
              </w:rPr>
              <w:t xml:space="preserve">; provide permission to contact Health Authority, CTCR or BCCDC COVID-19 survey </w:t>
            </w:r>
          </w:p>
        </w:tc>
      </w:tr>
      <w:tr w:rsidR="009B333D" w:rsidRPr="009779F1" w:rsidTr="00836C2D">
        <w:trPr>
          <w:trHeight w:val="2070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lastRenderedPageBreak/>
              <w:t>Understanding Immunity to Coronaviruses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Mario </w:t>
            </w:r>
            <w:proofErr w:type="spellStart"/>
            <w:r w:rsidRPr="009779F1">
              <w:rPr>
                <w:sz w:val="20"/>
                <w:szCs w:val="20"/>
              </w:rPr>
              <w:t>Ostrowski</w:t>
            </w:r>
            <w:proofErr w:type="spellEnd"/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determine B cell and antibody immunity to coronaviruses; to identify candidate targets of the virus for vaccine development; to identify novel neutralizing antibodies to 2019-nCoV that can be used in therapeutics; to understand the innate immune response against 2019-nCoV; to identify host factors that play critical roles in developing strong immunity to coronaviruses.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Individuals 18 years old or older. Those with blood samples hemoglobin &lt; 100 g/L or pregnant or with hemophilia or platelet count &lt; 50,000 / </w:t>
            </w:r>
            <w:proofErr w:type="spellStart"/>
            <w:r w:rsidRPr="009779F1">
              <w:rPr>
                <w:sz w:val="20"/>
                <w:szCs w:val="20"/>
              </w:rPr>
              <w:t>ul</w:t>
            </w:r>
            <w:proofErr w:type="spellEnd"/>
            <w:r w:rsidRPr="009779F1">
              <w:rPr>
                <w:sz w:val="20"/>
                <w:szCs w:val="20"/>
              </w:rPr>
              <w:t xml:space="preserve"> are excluded.</w:t>
            </w:r>
          </w:p>
        </w:tc>
      </w:tr>
      <w:tr w:rsidR="009B333D" w:rsidRPr="009779F1" w:rsidTr="00836C2D">
        <w:trPr>
          <w:trHeight w:val="1665"/>
        </w:trPr>
        <w:tc>
          <w:tcPr>
            <w:tcW w:w="2122" w:type="dxa"/>
            <w:shd w:val="clear" w:color="auto" w:fill="auto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SickKids COVID-19 Biobank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Rae Yeung</w:t>
            </w:r>
          </w:p>
        </w:tc>
        <w:tc>
          <w:tcPr>
            <w:tcW w:w="4110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To establish a central biobank of biological samples and related core patient level data that will serve as a single point of access that supports a unified and collaborative approach to clinical and translational research related to the current COVID-19 pandemic and future works.</w:t>
            </w:r>
          </w:p>
        </w:tc>
        <w:tc>
          <w:tcPr>
            <w:tcW w:w="3544" w:type="dxa"/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 xml:space="preserve">All patients presenting to the Hospital for Sick Children with a suspected or confirmed diagnosis of COVID-19, and family members of participants as applicable. </w:t>
            </w:r>
          </w:p>
        </w:tc>
      </w:tr>
      <w:tr w:rsidR="009B333D" w:rsidRPr="009779F1" w:rsidTr="00836C2D">
        <w:trPr>
          <w:trHeight w:val="1665"/>
        </w:trPr>
        <w:tc>
          <w:tcPr>
            <w:tcW w:w="2122" w:type="dxa"/>
            <w:shd w:val="clear" w:color="auto" w:fill="auto"/>
          </w:tcPr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AB-HGS </w:t>
            </w:r>
          </w:p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 </w:t>
            </w:r>
          </w:p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 xml:space="preserve">Gerald </w:t>
            </w:r>
            <w:proofErr w:type="spellStart"/>
            <w:r w:rsidRPr="00880E0D">
              <w:rPr>
                <w:bCs/>
                <w:sz w:val="20"/>
                <w:szCs w:val="20"/>
              </w:rPr>
              <w:t>Pfeffer</w:t>
            </w:r>
            <w:proofErr w:type="spellEnd"/>
            <w:r w:rsidRPr="00880E0D">
              <w:rPr>
                <w:bCs/>
                <w:sz w:val="20"/>
                <w:szCs w:val="20"/>
              </w:rPr>
              <w:t> 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4110" w:type="dxa"/>
          </w:tcPr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 xml:space="preserve">Identify host genetic susceptibility factors associated with requirement for </w:t>
            </w:r>
            <w:proofErr w:type="spellStart"/>
            <w:r w:rsidRPr="00880E0D">
              <w:rPr>
                <w:bCs/>
                <w:sz w:val="20"/>
                <w:szCs w:val="20"/>
              </w:rPr>
              <w:t>hospitalisation</w:t>
            </w:r>
            <w:proofErr w:type="spellEnd"/>
            <w:r w:rsidRPr="00880E0D">
              <w:rPr>
                <w:bCs/>
                <w:sz w:val="20"/>
                <w:szCs w:val="20"/>
              </w:rPr>
              <w:t xml:space="preserve"> due to COVID-19. 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 xml:space="preserve">Family members who did not require </w:t>
            </w:r>
            <w:proofErr w:type="spellStart"/>
            <w:r w:rsidRPr="00880E0D">
              <w:rPr>
                <w:bCs/>
                <w:sz w:val="20"/>
                <w:szCs w:val="20"/>
              </w:rPr>
              <w:t>hospitalisation</w:t>
            </w:r>
            <w:proofErr w:type="spellEnd"/>
            <w:r w:rsidRPr="00880E0D">
              <w:rPr>
                <w:bCs/>
                <w:sz w:val="20"/>
                <w:szCs w:val="20"/>
              </w:rPr>
              <w:t xml:space="preserve"> were recruited as controls. </w:t>
            </w:r>
          </w:p>
        </w:tc>
        <w:tc>
          <w:tcPr>
            <w:tcW w:w="3544" w:type="dxa"/>
          </w:tcPr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Confirmed SARS-CoV-2 infection (by provincial nucleic acid test) </w:t>
            </w:r>
          </w:p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Required admission to hospital (either medical units or critical care) </w:t>
            </w:r>
          </w:p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Age &lt;60 years </w:t>
            </w:r>
          </w:p>
          <w:p w:rsidR="009B333D" w:rsidRPr="00880E0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Unvaccinated participants only</w:t>
            </w:r>
          </w:p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880E0D">
              <w:rPr>
                <w:bCs/>
                <w:sz w:val="20"/>
                <w:szCs w:val="20"/>
              </w:rPr>
              <w:t>Omicron variant cases were excluded</w:t>
            </w:r>
          </w:p>
        </w:tc>
      </w:tr>
    </w:tbl>
    <w:p w:rsidR="009B333D" w:rsidRDefault="009B333D" w:rsidP="009B333D">
      <w:pPr>
        <w:spacing w:line="276" w:lineRule="auto"/>
        <w:rPr>
          <w:u w:val="single"/>
        </w:rPr>
      </w:pPr>
      <w:bookmarkStart w:id="0" w:name="_gjdgxs"/>
      <w:bookmarkEnd w:id="0"/>
    </w:p>
    <w:p w:rsidR="009B333D" w:rsidRDefault="009B333D" w:rsidP="009B333D">
      <w:pPr>
        <w:spacing w:after="160" w:line="259" w:lineRule="auto"/>
        <w:rPr>
          <w:rFonts w:eastAsia="Calibri" w:cs="Calibri"/>
          <w:bCs/>
          <w:i/>
          <w:sz w:val="22"/>
          <w:szCs w:val="48"/>
        </w:rPr>
      </w:pPr>
      <w:r>
        <w:br w:type="page"/>
      </w:r>
    </w:p>
    <w:p w:rsidR="009B333D" w:rsidRPr="009779F1" w:rsidRDefault="009B333D" w:rsidP="009B333D">
      <w:pPr>
        <w:pStyle w:val="C1"/>
      </w:pPr>
      <w:r>
        <w:lastRenderedPageBreak/>
        <w:t xml:space="preserve">Table S5. Distribution of sex and age across </w:t>
      </w:r>
      <w:proofErr w:type="spellStart"/>
      <w:r>
        <w:t>HostSeq</w:t>
      </w:r>
      <w:proofErr w:type="spellEnd"/>
      <w:r>
        <w:t xml:space="preserve"> studies (n=9,427). SD: Standard deviation; IQR: interquartile range.</w:t>
      </w:r>
    </w:p>
    <w:tbl>
      <w:tblPr>
        <w:tblW w:w="8745" w:type="dxa"/>
        <w:tblLayout w:type="fixed"/>
        <w:tblCellMar>
          <w:left w:w="0" w:type="dxa"/>
          <w:right w:w="0" w:type="dxa"/>
        </w:tblCellMar>
        <w:tblLook w:val="0400" w:firstRow="0" w:lastRow="0" w:firstColumn="0" w:lastColumn="0" w:noHBand="0" w:noVBand="1"/>
      </w:tblPr>
      <w:tblGrid>
        <w:gridCol w:w="1785"/>
        <w:gridCol w:w="1845"/>
        <w:gridCol w:w="1605"/>
        <w:gridCol w:w="1680"/>
        <w:gridCol w:w="1830"/>
      </w:tblGrid>
      <w:tr w:rsidR="009B333D" w:rsidRPr="009779F1" w:rsidTr="00836C2D">
        <w:trPr>
          <w:trHeight w:val="390"/>
        </w:trPr>
        <w:tc>
          <w:tcPr>
            <w:tcW w:w="1785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5B59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STUDY</w:t>
            </w:r>
          </w:p>
        </w:tc>
        <w:tc>
          <w:tcPr>
            <w:tcW w:w="345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5B59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SEX</w:t>
            </w:r>
          </w:p>
        </w:tc>
        <w:tc>
          <w:tcPr>
            <w:tcW w:w="3510" w:type="dxa"/>
            <w:gridSpan w:val="2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nil"/>
            </w:tcBorders>
            <w:shd w:val="clear" w:color="auto" w:fill="A5B592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AGE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Male</w:t>
            </w:r>
          </w:p>
        </w:tc>
        <w:tc>
          <w:tcPr>
            <w:tcW w:w="1605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Female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Mean (SD)</w:t>
            </w:r>
          </w:p>
        </w:tc>
        <w:tc>
          <w:tcPr>
            <w:tcW w:w="183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Median (IQR)</w:t>
            </w:r>
          </w:p>
        </w:tc>
      </w:tr>
      <w:tr w:rsidR="009B333D" w:rsidRPr="009779F1" w:rsidTr="00836C2D">
        <w:trPr>
          <w:trHeight w:val="231"/>
        </w:trPr>
        <w:tc>
          <w:tcPr>
            <w:tcW w:w="1785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GENCOV</w:t>
            </w:r>
          </w:p>
        </w:tc>
        <w:tc>
          <w:tcPr>
            <w:tcW w:w="1845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515 (46.4%)</w:t>
            </w:r>
          </w:p>
        </w:tc>
        <w:tc>
          <w:tcPr>
            <w:tcW w:w="1605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596 (53.6%)</w:t>
            </w:r>
          </w:p>
        </w:tc>
        <w:tc>
          <w:tcPr>
            <w:tcW w:w="1680" w:type="dxa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45.3 (14.6)</w:t>
            </w:r>
          </w:p>
        </w:tc>
        <w:tc>
          <w:tcPr>
            <w:tcW w:w="1830" w:type="dxa"/>
            <w:tcBorders>
              <w:top w:val="single" w:sz="8" w:space="0" w:color="000000" w:themeColor="text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44.0 (23.0)</w:t>
            </w:r>
          </w:p>
        </w:tc>
      </w:tr>
      <w:tr w:rsidR="009B333D" w:rsidRPr="009779F1" w:rsidTr="00836C2D">
        <w:trPr>
          <w:trHeight w:val="240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779F1">
              <w:rPr>
                <w:sz w:val="20"/>
                <w:szCs w:val="20"/>
              </w:rPr>
              <w:t>GenOMICC</w:t>
            </w:r>
            <w:proofErr w:type="spellEnd"/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179 (54.1%)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152 (45.9%)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63.5 (14.4)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66.0 (18.5)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CANCOV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558 (42.8%)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746 (57.2%)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51.8 (16.1)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51.0 (24.0)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CONCOR-Donor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241 (30.2%)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557 (69.8%)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44.5 (13.5)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44.0 (22.0)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BQC19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1,744 (46.4%)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2,011 (53.6%)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52.5 (20.6)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52.5 (29.5)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proofErr w:type="spellStart"/>
            <w:r w:rsidRPr="009779F1">
              <w:rPr>
                <w:sz w:val="20"/>
                <w:szCs w:val="20"/>
              </w:rPr>
              <w:t>genMARK</w:t>
            </w:r>
            <w:proofErr w:type="spellEnd"/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170 (28.5%)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426 (71.5%)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36.9 (15.8)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38.0 (21.0)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LEFT-GEN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23 (52.3%)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21 (47.7%)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50.9 (15.5)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50.0 (24.3)</w:t>
            </w:r>
          </w:p>
        </w:tc>
      </w:tr>
      <w:tr w:rsidR="009B333D" w:rsidRPr="009779F1" w:rsidTr="00836C2D">
        <w:trPr>
          <w:trHeight w:val="102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GD-COVID-19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308 (38.8%)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485 (61.2%)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46.3 (18.9)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6</w:t>
            </w:r>
            <w:r w:rsidRPr="009779F1">
              <w:rPr>
                <w:sz w:val="20"/>
                <w:szCs w:val="20"/>
              </w:rPr>
              <w:t>.0 (2</w:t>
            </w:r>
            <w:r>
              <w:rPr>
                <w:sz w:val="20"/>
                <w:szCs w:val="20"/>
              </w:rPr>
              <w:t>8</w:t>
            </w:r>
            <w:r w:rsidRPr="009779F1">
              <w:rPr>
                <w:sz w:val="20"/>
                <w:szCs w:val="20"/>
              </w:rPr>
              <w:t>.0)</w:t>
            </w:r>
          </w:p>
        </w:tc>
      </w:tr>
      <w:tr w:rsidR="009B333D" w:rsidTr="00836C2D">
        <w:trPr>
          <w:trHeight w:val="102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Host Genetic Susceptibility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36 (50.7%)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35 (49.3%)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49.5 (11.4)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52.0 (16.0)</w:t>
            </w:r>
          </w:p>
        </w:tc>
      </w:tr>
      <w:tr w:rsidR="009B333D" w:rsidTr="00836C2D">
        <w:trPr>
          <w:trHeight w:val="102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Understanding immunity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 (50.0%)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5 (50.0%)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43.6 (13.9)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42.5 (21.0)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AB3C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95 (50.5%)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93 (49.5%)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1.5</w:t>
            </w:r>
            <w:r w:rsidRPr="009779F1">
              <w:rPr>
                <w:sz w:val="20"/>
                <w:szCs w:val="20"/>
              </w:rPr>
              <w:t xml:space="preserve"> (4.</w:t>
            </w:r>
            <w:r>
              <w:rPr>
                <w:sz w:val="20"/>
                <w:szCs w:val="20"/>
              </w:rPr>
              <w:t>5</w:t>
            </w:r>
            <w:r w:rsidRPr="009779F1">
              <w:rPr>
                <w:sz w:val="20"/>
                <w:szCs w:val="20"/>
              </w:rPr>
              <w:t>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  <w:r w:rsidRPr="009779F1">
              <w:rPr>
                <w:sz w:val="20"/>
                <w:szCs w:val="20"/>
              </w:rPr>
              <w:t>.0 (7.0)</w:t>
            </w:r>
          </w:p>
        </w:tc>
      </w:tr>
      <w:tr w:rsidR="009B333D" w:rsidRPr="009779F1" w:rsidTr="00836C2D">
        <w:trPr>
          <w:trHeight w:val="77"/>
        </w:trPr>
        <w:tc>
          <w:tcPr>
            <w:tcW w:w="178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rPr>
                <w:sz w:val="20"/>
                <w:szCs w:val="20"/>
              </w:rPr>
            </w:pPr>
            <w:r w:rsidRPr="009779F1">
              <w:rPr>
                <w:sz w:val="20"/>
                <w:szCs w:val="20"/>
              </w:rPr>
              <w:t>SCB</w:t>
            </w:r>
          </w:p>
        </w:tc>
        <w:tc>
          <w:tcPr>
            <w:tcW w:w="1845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144 (64.6%)</w:t>
            </w:r>
          </w:p>
        </w:tc>
        <w:tc>
          <w:tcPr>
            <w:tcW w:w="1605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79 (35.4%)</w:t>
            </w:r>
          </w:p>
        </w:tc>
        <w:tc>
          <w:tcPr>
            <w:tcW w:w="1680" w:type="dxa"/>
            <w:tcBorders>
              <w:top w:val="single" w:sz="8" w:space="0" w:color="FFFFFF" w:themeColor="background1"/>
              <w:left w:val="single" w:sz="8" w:space="0" w:color="000000" w:themeColor="text1"/>
              <w:bottom w:val="single" w:sz="8" w:space="0" w:color="000000" w:themeColor="text1"/>
              <w:right w:val="single" w:sz="8" w:space="0" w:color="FFFFFF" w:themeColor="background1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9.6 (7.0)</w:t>
            </w:r>
          </w:p>
        </w:tc>
        <w:tc>
          <w:tcPr>
            <w:tcW w:w="1830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000000" w:themeColor="text1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9B333D" w:rsidRPr="009779F1" w:rsidRDefault="009B333D" w:rsidP="00836C2D">
            <w:pPr>
              <w:spacing w:line="276" w:lineRule="auto"/>
              <w:jc w:val="center"/>
              <w:rPr>
                <w:sz w:val="20"/>
                <w:szCs w:val="20"/>
              </w:rPr>
            </w:pPr>
            <w:r w:rsidRPr="3C6DED8B">
              <w:rPr>
                <w:sz w:val="20"/>
                <w:szCs w:val="20"/>
              </w:rPr>
              <w:t>8.0 (13.0)</w:t>
            </w:r>
          </w:p>
        </w:tc>
      </w:tr>
    </w:tbl>
    <w:p w:rsidR="009B333D" w:rsidRPr="009779F1" w:rsidRDefault="009B333D" w:rsidP="009B333D">
      <w:pPr>
        <w:spacing w:line="276" w:lineRule="auto"/>
      </w:pPr>
      <w:r w:rsidRPr="009779F1">
        <w:br w:type="page"/>
      </w:r>
    </w:p>
    <w:p w:rsidR="009B333D" w:rsidRPr="009779F1" w:rsidRDefault="009B333D" w:rsidP="009B333D">
      <w:pPr>
        <w:spacing w:after="240" w:line="276" w:lineRule="auto"/>
      </w:pPr>
    </w:p>
    <w:p w:rsidR="009B333D" w:rsidRPr="007D1C0F" w:rsidRDefault="009B333D" w:rsidP="009B333D">
      <w:pPr>
        <w:spacing w:after="240" w:line="276" w:lineRule="auto"/>
        <w:rPr>
          <w:b/>
          <w:shd w:val="clear" w:color="auto" w:fill="FFFFF8"/>
        </w:rPr>
      </w:pPr>
    </w:p>
    <w:p w:rsidR="009B333D" w:rsidRPr="007D1C0F" w:rsidRDefault="009B333D" w:rsidP="009B333D">
      <w:pPr>
        <w:spacing w:after="240" w:line="276" w:lineRule="auto"/>
      </w:pPr>
      <w:r>
        <w:rPr>
          <w:noProof/>
        </w:rPr>
        <w:drawing>
          <wp:inline distT="0" distB="0" distL="0" distR="0" wp14:anchorId="072FC612" wp14:editId="4ECE4B19">
            <wp:extent cx="5994400" cy="2247900"/>
            <wp:effectExtent l="0" t="0" r="0" b="0"/>
            <wp:docPr id="115923579" name="Picture 1159235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5923579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224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3D" w:rsidRPr="00357F3B" w:rsidRDefault="009B333D" w:rsidP="009B333D">
      <w:pPr>
        <w:pStyle w:val="C1"/>
      </w:pPr>
      <w:r w:rsidRPr="009779F1">
        <w:rPr>
          <w:shd w:val="clear" w:color="auto" w:fill="FFFFF8"/>
        </w:rPr>
        <w:t>Fig</w:t>
      </w:r>
      <w:r>
        <w:rPr>
          <w:shd w:val="clear" w:color="auto" w:fill="FFFFF8"/>
        </w:rPr>
        <w:t>ure</w:t>
      </w:r>
      <w:r w:rsidRPr="009779F1">
        <w:rPr>
          <w:shd w:val="clear" w:color="auto" w:fill="FFFFF8"/>
        </w:rPr>
        <w:t xml:space="preserve"> S1. </w:t>
      </w:r>
      <w:proofErr w:type="gramStart"/>
      <w:r w:rsidRPr="00357F3B">
        <w:rPr>
          <w:shd w:val="clear" w:color="auto" w:fill="FFFFF8"/>
        </w:rPr>
        <w:t xml:space="preserve">Quality of </w:t>
      </w:r>
      <w:proofErr w:type="spellStart"/>
      <w:r w:rsidRPr="00357F3B">
        <w:rPr>
          <w:shd w:val="clear" w:color="auto" w:fill="FFFFF8"/>
        </w:rPr>
        <w:t>HostSeq</w:t>
      </w:r>
      <w:proofErr w:type="spellEnd"/>
      <w:r w:rsidRPr="00357F3B">
        <w:rPr>
          <w:shd w:val="clear" w:color="auto" w:fill="FFFFF8"/>
        </w:rPr>
        <w:t xml:space="preserve"> genomes.</w:t>
      </w:r>
      <w:proofErr w:type="gramEnd"/>
      <w:r w:rsidRPr="00357F3B">
        <w:rPr>
          <w:shd w:val="clear" w:color="auto" w:fill="FFFFF8"/>
        </w:rPr>
        <w:t xml:space="preserve"> </w:t>
      </w:r>
      <w:proofErr w:type="gramStart"/>
      <w:r w:rsidRPr="00357F3B">
        <w:t>(A) Missing rate &lt; 5% (B) Contamination rate &lt; 3% (C) Mean coverage &gt;10.</w:t>
      </w:r>
      <w:proofErr w:type="gramEnd"/>
    </w:p>
    <w:p w:rsidR="009B333D" w:rsidRPr="007D1C0F" w:rsidRDefault="009B333D" w:rsidP="009B333D">
      <w:pPr>
        <w:spacing w:after="240" w:line="276" w:lineRule="auto"/>
      </w:pPr>
    </w:p>
    <w:p w:rsidR="009B333D" w:rsidRPr="007D1C0F" w:rsidRDefault="009B333D" w:rsidP="009B333D">
      <w:pPr>
        <w:spacing w:after="240" w:line="276" w:lineRule="auto"/>
      </w:pPr>
      <w:r>
        <w:rPr>
          <w:noProof/>
        </w:rPr>
        <w:lastRenderedPageBreak/>
        <w:drawing>
          <wp:inline distT="0" distB="0" distL="0" distR="0" wp14:anchorId="5B23DE83" wp14:editId="0A1C3F07">
            <wp:extent cx="5968092" cy="5222079"/>
            <wp:effectExtent l="0" t="0" r="0" b="0"/>
            <wp:docPr id="634021795" name="Picture 6340217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34021795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68092" cy="52220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3D" w:rsidRPr="00357F3B" w:rsidRDefault="009B333D" w:rsidP="009B333D">
      <w:pPr>
        <w:pStyle w:val="C1"/>
      </w:pPr>
      <w:r w:rsidRPr="0098075A">
        <w:t>Fig</w:t>
      </w:r>
      <w:r>
        <w:t>ure</w:t>
      </w:r>
      <w:r w:rsidRPr="0098075A">
        <w:t xml:space="preserve"> S2. </w:t>
      </w:r>
      <w:proofErr w:type="gramStart"/>
      <w:r w:rsidRPr="00357F3B">
        <w:t xml:space="preserve">Predicted population admixture and ancestry classification in </w:t>
      </w:r>
      <w:proofErr w:type="spellStart"/>
      <w:r w:rsidRPr="00357F3B">
        <w:t>HostSeq</w:t>
      </w:r>
      <w:proofErr w:type="spellEnd"/>
      <w:r w:rsidRPr="00357F3B">
        <w:t xml:space="preserve"> genomes.</w:t>
      </w:r>
      <w:proofErr w:type="gramEnd"/>
      <w:r w:rsidRPr="00357F3B">
        <w:rPr>
          <w:shd w:val="clear" w:color="auto" w:fill="FFFFF8"/>
        </w:rPr>
        <w:t xml:space="preserve"> </w:t>
      </w:r>
      <w:r w:rsidRPr="00357F3B">
        <w:t>Each bar represents a genome. Proportion of African, East Asian and European ancestries is determined</w:t>
      </w:r>
      <w:r>
        <w:t xml:space="preserve"> (according to their definitions in GRAF)</w:t>
      </w:r>
      <w:r w:rsidRPr="00357F3B">
        <w:t xml:space="preserve">, and genomes classified into 8 ancestry groups using GRAF-pop (see Methods). They are further categorized into 5 </w:t>
      </w:r>
      <w:proofErr w:type="spellStart"/>
      <w:r w:rsidRPr="00357F3B">
        <w:t>superpopulations</w:t>
      </w:r>
      <w:proofErr w:type="spellEnd"/>
      <w:r w:rsidRPr="00357F3B">
        <w:t>: (</w:t>
      </w:r>
      <w:proofErr w:type="spellStart"/>
      <w:r w:rsidRPr="00357F3B">
        <w:t>i</w:t>
      </w:r>
      <w:proofErr w:type="spellEnd"/>
      <w:r w:rsidRPr="00357F3B">
        <w:t>) AFR - African and African-American, (ii) AMR - Latin American Asian and Latin American African, (iii) EAS - Asian-Pacific Islander and East Asian, (iv) SAS - South Asian, and (v) EUR - European. 3% of genomes remain uncategorized.</w:t>
      </w:r>
    </w:p>
    <w:p w:rsidR="009B333D" w:rsidRPr="009779F1" w:rsidRDefault="009B333D" w:rsidP="009B333D">
      <w:pPr>
        <w:spacing w:after="240" w:line="276" w:lineRule="auto"/>
      </w:pPr>
    </w:p>
    <w:p w:rsidR="009B333D" w:rsidRPr="009779F1" w:rsidRDefault="009B333D" w:rsidP="009B333D">
      <w:pPr>
        <w:spacing w:after="240" w:line="276" w:lineRule="auto"/>
      </w:pPr>
      <w:r>
        <w:rPr>
          <w:noProof/>
        </w:rPr>
        <w:lastRenderedPageBreak/>
        <w:drawing>
          <wp:inline distT="0" distB="0" distL="0" distR="0" wp14:anchorId="78AAB78C" wp14:editId="4850650E">
            <wp:extent cx="6057068" cy="3457575"/>
            <wp:effectExtent l="0" t="0" r="0" b="0"/>
            <wp:docPr id="1374542520" name="Picture 13745425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4542520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7068" cy="3457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B333D" w:rsidRPr="009779F1" w:rsidRDefault="009B333D" w:rsidP="009B333D">
      <w:pPr>
        <w:pStyle w:val="C1"/>
      </w:pPr>
      <w:r w:rsidRPr="0098075A">
        <w:t>Fig</w:t>
      </w:r>
      <w:r>
        <w:t>ure</w:t>
      </w:r>
      <w:r w:rsidRPr="0098075A">
        <w:t xml:space="preserve"> S3. </w:t>
      </w:r>
      <w:r w:rsidRPr="00357F3B">
        <w:t xml:space="preserve">Genetic distances score of </w:t>
      </w:r>
      <w:proofErr w:type="spellStart"/>
      <w:r w:rsidRPr="00357F3B">
        <w:t>HostSeq</w:t>
      </w:r>
      <w:proofErr w:type="spellEnd"/>
      <w:r w:rsidRPr="00357F3B">
        <w:t xml:space="preserve"> genomes.</w:t>
      </w:r>
      <w:r w:rsidRPr="00357F3B">
        <w:rPr>
          <w:shd w:val="clear" w:color="auto" w:fill="FFFFF8"/>
        </w:rPr>
        <w:t xml:space="preserve"> </w:t>
      </w:r>
      <w:r w:rsidRPr="00357F3B">
        <w:t xml:space="preserve">The four genetic distances (GD1-4) scores from GRAF-pop (see Methods) represent distance of each genome from several reference populations and are used to predict ancestry. </w:t>
      </w:r>
      <w:proofErr w:type="spellStart"/>
      <w:r w:rsidRPr="00357F3B">
        <w:t>Barycentric</w:t>
      </w:r>
      <w:proofErr w:type="spellEnd"/>
      <w:r w:rsidRPr="00357F3B">
        <w:t xml:space="preserve"> coordinates of GD1 and GD2 are used to predict admixture proportion of African, East Asian and European ancestries.</w:t>
      </w:r>
    </w:p>
    <w:p w:rsidR="0088580A" w:rsidRDefault="0088580A">
      <w:bookmarkStart w:id="1" w:name="_GoBack"/>
      <w:bookmarkEnd w:id="1"/>
    </w:p>
    <w:sectPr w:rsidR="0088580A">
      <w:headerReference w:type="default" r:id="rId21"/>
      <w:footerReference w:type="default" r:id="rId22"/>
      <w:pgSz w:w="12240" w:h="15840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ngsuh">
    <w:altName w:val="Arial Unicode MS"/>
    <w:charset w:val="81"/>
    <w:family w:val="roman"/>
    <w:pitch w:val="variable"/>
    <w:sig w:usb0="00000000" w:usb1="69D77CFB" w:usb2="00000030" w:usb3="00000000" w:csb0="0008009F" w:csb1="00000000"/>
  </w:font>
  <w:font w:name="DengXian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BA9020" w:rsidTr="000C0C90">
      <w:trPr>
        <w:trHeight w:val="300"/>
      </w:trPr>
      <w:tc>
        <w:tcPr>
          <w:tcW w:w="3120" w:type="dxa"/>
        </w:tcPr>
        <w:p w:rsidR="5BBA9020" w:rsidRDefault="009B333D" w:rsidP="000C0C90">
          <w:pPr>
            <w:pStyle w:val="Header"/>
            <w:ind w:left="-115"/>
          </w:pPr>
        </w:p>
      </w:tc>
      <w:tc>
        <w:tcPr>
          <w:tcW w:w="3120" w:type="dxa"/>
        </w:tcPr>
        <w:p w:rsidR="5BBA9020" w:rsidRDefault="009B333D" w:rsidP="000C0C90">
          <w:pPr>
            <w:pStyle w:val="Header"/>
          </w:pPr>
        </w:p>
      </w:tc>
      <w:tc>
        <w:tcPr>
          <w:tcW w:w="3120" w:type="dxa"/>
        </w:tcPr>
        <w:p w:rsidR="5BBA9020" w:rsidRDefault="009B333D" w:rsidP="000C0C90">
          <w:pPr>
            <w:pStyle w:val="Header"/>
            <w:ind w:right="-115"/>
            <w:jc w:val="right"/>
          </w:pPr>
          <w:r>
            <w:fldChar w:fldCharType="begin"/>
          </w:r>
          <w:r>
            <w:instrText>PAGE</w:instrText>
          </w:r>
          <w:r>
            <w:fldChar w:fldCharType="separate"/>
          </w:r>
          <w:r>
            <w:rPr>
              <w:noProof/>
            </w:rPr>
            <w:t>11</w:t>
          </w:r>
          <w:r>
            <w:fldChar w:fldCharType="end"/>
          </w:r>
        </w:p>
      </w:tc>
    </w:tr>
  </w:tbl>
  <w:p w:rsidR="5BBA9020" w:rsidRDefault="009B333D" w:rsidP="000C0C90">
    <w:pPr>
      <w:pStyle w:val="Foo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5BBA9020" w:rsidTr="000C0C90">
      <w:trPr>
        <w:trHeight w:val="300"/>
      </w:trPr>
      <w:tc>
        <w:tcPr>
          <w:tcW w:w="3120" w:type="dxa"/>
        </w:tcPr>
        <w:p w:rsidR="5BBA9020" w:rsidRDefault="009B333D" w:rsidP="000C0C90">
          <w:pPr>
            <w:pStyle w:val="Header"/>
            <w:ind w:left="-115"/>
          </w:pPr>
        </w:p>
      </w:tc>
      <w:tc>
        <w:tcPr>
          <w:tcW w:w="3120" w:type="dxa"/>
        </w:tcPr>
        <w:p w:rsidR="5BBA9020" w:rsidRDefault="009B333D" w:rsidP="000C0C90">
          <w:pPr>
            <w:pStyle w:val="Header"/>
          </w:pPr>
        </w:p>
      </w:tc>
      <w:tc>
        <w:tcPr>
          <w:tcW w:w="3120" w:type="dxa"/>
        </w:tcPr>
        <w:p w:rsidR="5BBA9020" w:rsidRDefault="009B333D" w:rsidP="000C0C90">
          <w:pPr>
            <w:pStyle w:val="Header"/>
            <w:ind w:right="-115"/>
            <w:jc w:val="right"/>
          </w:pPr>
        </w:p>
      </w:tc>
    </w:tr>
  </w:tbl>
  <w:p w:rsidR="5BBA9020" w:rsidRDefault="009B333D" w:rsidP="000C0C90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691F34"/>
    <w:multiLevelType w:val="multilevel"/>
    <w:tmpl w:val="348E8786"/>
    <w:lvl w:ilvl="0">
      <w:start w:val="1"/>
      <w:numFmt w:val="decimal"/>
      <w:lvlText w:val="%1."/>
      <w:lvlJc w:val="left"/>
      <w:pPr>
        <w:ind w:left="426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26" w:hanging="360"/>
      </w:pPr>
    </w:lvl>
    <w:lvl w:ilvl="2">
      <w:start w:val="1"/>
      <w:numFmt w:val="decimal"/>
      <w:lvlText w:val="%1.%2.%3."/>
      <w:lvlJc w:val="left"/>
      <w:pPr>
        <w:ind w:left="786" w:hanging="720"/>
      </w:pPr>
    </w:lvl>
    <w:lvl w:ilvl="3">
      <w:start w:val="1"/>
      <w:numFmt w:val="decimal"/>
      <w:lvlText w:val="%1.%2.%3.%4."/>
      <w:lvlJc w:val="left"/>
      <w:pPr>
        <w:ind w:left="786" w:hanging="720"/>
      </w:pPr>
    </w:lvl>
    <w:lvl w:ilvl="4">
      <w:start w:val="1"/>
      <w:numFmt w:val="decimal"/>
      <w:lvlText w:val="%1.%2.%3.%4.%5."/>
      <w:lvlJc w:val="left"/>
      <w:pPr>
        <w:ind w:left="1146" w:hanging="1080"/>
      </w:pPr>
    </w:lvl>
    <w:lvl w:ilvl="5">
      <w:start w:val="1"/>
      <w:numFmt w:val="decimal"/>
      <w:lvlText w:val="%1.%2.%3.%4.%5.%6."/>
      <w:lvlJc w:val="left"/>
      <w:pPr>
        <w:ind w:left="1146" w:hanging="1080"/>
      </w:pPr>
    </w:lvl>
    <w:lvl w:ilvl="6">
      <w:start w:val="1"/>
      <w:numFmt w:val="decimal"/>
      <w:lvlText w:val="%1.%2.%3.%4.%5.%6.%7."/>
      <w:lvlJc w:val="left"/>
      <w:pPr>
        <w:ind w:left="1506" w:hanging="1440"/>
      </w:pPr>
    </w:lvl>
    <w:lvl w:ilvl="7">
      <w:start w:val="1"/>
      <w:numFmt w:val="decimal"/>
      <w:lvlText w:val="%1.%2.%3.%4.%5.%6.%7.%8."/>
      <w:lvlJc w:val="left"/>
      <w:pPr>
        <w:ind w:left="1506" w:hanging="1440"/>
      </w:pPr>
    </w:lvl>
    <w:lvl w:ilvl="8">
      <w:start w:val="1"/>
      <w:numFmt w:val="decimal"/>
      <w:lvlText w:val="%1.%2.%3.%4.%5.%6.%7.%8.%9."/>
      <w:lvlJc w:val="left"/>
      <w:pPr>
        <w:ind w:left="1866" w:hanging="1800"/>
      </w:pPr>
    </w:lvl>
  </w:abstractNum>
  <w:num w:numId="1">
    <w:abstractNumId w:val="0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8"/>
  <w:proofState w:spelling="clean" w:grammar="clean"/>
  <w:revisionView w:inkAnnotations="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33D"/>
    <w:rsid w:val="00032679"/>
    <w:rsid w:val="00034668"/>
    <w:rsid w:val="00056B4F"/>
    <w:rsid w:val="000642F2"/>
    <w:rsid w:val="00084394"/>
    <w:rsid w:val="000F01D6"/>
    <w:rsid w:val="00123564"/>
    <w:rsid w:val="001F10C2"/>
    <w:rsid w:val="002209A9"/>
    <w:rsid w:val="00227C76"/>
    <w:rsid w:val="00270BB9"/>
    <w:rsid w:val="00272B4E"/>
    <w:rsid w:val="0027516A"/>
    <w:rsid w:val="002C388C"/>
    <w:rsid w:val="00300627"/>
    <w:rsid w:val="00382E2D"/>
    <w:rsid w:val="0046722E"/>
    <w:rsid w:val="00497697"/>
    <w:rsid w:val="004B0AEA"/>
    <w:rsid w:val="00504FB0"/>
    <w:rsid w:val="00552986"/>
    <w:rsid w:val="00566C09"/>
    <w:rsid w:val="005A4A83"/>
    <w:rsid w:val="005B2C1F"/>
    <w:rsid w:val="005B79FC"/>
    <w:rsid w:val="005C6E92"/>
    <w:rsid w:val="006C72CF"/>
    <w:rsid w:val="00766AE0"/>
    <w:rsid w:val="007B75EC"/>
    <w:rsid w:val="00825A71"/>
    <w:rsid w:val="00832485"/>
    <w:rsid w:val="008842CD"/>
    <w:rsid w:val="0088580A"/>
    <w:rsid w:val="008D2DDC"/>
    <w:rsid w:val="008E2549"/>
    <w:rsid w:val="00946384"/>
    <w:rsid w:val="0098282B"/>
    <w:rsid w:val="009B21CB"/>
    <w:rsid w:val="009B333D"/>
    <w:rsid w:val="009E7C18"/>
    <w:rsid w:val="00A468D9"/>
    <w:rsid w:val="00A547E4"/>
    <w:rsid w:val="00A55BE8"/>
    <w:rsid w:val="00A72B67"/>
    <w:rsid w:val="00AC4A3A"/>
    <w:rsid w:val="00AD193D"/>
    <w:rsid w:val="00B2379F"/>
    <w:rsid w:val="00B35C62"/>
    <w:rsid w:val="00B55F74"/>
    <w:rsid w:val="00BE3370"/>
    <w:rsid w:val="00C02705"/>
    <w:rsid w:val="00C10915"/>
    <w:rsid w:val="00C5096B"/>
    <w:rsid w:val="00D0789E"/>
    <w:rsid w:val="00D43516"/>
    <w:rsid w:val="00D5194D"/>
    <w:rsid w:val="00D61851"/>
    <w:rsid w:val="00DB6BF1"/>
    <w:rsid w:val="00DD3EC1"/>
    <w:rsid w:val="00DD5BF0"/>
    <w:rsid w:val="00DE017B"/>
    <w:rsid w:val="00DE6E7D"/>
    <w:rsid w:val="00E1113D"/>
    <w:rsid w:val="00E518B8"/>
    <w:rsid w:val="00EB5000"/>
    <w:rsid w:val="00EE549F"/>
    <w:rsid w:val="00F12454"/>
    <w:rsid w:val="00F71672"/>
    <w:rsid w:val="00F943B7"/>
    <w:rsid w:val="00F975CF"/>
    <w:rsid w:val="00FB707B"/>
    <w:rsid w:val="00FD2B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B12"/>
  </w:style>
  <w:style w:type="paragraph" w:styleId="Heading1">
    <w:name w:val="heading 1"/>
    <w:basedOn w:val="Normal"/>
    <w:next w:val="Normal"/>
    <w:link w:val="Heading1Char"/>
    <w:uiPriority w:val="9"/>
    <w:qFormat/>
    <w:rsid w:val="00123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semiHidden/>
    <w:unhideWhenUsed/>
    <w:qFormat/>
    <w:rsid w:val="001235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123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2B12"/>
    <w:pPr>
      <w:widowControl w:val="0"/>
      <w:ind w:left="720"/>
      <w:contextualSpacing/>
      <w:jc w:val="both"/>
    </w:pPr>
    <w:rPr>
      <w:rFonts w:ascii="Century" w:eastAsia="MS Mincho" w:hAnsi="Century"/>
      <w:kern w:val="2"/>
      <w:sz w:val="21"/>
      <w:lang w:eastAsia="ja-JP"/>
    </w:rPr>
  </w:style>
  <w:style w:type="character" w:styleId="Strong">
    <w:name w:val="Strong"/>
    <w:basedOn w:val="DefaultParagraphFont"/>
    <w:uiPriority w:val="22"/>
    <w:qFormat/>
    <w:rsid w:val="00D43516"/>
    <w:rPr>
      <w:b/>
      <w:bCs/>
    </w:rPr>
  </w:style>
  <w:style w:type="paragraph" w:customStyle="1" w:styleId="Eliheadline">
    <w:name w:val="Eli headline"/>
    <w:basedOn w:val="Normal"/>
    <w:link w:val="EliheadlineChar"/>
    <w:rsid w:val="001F10C2"/>
    <w:pPr>
      <w:spacing w:line="360" w:lineRule="auto"/>
    </w:pPr>
    <w:rPr>
      <w:rFonts w:ascii="Times New Roman" w:hAnsi="Times New Roman" w:cs="Times New Roman"/>
      <w:b/>
      <w:bCs/>
      <w:sz w:val="28"/>
      <w:szCs w:val="28"/>
      <w:lang w:bidi="fa-IR"/>
    </w:rPr>
  </w:style>
  <w:style w:type="character" w:customStyle="1" w:styleId="EliheadlineChar">
    <w:name w:val="Eli headline Char"/>
    <w:basedOn w:val="DefaultParagraphFont"/>
    <w:link w:val="Eliheadline"/>
    <w:rsid w:val="001F10C2"/>
    <w:rPr>
      <w:rFonts w:ascii="Times New Roman" w:hAnsi="Times New Roman" w:cs="Times New Roman"/>
      <w:b/>
      <w:bCs/>
      <w:sz w:val="28"/>
      <w:szCs w:val="28"/>
      <w:lang w:bidi="fa-IR"/>
    </w:rPr>
  </w:style>
  <w:style w:type="paragraph" w:customStyle="1" w:styleId="Elifirstp">
    <w:name w:val="Eli first p"/>
    <w:basedOn w:val="Normal"/>
    <w:link w:val="ElifirstpChar"/>
    <w:rsid w:val="001F10C2"/>
    <w:pPr>
      <w:spacing w:line="360" w:lineRule="auto"/>
    </w:pPr>
    <w:rPr>
      <w:rFonts w:ascii="Times New Roman" w:hAnsi="Times New Roman" w:cs="Times New Roman"/>
      <w:lang w:bidi="fa-IR"/>
    </w:rPr>
  </w:style>
  <w:style w:type="character" w:customStyle="1" w:styleId="ElifirstpChar">
    <w:name w:val="Eli first p Char"/>
    <w:basedOn w:val="DefaultParagraphFont"/>
    <w:link w:val="Elifirstp"/>
    <w:rsid w:val="001F10C2"/>
    <w:rPr>
      <w:rFonts w:ascii="Times New Roman" w:hAnsi="Times New Roman" w:cs="Times New Roman"/>
      <w:sz w:val="24"/>
      <w:szCs w:val="24"/>
      <w:lang w:bidi="fa-IR"/>
    </w:rPr>
  </w:style>
  <w:style w:type="paragraph" w:customStyle="1" w:styleId="Elisecondp">
    <w:name w:val="Eli second p"/>
    <w:basedOn w:val="Normal"/>
    <w:link w:val="ElisecondpChar"/>
    <w:rsid w:val="001F10C2"/>
    <w:pPr>
      <w:spacing w:line="360" w:lineRule="auto"/>
      <w:ind w:firstLine="300"/>
    </w:pPr>
    <w:rPr>
      <w:rFonts w:ascii="Times New Roman" w:hAnsi="Times New Roman" w:cs="Times New Roman"/>
    </w:rPr>
  </w:style>
  <w:style w:type="character" w:customStyle="1" w:styleId="ElisecondpChar">
    <w:name w:val="Eli second p Char"/>
    <w:basedOn w:val="DefaultParagraphFont"/>
    <w:link w:val="Elisecondp"/>
    <w:rsid w:val="001F10C2"/>
    <w:rPr>
      <w:rFonts w:ascii="Times New Roman" w:hAnsi="Times New Roman" w:cs="Times New Roman"/>
      <w:sz w:val="24"/>
      <w:szCs w:val="24"/>
    </w:rPr>
  </w:style>
  <w:style w:type="paragraph" w:customStyle="1" w:styleId="Footnotes">
    <w:name w:val="Footnotes"/>
    <w:basedOn w:val="Normal"/>
    <w:rsid w:val="001F10C2"/>
    <w:pPr>
      <w:spacing w:before="120" w:line="360" w:lineRule="auto"/>
      <w:ind w:left="482" w:hanging="482"/>
      <w:contextualSpacing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1F10C2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4A3A"/>
    <w:rPr>
      <w:rFonts w:ascii="Century" w:eastAsia="MS Mincho" w:hAnsi="Century"/>
      <w:kern w:val="2"/>
      <w:sz w:val="21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356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6BF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6B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235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C4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4A3A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C4A3A"/>
    <w:rPr>
      <w:color w:val="808080"/>
    </w:rPr>
  </w:style>
  <w:style w:type="paragraph" w:customStyle="1" w:styleId="MDPI13authornames">
    <w:name w:val="MDPI_1.3_authornames"/>
    <w:next w:val="Normal"/>
    <w:qFormat/>
    <w:rsid w:val="00FD2B1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6affiliation">
    <w:name w:val="MDPI_1.6_affiliation"/>
    <w:qFormat/>
    <w:rsid w:val="00FD2B12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link w:val="MDPI17abstractChar"/>
    <w:qFormat/>
    <w:rsid w:val="00FD2B1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FD2B12"/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paragraph" w:customStyle="1" w:styleId="MDPI31text">
    <w:name w:val="MDPI_3.1_text"/>
    <w:link w:val="MDPI31textChar"/>
    <w:qFormat/>
    <w:rsid w:val="00FD2B1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FD2B12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FD2B1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FD2B1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customStyle="1" w:styleId="MDPI62BackMatter">
    <w:name w:val="MDPI_6.2_BackMatter"/>
    <w:link w:val="MDPI62BackMatterChar"/>
    <w:qFormat/>
    <w:rsid w:val="00FD2B1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customStyle="1" w:styleId="MDPI62BackMatterChar">
    <w:name w:val="MDPI_6.2_BackMatter Char"/>
    <w:basedOn w:val="DefaultParagraphFont"/>
    <w:link w:val="MDPI62BackMatter"/>
    <w:rsid w:val="00FD2B12"/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9B333D"/>
    <w:rPr>
      <w:color w:val="0000FF"/>
      <w:u w:val="single"/>
    </w:rPr>
  </w:style>
  <w:style w:type="paragraph" w:customStyle="1" w:styleId="C1">
    <w:name w:val="C1"/>
    <w:basedOn w:val="Normal"/>
    <w:autoRedefine/>
    <w:qFormat/>
    <w:rsid w:val="009B333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240" w:line="276" w:lineRule="auto"/>
      <w:outlineLvl w:val="0"/>
    </w:pPr>
    <w:rPr>
      <w:rFonts w:ascii="Times New Roman" w:eastAsia="Calibri" w:hAnsi="Times New Roman" w:cs="Calibri"/>
      <w:bCs/>
      <w:color w:val="000000" w:themeColor="text1"/>
      <w:sz w:val="22"/>
      <w:szCs w:val="48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9B333D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color w:val="000000" w:themeColor="text1"/>
      <w:lang w:val="en-C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B333D"/>
    <w:rPr>
      <w:rFonts w:ascii="Times New Roman" w:eastAsia="Times New Roman" w:hAnsi="Times New Roman" w:cs="Times New Roman"/>
      <w:color w:val="000000" w:themeColor="text1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3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2B12"/>
  </w:style>
  <w:style w:type="paragraph" w:styleId="Heading1">
    <w:name w:val="heading 1"/>
    <w:basedOn w:val="Normal"/>
    <w:next w:val="Normal"/>
    <w:link w:val="Heading1Char"/>
    <w:uiPriority w:val="9"/>
    <w:qFormat/>
    <w:rsid w:val="0012356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Heading2">
    <w:name w:val="heading 2"/>
    <w:basedOn w:val="ListParagraph"/>
    <w:next w:val="Normal"/>
    <w:link w:val="Heading2Char"/>
    <w:uiPriority w:val="9"/>
    <w:semiHidden/>
    <w:unhideWhenUsed/>
    <w:qFormat/>
    <w:rsid w:val="00123564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ListParagraph"/>
    <w:next w:val="Normal"/>
    <w:link w:val="Heading3Char"/>
    <w:uiPriority w:val="9"/>
    <w:semiHidden/>
    <w:unhideWhenUsed/>
    <w:qFormat/>
    <w:rsid w:val="00123564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D2B12"/>
    <w:pPr>
      <w:widowControl w:val="0"/>
      <w:ind w:left="720"/>
      <w:contextualSpacing/>
      <w:jc w:val="both"/>
    </w:pPr>
    <w:rPr>
      <w:rFonts w:ascii="Century" w:eastAsia="MS Mincho" w:hAnsi="Century"/>
      <w:kern w:val="2"/>
      <w:sz w:val="21"/>
      <w:lang w:eastAsia="ja-JP"/>
    </w:rPr>
  </w:style>
  <w:style w:type="character" w:styleId="Strong">
    <w:name w:val="Strong"/>
    <w:basedOn w:val="DefaultParagraphFont"/>
    <w:uiPriority w:val="22"/>
    <w:qFormat/>
    <w:rsid w:val="00D43516"/>
    <w:rPr>
      <w:b/>
      <w:bCs/>
    </w:rPr>
  </w:style>
  <w:style w:type="paragraph" w:customStyle="1" w:styleId="Eliheadline">
    <w:name w:val="Eli headline"/>
    <w:basedOn w:val="Normal"/>
    <w:link w:val="EliheadlineChar"/>
    <w:rsid w:val="001F10C2"/>
    <w:pPr>
      <w:spacing w:line="360" w:lineRule="auto"/>
    </w:pPr>
    <w:rPr>
      <w:rFonts w:ascii="Times New Roman" w:hAnsi="Times New Roman" w:cs="Times New Roman"/>
      <w:b/>
      <w:bCs/>
      <w:sz w:val="28"/>
      <w:szCs w:val="28"/>
      <w:lang w:bidi="fa-IR"/>
    </w:rPr>
  </w:style>
  <w:style w:type="character" w:customStyle="1" w:styleId="EliheadlineChar">
    <w:name w:val="Eli headline Char"/>
    <w:basedOn w:val="DefaultParagraphFont"/>
    <w:link w:val="Eliheadline"/>
    <w:rsid w:val="001F10C2"/>
    <w:rPr>
      <w:rFonts w:ascii="Times New Roman" w:hAnsi="Times New Roman" w:cs="Times New Roman"/>
      <w:b/>
      <w:bCs/>
      <w:sz w:val="28"/>
      <w:szCs w:val="28"/>
      <w:lang w:bidi="fa-IR"/>
    </w:rPr>
  </w:style>
  <w:style w:type="paragraph" w:customStyle="1" w:styleId="Elifirstp">
    <w:name w:val="Eli first p"/>
    <w:basedOn w:val="Normal"/>
    <w:link w:val="ElifirstpChar"/>
    <w:rsid w:val="001F10C2"/>
    <w:pPr>
      <w:spacing w:line="360" w:lineRule="auto"/>
    </w:pPr>
    <w:rPr>
      <w:rFonts w:ascii="Times New Roman" w:hAnsi="Times New Roman" w:cs="Times New Roman"/>
      <w:lang w:bidi="fa-IR"/>
    </w:rPr>
  </w:style>
  <w:style w:type="character" w:customStyle="1" w:styleId="ElifirstpChar">
    <w:name w:val="Eli first p Char"/>
    <w:basedOn w:val="DefaultParagraphFont"/>
    <w:link w:val="Elifirstp"/>
    <w:rsid w:val="001F10C2"/>
    <w:rPr>
      <w:rFonts w:ascii="Times New Roman" w:hAnsi="Times New Roman" w:cs="Times New Roman"/>
      <w:sz w:val="24"/>
      <w:szCs w:val="24"/>
      <w:lang w:bidi="fa-IR"/>
    </w:rPr>
  </w:style>
  <w:style w:type="paragraph" w:customStyle="1" w:styleId="Elisecondp">
    <w:name w:val="Eli second p"/>
    <w:basedOn w:val="Normal"/>
    <w:link w:val="ElisecondpChar"/>
    <w:rsid w:val="001F10C2"/>
    <w:pPr>
      <w:spacing w:line="360" w:lineRule="auto"/>
      <w:ind w:firstLine="300"/>
    </w:pPr>
    <w:rPr>
      <w:rFonts w:ascii="Times New Roman" w:hAnsi="Times New Roman" w:cs="Times New Roman"/>
    </w:rPr>
  </w:style>
  <w:style w:type="character" w:customStyle="1" w:styleId="ElisecondpChar">
    <w:name w:val="Eli second p Char"/>
    <w:basedOn w:val="DefaultParagraphFont"/>
    <w:link w:val="Elisecondp"/>
    <w:rsid w:val="001F10C2"/>
    <w:rPr>
      <w:rFonts w:ascii="Times New Roman" w:hAnsi="Times New Roman" w:cs="Times New Roman"/>
      <w:sz w:val="24"/>
      <w:szCs w:val="24"/>
    </w:rPr>
  </w:style>
  <w:style w:type="paragraph" w:customStyle="1" w:styleId="Footnotes">
    <w:name w:val="Footnotes"/>
    <w:basedOn w:val="Normal"/>
    <w:rsid w:val="001F10C2"/>
    <w:pPr>
      <w:spacing w:before="120" w:line="360" w:lineRule="auto"/>
      <w:ind w:left="482" w:hanging="482"/>
      <w:contextualSpacing/>
    </w:pPr>
    <w:rPr>
      <w:rFonts w:ascii="Times New Roman" w:eastAsia="Times New Roman" w:hAnsi="Times New Roman" w:cs="Times New Roman"/>
      <w:lang w:val="en-GB" w:eastAsia="en-GB"/>
    </w:rPr>
  </w:style>
  <w:style w:type="character" w:styleId="Emphasis">
    <w:name w:val="Emphasis"/>
    <w:basedOn w:val="DefaultParagraphFont"/>
    <w:uiPriority w:val="20"/>
    <w:qFormat/>
    <w:rsid w:val="001F10C2"/>
    <w:rPr>
      <w:i/>
      <w:iCs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AC4A3A"/>
    <w:rPr>
      <w:rFonts w:ascii="Century" w:eastAsia="MS Mincho" w:hAnsi="Century"/>
      <w:kern w:val="2"/>
      <w:sz w:val="21"/>
      <w:lang w:eastAsia="ja-JP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123564"/>
    <w:pPr>
      <w:spacing w:after="200"/>
    </w:pPr>
    <w:rPr>
      <w:b/>
      <w:bCs/>
      <w:color w:val="4472C4" w:themeColor="accent1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DB6BF1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B6BF1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Heading1Char">
    <w:name w:val="Heading 1 Char"/>
    <w:basedOn w:val="DefaultParagraphFont"/>
    <w:link w:val="Heading1"/>
    <w:uiPriority w:val="9"/>
    <w:rsid w:val="00123564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3564"/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Header">
    <w:name w:val="header"/>
    <w:basedOn w:val="Normal"/>
    <w:link w:val="HeaderChar"/>
    <w:uiPriority w:val="99"/>
    <w:unhideWhenUsed/>
    <w:rsid w:val="00AC4A3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Times New Roman" w:eastAsia="SimSun" w:hAnsi="Times New Roman" w:cs="Times New Roman"/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AC4A3A"/>
    <w:rPr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AC4A3A"/>
    <w:rPr>
      <w:color w:val="808080"/>
    </w:rPr>
  </w:style>
  <w:style w:type="paragraph" w:customStyle="1" w:styleId="MDPI13authornames">
    <w:name w:val="MDPI_1.3_authornames"/>
    <w:next w:val="Normal"/>
    <w:qFormat/>
    <w:rsid w:val="00FD2B12"/>
    <w:pPr>
      <w:adjustRightInd w:val="0"/>
      <w:snapToGrid w:val="0"/>
      <w:spacing w:after="360" w:line="260" w:lineRule="atLeast"/>
    </w:pPr>
    <w:rPr>
      <w:rFonts w:ascii="Palatino Linotype" w:eastAsia="Times New Roman" w:hAnsi="Palatino Linotype" w:cs="Times New Roman"/>
      <w:b/>
      <w:color w:val="000000"/>
      <w:sz w:val="20"/>
      <w:szCs w:val="22"/>
      <w:lang w:eastAsia="de-DE" w:bidi="en-US"/>
    </w:rPr>
  </w:style>
  <w:style w:type="paragraph" w:customStyle="1" w:styleId="MDPI16affiliation">
    <w:name w:val="MDPI_1.6_affiliation"/>
    <w:qFormat/>
    <w:rsid w:val="00FD2B12"/>
    <w:pPr>
      <w:adjustRightInd w:val="0"/>
      <w:snapToGrid w:val="0"/>
      <w:spacing w:line="200" w:lineRule="atLeast"/>
      <w:ind w:left="2806" w:hanging="198"/>
    </w:pPr>
    <w:rPr>
      <w:rFonts w:ascii="Palatino Linotype" w:eastAsia="Times New Roman" w:hAnsi="Palatino Linotype" w:cs="Times New Roman"/>
      <w:color w:val="000000"/>
      <w:sz w:val="16"/>
      <w:szCs w:val="18"/>
      <w:lang w:eastAsia="de-DE" w:bidi="en-US"/>
    </w:rPr>
  </w:style>
  <w:style w:type="paragraph" w:customStyle="1" w:styleId="MDPI17abstract">
    <w:name w:val="MDPI_1.7_abstract"/>
    <w:next w:val="Normal"/>
    <w:link w:val="MDPI17abstractChar"/>
    <w:qFormat/>
    <w:rsid w:val="00FD2B12"/>
    <w:pPr>
      <w:adjustRightInd w:val="0"/>
      <w:snapToGrid w:val="0"/>
      <w:spacing w:before="240" w:line="260" w:lineRule="atLeast"/>
      <w:ind w:left="2608"/>
      <w:jc w:val="both"/>
    </w:pPr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character" w:customStyle="1" w:styleId="MDPI17abstractChar">
    <w:name w:val="MDPI_1.7_abstract Char"/>
    <w:basedOn w:val="DefaultParagraphFont"/>
    <w:link w:val="MDPI17abstract"/>
    <w:rsid w:val="00FD2B12"/>
    <w:rPr>
      <w:rFonts w:ascii="Palatino Linotype" w:eastAsia="Times New Roman" w:hAnsi="Palatino Linotype" w:cs="Times New Roman"/>
      <w:color w:val="000000"/>
      <w:sz w:val="18"/>
      <w:szCs w:val="22"/>
      <w:lang w:eastAsia="de-DE" w:bidi="en-US"/>
    </w:rPr>
  </w:style>
  <w:style w:type="paragraph" w:customStyle="1" w:styleId="MDPI31text">
    <w:name w:val="MDPI_3.1_text"/>
    <w:link w:val="MDPI31textChar"/>
    <w:qFormat/>
    <w:rsid w:val="00FD2B12"/>
    <w:pPr>
      <w:adjustRightInd w:val="0"/>
      <w:snapToGrid w:val="0"/>
      <w:spacing w:line="228" w:lineRule="auto"/>
      <w:ind w:left="2608" w:firstLine="425"/>
      <w:jc w:val="both"/>
    </w:pPr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character" w:customStyle="1" w:styleId="MDPI31textChar">
    <w:name w:val="MDPI_3.1_text Char"/>
    <w:basedOn w:val="DefaultParagraphFont"/>
    <w:link w:val="MDPI31text"/>
    <w:rsid w:val="00FD2B12"/>
    <w:rPr>
      <w:rFonts w:ascii="Palatino Linotype" w:eastAsia="Times New Roman" w:hAnsi="Palatino Linotype" w:cs="Times New Roman"/>
      <w:snapToGrid w:val="0"/>
      <w:color w:val="000000"/>
      <w:sz w:val="20"/>
      <w:szCs w:val="22"/>
      <w:lang w:eastAsia="de-DE" w:bidi="en-US"/>
    </w:rPr>
  </w:style>
  <w:style w:type="paragraph" w:customStyle="1" w:styleId="MDPI21heading1">
    <w:name w:val="MDPI_2.1_heading1"/>
    <w:qFormat/>
    <w:rsid w:val="00FD2B12"/>
    <w:pPr>
      <w:adjustRightInd w:val="0"/>
      <w:snapToGrid w:val="0"/>
      <w:spacing w:before="240" w:after="60" w:line="228" w:lineRule="auto"/>
      <w:ind w:left="2608"/>
      <w:outlineLvl w:val="0"/>
    </w:pPr>
    <w:rPr>
      <w:rFonts w:ascii="Palatino Linotype" w:eastAsia="Times New Roman" w:hAnsi="Palatino Linotype" w:cs="Times New Roman"/>
      <w:b/>
      <w:snapToGrid w:val="0"/>
      <w:color w:val="000000"/>
      <w:sz w:val="20"/>
      <w:szCs w:val="22"/>
      <w:lang w:eastAsia="de-DE" w:bidi="en-US"/>
    </w:rPr>
  </w:style>
  <w:style w:type="paragraph" w:customStyle="1" w:styleId="MDPI22heading2">
    <w:name w:val="MDPI_2.2_heading2"/>
    <w:qFormat/>
    <w:rsid w:val="00FD2B12"/>
    <w:pPr>
      <w:adjustRightInd w:val="0"/>
      <w:snapToGrid w:val="0"/>
      <w:spacing w:before="60" w:after="60" w:line="228" w:lineRule="auto"/>
      <w:ind w:left="2608"/>
      <w:outlineLvl w:val="1"/>
    </w:pPr>
    <w:rPr>
      <w:rFonts w:ascii="Palatino Linotype" w:eastAsia="Times New Roman" w:hAnsi="Palatino Linotype" w:cs="Times New Roman"/>
      <w:i/>
      <w:noProof/>
      <w:snapToGrid w:val="0"/>
      <w:color w:val="000000"/>
      <w:sz w:val="20"/>
      <w:szCs w:val="22"/>
      <w:lang w:eastAsia="de-DE" w:bidi="en-US"/>
    </w:rPr>
  </w:style>
  <w:style w:type="paragraph" w:customStyle="1" w:styleId="MDPI62BackMatter">
    <w:name w:val="MDPI_6.2_BackMatter"/>
    <w:link w:val="MDPI62BackMatterChar"/>
    <w:qFormat/>
    <w:rsid w:val="00FD2B12"/>
    <w:pPr>
      <w:adjustRightInd w:val="0"/>
      <w:snapToGrid w:val="0"/>
      <w:spacing w:after="120" w:line="228" w:lineRule="auto"/>
      <w:ind w:left="2608"/>
      <w:jc w:val="both"/>
    </w:pPr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customStyle="1" w:styleId="MDPI62BackMatterChar">
    <w:name w:val="MDPI_6.2_BackMatter Char"/>
    <w:basedOn w:val="DefaultParagraphFont"/>
    <w:link w:val="MDPI62BackMatter"/>
    <w:rsid w:val="00FD2B12"/>
    <w:rPr>
      <w:rFonts w:ascii="Palatino Linotype" w:eastAsia="Times New Roman" w:hAnsi="Palatino Linotype" w:cs="Times New Roman"/>
      <w:snapToGrid w:val="0"/>
      <w:color w:val="000000"/>
      <w:sz w:val="18"/>
      <w:szCs w:val="20"/>
      <w:lang w:bidi="en-US"/>
    </w:rPr>
  </w:style>
  <w:style w:type="character" w:styleId="Hyperlink">
    <w:name w:val="Hyperlink"/>
    <w:basedOn w:val="DefaultParagraphFont"/>
    <w:uiPriority w:val="99"/>
    <w:unhideWhenUsed/>
    <w:rsid w:val="009B333D"/>
    <w:rPr>
      <w:color w:val="0000FF"/>
      <w:u w:val="single"/>
    </w:rPr>
  </w:style>
  <w:style w:type="paragraph" w:customStyle="1" w:styleId="C1">
    <w:name w:val="C1"/>
    <w:basedOn w:val="Normal"/>
    <w:autoRedefine/>
    <w:qFormat/>
    <w:rsid w:val="009B333D"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240" w:line="276" w:lineRule="auto"/>
      <w:outlineLvl w:val="0"/>
    </w:pPr>
    <w:rPr>
      <w:rFonts w:ascii="Times New Roman" w:eastAsia="Calibri" w:hAnsi="Times New Roman" w:cs="Calibri"/>
      <w:bCs/>
      <w:color w:val="000000" w:themeColor="text1"/>
      <w:sz w:val="22"/>
      <w:szCs w:val="48"/>
      <w:lang w:val="en-CA"/>
    </w:rPr>
  </w:style>
  <w:style w:type="paragraph" w:styleId="Footer">
    <w:name w:val="footer"/>
    <w:basedOn w:val="Normal"/>
    <w:link w:val="FooterChar"/>
    <w:uiPriority w:val="99"/>
    <w:semiHidden/>
    <w:unhideWhenUsed/>
    <w:rsid w:val="009B333D"/>
    <w:pPr>
      <w:tabs>
        <w:tab w:val="center" w:pos="4680"/>
        <w:tab w:val="right" w:pos="9360"/>
      </w:tabs>
    </w:pPr>
    <w:rPr>
      <w:rFonts w:ascii="Times New Roman" w:eastAsia="Times New Roman" w:hAnsi="Times New Roman" w:cs="Times New Roman"/>
      <w:color w:val="000000" w:themeColor="text1"/>
      <w:lang w:val="en-CA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9B333D"/>
    <w:rPr>
      <w:rFonts w:ascii="Times New Roman" w:eastAsia="Times New Roman" w:hAnsi="Times New Roman" w:cs="Times New Roman"/>
      <w:color w:val="000000" w:themeColor="text1"/>
      <w:lang w:val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B333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atk.broadinstitute.org/hc/en-us/articles/4418062719899-HaplotypeCaller" TargetMode="External"/><Relationship Id="rId13" Type="http://schemas.openxmlformats.org/officeDocument/2006/relationships/hyperlink" Target="https://gatk.broadinstitute.org/hc/en-us/articles/4418051394587--Tool-Documentation-Index" TargetMode="External"/><Relationship Id="rId18" Type="http://schemas.openxmlformats.org/officeDocument/2006/relationships/image" Target="media/image1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hyperlink" Target="https://broadinstitute.github.io/picard/" TargetMode="External"/><Relationship Id="rId12" Type="http://schemas.openxmlformats.org/officeDocument/2006/relationships/hyperlink" Target="https://github.com/ncbi/graf" TargetMode="External"/><Relationship Id="rId17" Type="http://schemas.openxmlformats.org/officeDocument/2006/relationships/hyperlink" Target="https://cran.r-project.org/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cog-genomics.org/plink/" TargetMode="External"/><Relationship Id="rId20" Type="http://schemas.openxmlformats.org/officeDocument/2006/relationships/image" Target="media/image3.png"/><Relationship Id="rId1" Type="http://schemas.openxmlformats.org/officeDocument/2006/relationships/numbering" Target="numbering.xml"/><Relationship Id="rId6" Type="http://schemas.openxmlformats.org/officeDocument/2006/relationships/hyperlink" Target="https://github.com/Illumina/DRAGMAP" TargetMode="External"/><Relationship Id="rId11" Type="http://schemas.openxmlformats.org/officeDocument/2006/relationships/hyperlink" Target="https://github.com/Griffan/VerifyBamID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samtools.github.io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github.com/FRED-2/OptiType" TargetMode="External"/><Relationship Id="rId19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s://gatk.broadinstitute.org/hc/en-us/articles/4418054384027-GenotypeGVCFs" TargetMode="External"/><Relationship Id="rId14" Type="http://schemas.openxmlformats.org/officeDocument/2006/relationships/hyperlink" Target="http://samtools.github.io/" TargetMode="External"/><Relationship Id="rId22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2327</Words>
  <Characters>13663</Characters>
  <Application>Microsoft Office Word</Application>
  <DocSecurity>0</DocSecurity>
  <Lines>303</Lines>
  <Paragraphs>135</Paragraphs>
  <ScaleCrop>false</ScaleCrop>
  <Company/>
  <LinksUpToDate>false</LinksUpToDate>
  <CharactersWithSpaces>15855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E746166</dc:creator>
  <cp:lastModifiedBy>E746166</cp:lastModifiedBy>
  <cp:revision>1</cp:revision>
  <dcterms:created xsi:type="dcterms:W3CDTF">2023-04-22T04:45:00Z</dcterms:created>
  <dcterms:modified xsi:type="dcterms:W3CDTF">2023-04-22T05:26:00Z</dcterms:modified>
</cp:coreProperties>
</file>