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346C" w14:textId="62C998D1" w:rsidR="00CD034A" w:rsidRDefault="00CD034A">
      <w:pPr>
        <w:rPr>
          <w:noProof/>
        </w:rPr>
      </w:pPr>
      <w:r>
        <w:rPr>
          <w:noProof/>
        </w:rPr>
        <w:drawing>
          <wp:inline distT="0" distB="0" distL="0" distR="0" wp14:anchorId="6F505A18" wp14:editId="20A8341D">
            <wp:extent cx="5943600" cy="4061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6BA0" w14:textId="781CD521" w:rsidR="003517A3" w:rsidRPr="003517A3" w:rsidRDefault="003517A3" w:rsidP="003517A3"/>
    <w:p w14:paraId="6538AFF7" w14:textId="55954CD8" w:rsidR="003517A3" w:rsidRPr="00CD034A" w:rsidRDefault="00CD034A" w:rsidP="00CD034A">
      <w:pPr>
        <w:bidi/>
        <w:jc w:val="right"/>
        <w:rPr>
          <w:rFonts w:asciiTheme="majorBidi" w:hAnsiTheme="majorBidi" w:cstheme="majorBidi"/>
          <w:b/>
          <w:bCs/>
          <w:noProof/>
          <w:sz w:val="28"/>
          <w:szCs w:val="28"/>
          <w:rtl/>
          <w:lang w:bidi="fa-IR"/>
        </w:rPr>
      </w:pP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>Figure 1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displays the β-actin bands at 42 kDa for patients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with CAD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and control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samples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  <w:r w:rsidR="003517A3" w:rsidRPr="00CD034A">
        <w:rPr>
          <w:rFonts w:asciiTheme="majorBidi" w:hAnsiTheme="majorBidi" w:cstheme="majorBidi"/>
          <w:b/>
          <w:bCs/>
          <w:noProof/>
          <w:sz w:val="28"/>
          <w:szCs w:val="28"/>
          <w:rtl/>
          <w:lang w:bidi="fa-IR"/>
        </w:rPr>
        <w:t xml:space="preserve"> </w:t>
      </w:r>
    </w:p>
    <w:p w14:paraId="7E5AD8A5" w14:textId="2C7D76FE" w:rsidR="003517A3" w:rsidRDefault="003517A3" w:rsidP="003517A3">
      <w:pPr>
        <w:tabs>
          <w:tab w:val="left" w:pos="7440"/>
        </w:tabs>
      </w:pPr>
      <w:r>
        <w:tab/>
      </w:r>
    </w:p>
    <w:p w14:paraId="644AC377" w14:textId="6FE3FE05" w:rsidR="003517A3" w:rsidRDefault="003517A3" w:rsidP="003517A3">
      <w:pPr>
        <w:tabs>
          <w:tab w:val="left" w:pos="7440"/>
        </w:tabs>
      </w:pPr>
    </w:p>
    <w:p w14:paraId="1894FC95" w14:textId="26AA8FDC" w:rsidR="00CD034A" w:rsidRDefault="00CD034A" w:rsidP="003517A3">
      <w:pPr>
        <w:tabs>
          <w:tab w:val="left" w:pos="7440"/>
        </w:tabs>
      </w:pPr>
    </w:p>
    <w:p w14:paraId="785DB972" w14:textId="3EA0320A" w:rsidR="00CD034A" w:rsidRDefault="00CD034A" w:rsidP="003517A3">
      <w:pPr>
        <w:tabs>
          <w:tab w:val="left" w:pos="7440"/>
        </w:tabs>
      </w:pPr>
    </w:p>
    <w:p w14:paraId="22AC8B91" w14:textId="5072FCA9" w:rsidR="00CD034A" w:rsidRDefault="00CD034A" w:rsidP="003517A3">
      <w:pPr>
        <w:tabs>
          <w:tab w:val="left" w:pos="7440"/>
        </w:tabs>
      </w:pPr>
    </w:p>
    <w:p w14:paraId="6653C811" w14:textId="372F2ADD" w:rsidR="00CD034A" w:rsidRDefault="00CD034A" w:rsidP="003517A3">
      <w:pPr>
        <w:tabs>
          <w:tab w:val="left" w:pos="7440"/>
        </w:tabs>
      </w:pPr>
    </w:p>
    <w:p w14:paraId="278C2F56" w14:textId="4800C1EB" w:rsidR="00CD034A" w:rsidRDefault="00CD034A" w:rsidP="003517A3">
      <w:pPr>
        <w:tabs>
          <w:tab w:val="left" w:pos="7440"/>
        </w:tabs>
      </w:pPr>
    </w:p>
    <w:p w14:paraId="601C3FBE" w14:textId="36C64107" w:rsidR="00CD034A" w:rsidRDefault="00CD034A" w:rsidP="003517A3">
      <w:pPr>
        <w:tabs>
          <w:tab w:val="left" w:pos="7440"/>
        </w:tabs>
      </w:pPr>
    </w:p>
    <w:p w14:paraId="6EB97DAF" w14:textId="5D17A21A" w:rsidR="00CD034A" w:rsidRDefault="00CD034A" w:rsidP="003517A3">
      <w:pPr>
        <w:tabs>
          <w:tab w:val="left" w:pos="7440"/>
        </w:tabs>
      </w:pPr>
    </w:p>
    <w:p w14:paraId="6EB29F47" w14:textId="703FF398" w:rsidR="00CD034A" w:rsidRDefault="00CD034A" w:rsidP="003517A3">
      <w:pPr>
        <w:tabs>
          <w:tab w:val="left" w:pos="7440"/>
        </w:tabs>
      </w:pPr>
    </w:p>
    <w:p w14:paraId="60710281" w14:textId="29DC734F" w:rsidR="00CD034A" w:rsidRDefault="00CD034A" w:rsidP="003517A3">
      <w:pPr>
        <w:tabs>
          <w:tab w:val="left" w:pos="7440"/>
        </w:tabs>
      </w:pPr>
      <w:r>
        <w:rPr>
          <w:noProof/>
        </w:rPr>
        <w:lastRenderedPageBreak/>
        <w:drawing>
          <wp:inline distT="0" distB="0" distL="0" distR="0" wp14:anchorId="37B99BBA" wp14:editId="0CA94B82">
            <wp:extent cx="5943600" cy="43065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DC4E" w14:textId="77777777" w:rsidR="00CD034A" w:rsidRDefault="00CD034A" w:rsidP="003517A3">
      <w:pPr>
        <w:tabs>
          <w:tab w:val="left" w:pos="7440"/>
        </w:tabs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67822080" w14:textId="55C27232" w:rsidR="00CD034A" w:rsidRPr="003517A3" w:rsidRDefault="00CD034A" w:rsidP="003517A3">
      <w:pPr>
        <w:tabs>
          <w:tab w:val="left" w:pos="7440"/>
        </w:tabs>
      </w:pP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Figure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displays the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SORT1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bands at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9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>2 kDa for patients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with CAD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and control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samples</w:t>
      </w:r>
      <w:r w:rsidRPr="00CD034A">
        <w:rPr>
          <w:rFonts w:asciiTheme="majorBidi" w:hAnsiTheme="majorBidi" w:cstheme="majorBidi"/>
          <w:b/>
          <w:bCs/>
          <w:noProof/>
          <w:sz w:val="28"/>
          <w:szCs w:val="28"/>
        </w:rPr>
        <w:t>.</w:t>
      </w:r>
    </w:p>
    <w:sectPr w:rsidR="00CD034A" w:rsidRPr="00351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9D"/>
    <w:rsid w:val="000F769D"/>
    <w:rsid w:val="003517A3"/>
    <w:rsid w:val="00CD034A"/>
    <w:rsid w:val="00FE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B4D34"/>
  <w15:chartTrackingRefBased/>
  <w15:docId w15:val="{A7C1C84E-BFD4-477C-820C-1683E59B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</Words>
  <Characters>146</Characters>
  <Application>Microsoft Office Word</Application>
  <DocSecurity>0</DocSecurity>
  <Lines>18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Hooshmand</dc:creator>
  <cp:keywords/>
  <dc:description/>
  <cp:lastModifiedBy>Hooshmand</cp:lastModifiedBy>
  <cp:revision>2</cp:revision>
  <dcterms:created xsi:type="dcterms:W3CDTF">2024-07-24T16:47:00Z</dcterms:created>
  <dcterms:modified xsi:type="dcterms:W3CDTF">2024-07-24T18:04:00Z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c00d84d0e322512e03a984bd9c6d3e313410118cf3f386558f9e8edaa688a856</vt:lpwstr>
  </property>
</Properties>
</file>