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05E59" w14:textId="77777777" w:rsidR="00F53FC9" w:rsidRDefault="00F53FC9" w:rsidP="00F53FC9">
      <w:pPr>
        <w:spacing w:line="360" w:lineRule="auto"/>
        <w:jc w:val="center"/>
        <w:rPr>
          <w:b/>
          <w:sz w:val="32"/>
          <w:szCs w:val="32"/>
        </w:rPr>
      </w:pPr>
    </w:p>
    <w:p w14:paraId="37A9A25E" w14:textId="77777777" w:rsidR="00F53FC9" w:rsidRDefault="00F53FC9" w:rsidP="00F53FC9">
      <w:pPr>
        <w:spacing w:line="360" w:lineRule="auto"/>
        <w:jc w:val="center"/>
        <w:rPr>
          <w:b/>
          <w:sz w:val="32"/>
          <w:szCs w:val="32"/>
        </w:rPr>
      </w:pPr>
    </w:p>
    <w:p w14:paraId="41B8A6A9" w14:textId="77777777" w:rsidR="00F53FC9" w:rsidRDefault="00F53FC9" w:rsidP="00F53FC9">
      <w:pPr>
        <w:spacing w:line="360" w:lineRule="auto"/>
        <w:jc w:val="center"/>
        <w:rPr>
          <w:b/>
          <w:sz w:val="32"/>
          <w:szCs w:val="32"/>
        </w:rPr>
      </w:pPr>
    </w:p>
    <w:p w14:paraId="69613303" w14:textId="77777777" w:rsidR="00F53FC9" w:rsidRDefault="00F53FC9" w:rsidP="00F53FC9">
      <w:pPr>
        <w:spacing w:line="360" w:lineRule="auto"/>
        <w:jc w:val="center"/>
        <w:rPr>
          <w:b/>
          <w:sz w:val="32"/>
          <w:szCs w:val="32"/>
        </w:rPr>
      </w:pPr>
    </w:p>
    <w:p w14:paraId="795B740E" w14:textId="77777777" w:rsidR="00F53FC9" w:rsidRDefault="00F53FC9" w:rsidP="00F53FC9">
      <w:pPr>
        <w:spacing w:line="360" w:lineRule="auto"/>
        <w:jc w:val="center"/>
        <w:rPr>
          <w:b/>
          <w:sz w:val="32"/>
          <w:szCs w:val="32"/>
        </w:rPr>
      </w:pPr>
    </w:p>
    <w:p w14:paraId="58F0FD36" w14:textId="448038F1" w:rsidR="00F53FC9" w:rsidRPr="00D7317E" w:rsidRDefault="00F53FC9" w:rsidP="00F53FC9">
      <w:pPr>
        <w:spacing w:line="360" w:lineRule="auto"/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  <w:r w:rsidRPr="00D7317E">
        <w:rPr>
          <w:b/>
          <w:sz w:val="32"/>
          <w:szCs w:val="32"/>
        </w:rPr>
        <w:t>Pharmacogenomic Insights into Tuberculosis Treatment Shows the NAT2 Genetic Variants Linked to Hepatotoxicity Risk: A Systematic Review and Meta-Analysis</w:t>
      </w:r>
    </w:p>
    <w:p w14:paraId="1A15039E" w14:textId="078A7C2E" w:rsidR="00F53FC9" w:rsidRDefault="00F53FC9" w:rsidP="00F53FC9">
      <w:pPr>
        <w:spacing w:line="360" w:lineRule="auto"/>
        <w:jc w:val="center"/>
        <w:rPr>
          <w:vertAlign w:val="superscript"/>
        </w:rPr>
      </w:pPr>
      <w:r w:rsidRPr="00D7317E">
        <w:t>Rashmi Mahajan</w:t>
      </w:r>
      <w:r>
        <w:rPr>
          <w:vertAlign w:val="superscript"/>
        </w:rPr>
        <w:t>1</w:t>
      </w:r>
      <w:r w:rsidRPr="00D7317E">
        <w:t>; Anuj Kumar Tyagi</w:t>
      </w:r>
      <w:r>
        <w:rPr>
          <w:vertAlign w:val="superscript"/>
        </w:rPr>
        <w:t>1*</w:t>
      </w:r>
    </w:p>
    <w:p w14:paraId="66CAA2FC" w14:textId="06DB992F" w:rsidR="00F53FC9" w:rsidRDefault="00F53FC9" w:rsidP="00F53FC9">
      <w:pPr>
        <w:spacing w:line="360" w:lineRule="auto"/>
        <w:jc w:val="center"/>
        <w:rPr>
          <w:vertAlign w:val="superscript"/>
        </w:rPr>
      </w:pPr>
    </w:p>
    <w:p w14:paraId="31904850" w14:textId="0732ED4C" w:rsidR="00F53FC9" w:rsidRDefault="00F53FC9" w:rsidP="00F53FC9">
      <w:pPr>
        <w:spacing w:line="360" w:lineRule="auto"/>
        <w:jc w:val="center"/>
        <w:rPr>
          <w:vertAlign w:val="superscript"/>
        </w:rPr>
      </w:pPr>
    </w:p>
    <w:p w14:paraId="47C633FB" w14:textId="77777777" w:rsidR="00F53FC9" w:rsidRPr="00F53FC9" w:rsidRDefault="00F53FC9" w:rsidP="00F53FC9">
      <w:pPr>
        <w:spacing w:line="360" w:lineRule="auto"/>
        <w:jc w:val="center"/>
        <w:rPr>
          <w:vertAlign w:val="superscript"/>
        </w:rPr>
      </w:pPr>
    </w:p>
    <w:p w14:paraId="1852FE70" w14:textId="77777777" w:rsidR="00F53FC9" w:rsidRDefault="00F53FC9" w:rsidP="00F53FC9">
      <w:pPr>
        <w:spacing w:line="360" w:lineRule="auto"/>
        <w:jc w:val="center"/>
        <w:rPr>
          <w:b/>
          <w:sz w:val="56"/>
          <w:szCs w:val="56"/>
          <w:vertAlign w:val="superscript"/>
        </w:rPr>
      </w:pPr>
    </w:p>
    <w:p w14:paraId="6C22C13C" w14:textId="333877A7" w:rsidR="00F53FC9" w:rsidRPr="00F53FC9" w:rsidRDefault="00F53FC9" w:rsidP="00F53FC9">
      <w:pPr>
        <w:spacing w:line="360" w:lineRule="auto"/>
        <w:jc w:val="center"/>
        <w:rPr>
          <w:b/>
          <w:sz w:val="56"/>
          <w:szCs w:val="56"/>
          <w:vertAlign w:val="superscript"/>
        </w:rPr>
      </w:pPr>
      <w:r w:rsidRPr="00F53FC9">
        <w:rPr>
          <w:b/>
          <w:sz w:val="56"/>
          <w:szCs w:val="56"/>
          <w:vertAlign w:val="superscript"/>
        </w:rPr>
        <w:t>Supplementary Information</w:t>
      </w:r>
    </w:p>
    <w:p w14:paraId="0849D892" w14:textId="77777777" w:rsidR="00F53FC9" w:rsidRDefault="00F53FC9" w:rsidP="00F53FC9">
      <w:pPr>
        <w:spacing w:line="360" w:lineRule="auto"/>
        <w:jc w:val="both"/>
      </w:pPr>
    </w:p>
    <w:p w14:paraId="708FF9D5" w14:textId="683FA692" w:rsidR="00F53FC9" w:rsidRDefault="00F53FC9">
      <w:r>
        <w:br w:type="page"/>
      </w:r>
    </w:p>
    <w:sdt>
      <w:sdtPr>
        <w:id w:val="-95725955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noProof/>
          <w:color w:val="auto"/>
          <w:sz w:val="24"/>
          <w:szCs w:val="24"/>
          <w:lang w:val="en-IN"/>
        </w:rPr>
      </w:sdtEndPr>
      <w:sdtContent>
        <w:p w14:paraId="05B478F1" w14:textId="210AEAE4" w:rsidR="00F53FC9" w:rsidRDefault="00F53FC9">
          <w:pPr>
            <w:pStyle w:val="TOCHeading"/>
          </w:pPr>
          <w:r>
            <w:t>Table of Contents</w:t>
          </w:r>
        </w:p>
        <w:p w14:paraId="0E401688" w14:textId="0D4EF9E8" w:rsidR="00F53FC9" w:rsidRDefault="00F53FC9" w:rsidP="00F53FC9">
          <w:pPr>
            <w:pStyle w:val="TOC1"/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1706831" w:history="1">
            <w:r w:rsidRPr="0072059A">
              <w:rPr>
                <w:rStyle w:val="Hyperlink"/>
                <w:noProof/>
              </w:rPr>
              <w:t>a)</w:t>
            </w:r>
            <w:r>
              <w:rPr>
                <w:rFonts w:eastAsiaTheme="minorEastAsia"/>
                <w:noProof/>
              </w:rPr>
              <w:tab/>
            </w:r>
            <w:r w:rsidRPr="0072059A">
              <w:rPr>
                <w:rStyle w:val="Hyperlink"/>
                <w:noProof/>
              </w:rPr>
              <w:t>Quality Assessment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_Toc181706831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D0CBD" w14:textId="654A0D07" w:rsidR="00F53FC9" w:rsidRDefault="00F53FC9" w:rsidP="00F53FC9">
          <w:pPr>
            <w:pStyle w:val="TOC1"/>
            <w:rPr>
              <w:rFonts w:eastAsiaTheme="minorEastAsia"/>
              <w:noProof/>
            </w:rPr>
          </w:pPr>
          <w:hyperlink w:anchor="_Toc181706832" w:history="1">
            <w:r w:rsidRPr="0072059A">
              <w:rPr>
                <w:rStyle w:val="Hyperlink"/>
                <w:noProof/>
              </w:rPr>
              <w:t>b)</w:t>
            </w:r>
            <w:r>
              <w:rPr>
                <w:rFonts w:eastAsiaTheme="minorEastAsia"/>
                <w:noProof/>
              </w:rPr>
              <w:tab/>
            </w:r>
            <w:r w:rsidRPr="0072059A">
              <w:rPr>
                <w:rStyle w:val="Hyperlink"/>
                <w:noProof/>
              </w:rPr>
              <w:t>Funnel Plot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_Toc181706832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07A08" w14:textId="17896DA5" w:rsidR="00F53FC9" w:rsidRDefault="00F53FC9">
          <w:r>
            <w:rPr>
              <w:b/>
              <w:bCs/>
              <w:noProof/>
            </w:rPr>
            <w:fldChar w:fldCharType="end"/>
          </w:r>
        </w:p>
      </w:sdtContent>
    </w:sdt>
    <w:p w14:paraId="6CE629D8" w14:textId="77777777" w:rsidR="00F53FC9" w:rsidRDefault="00F53FC9">
      <w:r>
        <w:br w:type="page"/>
      </w:r>
    </w:p>
    <w:p w14:paraId="36A80E76" w14:textId="5EEB2688" w:rsidR="00F53FC9" w:rsidRDefault="00F53FC9" w:rsidP="00F53FC9">
      <w:pPr>
        <w:pStyle w:val="Heading1"/>
        <w:numPr>
          <w:ilvl w:val="0"/>
          <w:numId w:val="2"/>
        </w:numPr>
      </w:pPr>
      <w:bookmarkStart w:id="0" w:name="_Toc181706831"/>
      <w:r>
        <w:lastRenderedPageBreak/>
        <w:t>Quality Assessment</w:t>
      </w:r>
      <w:bookmarkEnd w:id="0"/>
      <w:r>
        <w:t xml:space="preserve"> </w:t>
      </w:r>
    </w:p>
    <w:p w14:paraId="7DEA7654" w14:textId="03D53EFF" w:rsidR="00F53FC9" w:rsidRDefault="00F53FC9" w:rsidP="00F53FC9"/>
    <w:p w14:paraId="26DE5D28" w14:textId="3BA89AED" w:rsidR="00F53FC9" w:rsidRDefault="00F53FC9" w:rsidP="00F53FC9"/>
    <w:p w14:paraId="4E4C564E" w14:textId="6197D0DD" w:rsidR="00F53FC9" w:rsidRDefault="00F53FC9" w:rsidP="00F53FC9"/>
    <w:p w14:paraId="1834A905" w14:textId="3744EC86" w:rsidR="00F53FC9" w:rsidRDefault="00F53FC9" w:rsidP="00F53FC9"/>
    <w:p w14:paraId="6A32A3FF" w14:textId="77777777" w:rsidR="00F53FC9" w:rsidRPr="00F53FC9" w:rsidRDefault="00F53FC9" w:rsidP="00F53FC9">
      <w:bookmarkStart w:id="1" w:name="_GoBack"/>
      <w:bookmarkEnd w:id="1"/>
    </w:p>
    <w:p w14:paraId="2B3EAB83" w14:textId="5BD6E61B" w:rsidR="00F53FC9" w:rsidRPr="00F53FC9" w:rsidRDefault="00F53FC9" w:rsidP="00F53FC9">
      <w:pPr>
        <w:rPr>
          <w:rFonts w:ascii="Times New Roman" w:eastAsia="Times New Roman" w:hAnsi="Times New Roman" w:cs="Times New Roman"/>
        </w:rPr>
      </w:pPr>
    </w:p>
    <w:p w14:paraId="7744EB4E" w14:textId="5742169C" w:rsidR="00F53FC9" w:rsidRPr="00F53FC9" w:rsidRDefault="00F53FC9" w:rsidP="00F53FC9">
      <w:pPr>
        <w:pStyle w:val="Caption"/>
        <w:keepNext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53F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Table </w:t>
      </w:r>
      <w:r w:rsidRPr="00F53F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begin"/>
      </w:r>
      <w:r w:rsidRPr="00F53F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instrText xml:space="preserve"> SEQ Table \* ARABIC </w:instrText>
      </w:r>
      <w:r w:rsidRPr="00F53F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separate"/>
      </w:r>
      <w:r w:rsidRPr="00F53FC9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1</w:t>
      </w:r>
      <w:r w:rsidRPr="00F53F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fldChar w:fldCharType="end"/>
      </w:r>
      <w:r w:rsidRPr="00F53FC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 Newcastle-Ottawa quality assessment scale and total score of each study.</w:t>
      </w:r>
    </w:p>
    <w:tbl>
      <w:tblPr>
        <w:tblStyle w:val="GridTable1Light"/>
        <w:tblpPr w:leftFromText="180" w:rightFromText="180" w:vertAnchor="page" w:horzAnchor="margin" w:tblpXSpec="center" w:tblpY="4208"/>
        <w:tblW w:w="10910" w:type="dxa"/>
        <w:tblLayout w:type="fixed"/>
        <w:tblLook w:val="0000" w:firstRow="0" w:lastRow="0" w:firstColumn="0" w:lastColumn="0" w:noHBand="0" w:noVBand="0"/>
      </w:tblPr>
      <w:tblGrid>
        <w:gridCol w:w="562"/>
        <w:gridCol w:w="1701"/>
        <w:gridCol w:w="567"/>
        <w:gridCol w:w="851"/>
        <w:gridCol w:w="709"/>
        <w:gridCol w:w="850"/>
        <w:gridCol w:w="851"/>
        <w:gridCol w:w="850"/>
        <w:gridCol w:w="992"/>
        <w:gridCol w:w="709"/>
        <w:gridCol w:w="851"/>
        <w:gridCol w:w="850"/>
        <w:gridCol w:w="567"/>
      </w:tblGrid>
      <w:tr w:rsidR="00A30B6B" w:rsidRPr="00A30B6B" w14:paraId="415CFB90" w14:textId="77777777" w:rsidTr="00F53FC9">
        <w:trPr>
          <w:trHeight w:val="256"/>
        </w:trPr>
        <w:tc>
          <w:tcPr>
            <w:tcW w:w="562" w:type="dxa"/>
            <w:vMerge w:val="restart"/>
            <w:vAlign w:val="center"/>
          </w:tcPr>
          <w:p w14:paraId="22B63B83" w14:textId="77777777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Sr. No.</w:t>
            </w:r>
          </w:p>
        </w:tc>
        <w:tc>
          <w:tcPr>
            <w:tcW w:w="1701" w:type="dxa"/>
            <w:vMerge w:val="restart"/>
            <w:vAlign w:val="center"/>
          </w:tcPr>
          <w:p w14:paraId="4415E76F" w14:textId="6DFD0FEF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Study</w:t>
            </w:r>
          </w:p>
        </w:tc>
        <w:tc>
          <w:tcPr>
            <w:tcW w:w="567" w:type="dxa"/>
            <w:vMerge w:val="restart"/>
            <w:vAlign w:val="center"/>
          </w:tcPr>
          <w:p w14:paraId="175C54CF" w14:textId="20593E09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Year</w:t>
            </w:r>
          </w:p>
        </w:tc>
        <w:tc>
          <w:tcPr>
            <w:tcW w:w="3261" w:type="dxa"/>
            <w:gridSpan w:val="4"/>
            <w:vAlign w:val="center"/>
          </w:tcPr>
          <w:p w14:paraId="4C2E479D" w14:textId="053F4B80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Selection</w:t>
            </w:r>
          </w:p>
        </w:tc>
        <w:tc>
          <w:tcPr>
            <w:tcW w:w="1842" w:type="dxa"/>
            <w:gridSpan w:val="2"/>
            <w:vAlign w:val="center"/>
          </w:tcPr>
          <w:p w14:paraId="267E37A4" w14:textId="11CD4A73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Comparability</w:t>
            </w:r>
          </w:p>
        </w:tc>
        <w:tc>
          <w:tcPr>
            <w:tcW w:w="2410" w:type="dxa"/>
            <w:gridSpan w:val="3"/>
            <w:vAlign w:val="center"/>
          </w:tcPr>
          <w:p w14:paraId="585846CF" w14:textId="5A2B3890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  <w:t>Outcome</w:t>
            </w:r>
          </w:p>
        </w:tc>
        <w:tc>
          <w:tcPr>
            <w:tcW w:w="567" w:type="dxa"/>
            <w:vMerge w:val="restart"/>
            <w:vAlign w:val="center"/>
          </w:tcPr>
          <w:p w14:paraId="4DA15594" w14:textId="77777777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en-US"/>
              </w:rPr>
              <w:t>Overall score</w:t>
            </w:r>
          </w:p>
        </w:tc>
      </w:tr>
      <w:tr w:rsidR="00A30B6B" w:rsidRPr="00A30B6B" w14:paraId="33B989DB" w14:textId="77777777" w:rsidTr="00F53FC9">
        <w:trPr>
          <w:trHeight w:val="1003"/>
        </w:trPr>
        <w:tc>
          <w:tcPr>
            <w:tcW w:w="562" w:type="dxa"/>
            <w:vMerge/>
            <w:vAlign w:val="center"/>
          </w:tcPr>
          <w:p w14:paraId="272B9343" w14:textId="77777777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14:paraId="4DBD43E9" w14:textId="77777777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14:paraId="70E321ED" w14:textId="77777777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4996A99" w14:textId="77777777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was the case definition adequate?</w:t>
            </w:r>
          </w:p>
        </w:tc>
        <w:tc>
          <w:tcPr>
            <w:tcW w:w="709" w:type="dxa"/>
            <w:vAlign w:val="center"/>
          </w:tcPr>
          <w:p w14:paraId="1C9B3FD5" w14:textId="57252C45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Representativeness of cases</w:t>
            </w:r>
          </w:p>
        </w:tc>
        <w:tc>
          <w:tcPr>
            <w:tcW w:w="850" w:type="dxa"/>
            <w:vAlign w:val="center"/>
          </w:tcPr>
          <w:p w14:paraId="0AEC9677" w14:textId="48202809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Selection of the controls</w:t>
            </w:r>
          </w:p>
        </w:tc>
        <w:tc>
          <w:tcPr>
            <w:tcW w:w="851" w:type="dxa"/>
            <w:vAlign w:val="center"/>
          </w:tcPr>
          <w:p w14:paraId="3154FCAB" w14:textId="14ACBA5D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Definition of controls</w:t>
            </w:r>
          </w:p>
        </w:tc>
        <w:tc>
          <w:tcPr>
            <w:tcW w:w="850" w:type="dxa"/>
            <w:vAlign w:val="center"/>
          </w:tcPr>
          <w:p w14:paraId="246DF0C2" w14:textId="41763423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Study controls for the important factor</w:t>
            </w:r>
          </w:p>
        </w:tc>
        <w:tc>
          <w:tcPr>
            <w:tcW w:w="992" w:type="dxa"/>
            <w:vAlign w:val="center"/>
          </w:tcPr>
          <w:p w14:paraId="28BA04A4" w14:textId="3F6A540A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Study controls for the Additional factors</w:t>
            </w:r>
            <w:r w:rsidR="00F53FC9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example HIV, Alcohol</w:t>
            </w:r>
          </w:p>
        </w:tc>
        <w:tc>
          <w:tcPr>
            <w:tcW w:w="709" w:type="dxa"/>
            <w:vAlign w:val="center"/>
          </w:tcPr>
          <w:p w14:paraId="0350C9F8" w14:textId="6EBAFEF3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was the outcome adequately assessed?</w:t>
            </w:r>
          </w:p>
        </w:tc>
        <w:tc>
          <w:tcPr>
            <w:tcW w:w="851" w:type="dxa"/>
            <w:vAlign w:val="center"/>
          </w:tcPr>
          <w:p w14:paraId="4D60E005" w14:textId="16D3A11F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Same method of ascertainment for cases and controls</w:t>
            </w:r>
          </w:p>
        </w:tc>
        <w:tc>
          <w:tcPr>
            <w:tcW w:w="850" w:type="dxa"/>
            <w:vAlign w:val="center"/>
          </w:tcPr>
          <w:p w14:paraId="187F111D" w14:textId="4FD8EB04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follow-up period sufficient to assess the outcome</w:t>
            </w:r>
          </w:p>
        </w:tc>
        <w:tc>
          <w:tcPr>
            <w:tcW w:w="567" w:type="dxa"/>
            <w:vMerge/>
            <w:vAlign w:val="center"/>
          </w:tcPr>
          <w:p w14:paraId="5DC0423A" w14:textId="77777777" w:rsidR="004C507D" w:rsidRPr="00A30B6B" w:rsidRDefault="004C507D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4A7A0A" w:rsidRPr="00A30B6B" w14:paraId="6818A902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6FEA67C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E9C399A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Huang, et al.</w:t>
            </w:r>
          </w:p>
        </w:tc>
        <w:tc>
          <w:tcPr>
            <w:tcW w:w="567" w:type="dxa"/>
            <w:vAlign w:val="center"/>
          </w:tcPr>
          <w:p w14:paraId="1A5A899C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2002</w:t>
            </w:r>
          </w:p>
        </w:tc>
        <w:tc>
          <w:tcPr>
            <w:tcW w:w="851" w:type="dxa"/>
            <w:vAlign w:val="center"/>
          </w:tcPr>
          <w:p w14:paraId="1E5DF626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15B8C66E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CA12D65" w14:textId="0D7B8B1B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7E5767CF" w14:textId="052F7C3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7A367498" w14:textId="2953C096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1623E9ED" w14:textId="0221549D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AD1E290" w14:textId="4C45D29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0EDBABA" w14:textId="4B8B07E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B215AB3" w14:textId="3167722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9A1326F" w14:textId="53B7B957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9</w:t>
            </w:r>
          </w:p>
        </w:tc>
      </w:tr>
      <w:tr w:rsidR="004A7A0A" w:rsidRPr="00A30B6B" w14:paraId="679770E8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1518A605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DA5BDB1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proofErr w:type="spellStart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Vuilleumier</w:t>
            </w:r>
            <w:proofErr w:type="spellEnd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, et al.</w:t>
            </w:r>
          </w:p>
        </w:tc>
        <w:tc>
          <w:tcPr>
            <w:tcW w:w="567" w:type="dxa"/>
            <w:vAlign w:val="center"/>
          </w:tcPr>
          <w:p w14:paraId="0A6B3221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2006</w:t>
            </w:r>
          </w:p>
        </w:tc>
        <w:tc>
          <w:tcPr>
            <w:tcW w:w="851" w:type="dxa"/>
            <w:vAlign w:val="center"/>
          </w:tcPr>
          <w:p w14:paraId="4D6ED52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FF4501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4AB0BBFF" w14:textId="2C2472F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79291055" w14:textId="09F99B06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7647FE5" w14:textId="4C92ED12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258B4724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B34E679" w14:textId="0EA59A3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77AAB36" w14:textId="0E53B12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8072F2D" w14:textId="66EC814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76A9B526" w14:textId="42DD873B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49244130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37D3691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4739E60" w14:textId="6BAAECA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Cho, et al.</w:t>
            </w:r>
          </w:p>
        </w:tc>
        <w:tc>
          <w:tcPr>
            <w:tcW w:w="567" w:type="dxa"/>
            <w:vAlign w:val="center"/>
          </w:tcPr>
          <w:p w14:paraId="228FAEDB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2007</w:t>
            </w:r>
          </w:p>
        </w:tc>
        <w:tc>
          <w:tcPr>
            <w:tcW w:w="851" w:type="dxa"/>
            <w:vAlign w:val="center"/>
          </w:tcPr>
          <w:p w14:paraId="7D33C33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5D46BD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13A221A" w14:textId="0D5B7D26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E3AF0C0" w14:textId="47BCEE0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632BD29" w14:textId="3B9DACF2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038F90D9" w14:textId="03F60BC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5B4807B" w14:textId="0219E290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8B1ADE2" w14:textId="3BBF9F40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368AC4B" w14:textId="1A2831B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1A67004" w14:textId="05CF7CDE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0BD1E3E3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0EE5B252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CF6AC23" w14:textId="0383A05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proofErr w:type="spellStart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Possuelo</w:t>
            </w:r>
            <w:proofErr w:type="spellEnd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, et al.</w:t>
            </w:r>
          </w:p>
        </w:tc>
        <w:tc>
          <w:tcPr>
            <w:tcW w:w="567" w:type="dxa"/>
            <w:vAlign w:val="center"/>
          </w:tcPr>
          <w:p w14:paraId="3E3684F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2008</w:t>
            </w:r>
          </w:p>
        </w:tc>
        <w:tc>
          <w:tcPr>
            <w:tcW w:w="851" w:type="dxa"/>
            <w:vAlign w:val="center"/>
          </w:tcPr>
          <w:p w14:paraId="4C97F82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D17FD1B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C55E833" w14:textId="09DCC13F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6B9BBE1" w14:textId="36053D6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E6967ED" w14:textId="2B009ED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6CC4C9FC" w14:textId="1B9B869B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485AF0C" w14:textId="361552BB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7994BC8" w14:textId="414D26A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EFD0B20" w14:textId="1308512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CA0B1CE" w14:textId="3887A620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9</w:t>
            </w:r>
          </w:p>
        </w:tc>
      </w:tr>
      <w:tr w:rsidR="004A7A0A" w:rsidRPr="00A30B6B" w14:paraId="34A45803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0E2029D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02F22E05" w14:textId="3095F278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Yamada, et al.</w:t>
            </w:r>
          </w:p>
        </w:tc>
        <w:tc>
          <w:tcPr>
            <w:tcW w:w="567" w:type="dxa"/>
            <w:vAlign w:val="center"/>
          </w:tcPr>
          <w:p w14:paraId="1FDC348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2009</w:t>
            </w:r>
          </w:p>
        </w:tc>
        <w:tc>
          <w:tcPr>
            <w:tcW w:w="851" w:type="dxa"/>
            <w:vAlign w:val="center"/>
          </w:tcPr>
          <w:p w14:paraId="5DD82085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7647A5D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74B718C6" w14:textId="74EE485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F3E5FB6" w14:textId="021108E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6EAA5A8" w14:textId="51DAC9F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2E1DE04" w14:textId="3EBE7C0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E0F444D" w14:textId="6B138E0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0ABC19C3" w14:textId="47D19F2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D3514DF" w14:textId="411D77C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86E9058" w14:textId="097BAE48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02BCC145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1FD12EFA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3703F607" w14:textId="46D6916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Bose, et al.</w:t>
            </w:r>
          </w:p>
        </w:tc>
        <w:tc>
          <w:tcPr>
            <w:tcW w:w="567" w:type="dxa"/>
            <w:vAlign w:val="center"/>
          </w:tcPr>
          <w:p w14:paraId="2E022FC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2011</w:t>
            </w:r>
          </w:p>
        </w:tc>
        <w:tc>
          <w:tcPr>
            <w:tcW w:w="851" w:type="dxa"/>
            <w:vAlign w:val="center"/>
          </w:tcPr>
          <w:p w14:paraId="24EFB8D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1B92D7E4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B70F9C0" w14:textId="7459B26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82A363B" w14:textId="628F957B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66F5C76" w14:textId="5183E2F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693AEB57" w14:textId="3C129AF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4634598" w14:textId="683D697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3F719BA8" w14:textId="4FD46381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46D41CB" w14:textId="2288820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6E81C057" w14:textId="3FB5DBCF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488F503E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1E4F2AB1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5E258BBD" w14:textId="162A61F0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Teixeira, et al.</w:t>
            </w:r>
          </w:p>
        </w:tc>
        <w:tc>
          <w:tcPr>
            <w:tcW w:w="567" w:type="dxa"/>
            <w:vAlign w:val="center"/>
          </w:tcPr>
          <w:p w14:paraId="616EAE6B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2011</w:t>
            </w:r>
          </w:p>
        </w:tc>
        <w:tc>
          <w:tcPr>
            <w:tcW w:w="851" w:type="dxa"/>
            <w:vAlign w:val="center"/>
          </w:tcPr>
          <w:p w14:paraId="6E263A2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B90D61C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E72CD03" w14:textId="301EFFC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52FA196" w14:textId="39666A6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F56EBDA" w14:textId="4BA75228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4A30DC4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E5416E9" w14:textId="1703742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AFFA21D" w14:textId="21FA23C2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BFB1896" w14:textId="69F2237B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AEB1B9F" w14:textId="53FC44E8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45D0055C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3D063E2E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338C3484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proofErr w:type="spellStart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Leiro</w:t>
            </w:r>
            <w:proofErr w:type="spellEnd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-Fernandez, et al.</w:t>
            </w:r>
          </w:p>
        </w:tc>
        <w:tc>
          <w:tcPr>
            <w:tcW w:w="567" w:type="dxa"/>
            <w:vAlign w:val="center"/>
          </w:tcPr>
          <w:p w14:paraId="24C78292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2011</w:t>
            </w:r>
          </w:p>
        </w:tc>
        <w:tc>
          <w:tcPr>
            <w:tcW w:w="851" w:type="dxa"/>
            <w:vAlign w:val="center"/>
          </w:tcPr>
          <w:p w14:paraId="14E8F3FB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7E4AEF6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B18F7D9" w14:textId="30482D3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77E9098F" w14:textId="290DA0C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4220A8F6" w14:textId="6D07B15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9FEC28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D78A03C" w14:textId="7A8C2DBF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57A801D3" w14:textId="143A7F6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35AE84C" w14:textId="79A3EF1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18E93FC" w14:textId="30A34A43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7</w:t>
            </w:r>
          </w:p>
        </w:tc>
      </w:tr>
      <w:tr w:rsidR="004A7A0A" w:rsidRPr="00A30B6B" w14:paraId="16D266C6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586A79F4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07D5763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proofErr w:type="spellStart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Sotsuka</w:t>
            </w:r>
            <w:proofErr w:type="spellEnd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, et al.</w:t>
            </w:r>
          </w:p>
        </w:tc>
        <w:tc>
          <w:tcPr>
            <w:tcW w:w="567" w:type="dxa"/>
            <w:vAlign w:val="center"/>
          </w:tcPr>
          <w:p w14:paraId="2323BC2C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2011</w:t>
            </w:r>
          </w:p>
        </w:tc>
        <w:tc>
          <w:tcPr>
            <w:tcW w:w="851" w:type="dxa"/>
            <w:vAlign w:val="center"/>
          </w:tcPr>
          <w:p w14:paraId="2CF6A852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0DA41E72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C30A7EB" w14:textId="5BFB9DB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1A6DE88" w14:textId="0ADEC41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9B3BA23" w14:textId="5B2BCE51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1EF88312" w14:textId="7CF07836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3EC8FF6A" w14:textId="6EC3E4F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3FFB4FFD" w14:textId="23374A0C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7386584" w14:textId="0364CBC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99B532B" w14:textId="39786190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4603AAAE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20BD7EB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20B30295" w14:textId="72FBEF4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Mahmoud, et al.</w:t>
            </w:r>
          </w:p>
        </w:tc>
        <w:tc>
          <w:tcPr>
            <w:tcW w:w="567" w:type="dxa"/>
            <w:vAlign w:val="center"/>
          </w:tcPr>
          <w:p w14:paraId="0E76C84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2012</w:t>
            </w:r>
          </w:p>
        </w:tc>
        <w:tc>
          <w:tcPr>
            <w:tcW w:w="851" w:type="dxa"/>
            <w:vAlign w:val="center"/>
          </w:tcPr>
          <w:p w14:paraId="7DEDFD7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E21CED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208FDD2" w14:textId="5EDDCC7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0DFE5AD3" w14:textId="1F14BA16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71EF1BF4" w14:textId="3A96E6BF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D104E8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5A1B103" w14:textId="6C336C7C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5710B8CC" w14:textId="1B2072D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78E5BED" w14:textId="5A4393B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6B696990" w14:textId="6D861151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7</w:t>
            </w:r>
          </w:p>
        </w:tc>
      </w:tr>
      <w:tr w:rsidR="004A7A0A" w:rsidRPr="00A30B6B" w14:paraId="16A4E431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15B7A84F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41C0A30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proofErr w:type="spellStart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Lv</w:t>
            </w:r>
            <w:proofErr w:type="spellEnd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, et al.</w:t>
            </w:r>
          </w:p>
        </w:tc>
        <w:tc>
          <w:tcPr>
            <w:tcW w:w="567" w:type="dxa"/>
            <w:vAlign w:val="center"/>
          </w:tcPr>
          <w:p w14:paraId="163B5CED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2012</w:t>
            </w:r>
          </w:p>
        </w:tc>
        <w:tc>
          <w:tcPr>
            <w:tcW w:w="851" w:type="dxa"/>
            <w:vAlign w:val="center"/>
          </w:tcPr>
          <w:p w14:paraId="7E689C9A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0E4CBC1B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0D90A89" w14:textId="7DFAF04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1176027D" w14:textId="7933A5C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774A2B48" w14:textId="4A1F07C0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36B59FF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8687AC1" w14:textId="0BD5B70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5B3A2656" w14:textId="46E2A30F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0DDA48E" w14:textId="181456B2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31FECA55" w14:textId="4B5341B8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6E680910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4ED2DFF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0AE6574E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Rana, et al.</w:t>
            </w:r>
          </w:p>
        </w:tc>
        <w:tc>
          <w:tcPr>
            <w:tcW w:w="567" w:type="dxa"/>
            <w:vAlign w:val="center"/>
          </w:tcPr>
          <w:p w14:paraId="41AFFFA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2012</w:t>
            </w:r>
          </w:p>
        </w:tc>
        <w:tc>
          <w:tcPr>
            <w:tcW w:w="851" w:type="dxa"/>
            <w:vAlign w:val="center"/>
          </w:tcPr>
          <w:p w14:paraId="17EEE1D1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259BAFC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76727E6" w14:textId="1EE0292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1B724792" w14:textId="4D6B7738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A307B8B" w14:textId="23792CD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01002C4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EAEB29E" w14:textId="20DB434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0F076504" w14:textId="7F96411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9BB1502" w14:textId="5F4EAA3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0921BD4E" w14:textId="540CFBE5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07FCD4FC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28309FB4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6C6B7DA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Gupta, et al.</w:t>
            </w:r>
          </w:p>
        </w:tc>
        <w:tc>
          <w:tcPr>
            <w:tcW w:w="567" w:type="dxa"/>
            <w:vAlign w:val="center"/>
          </w:tcPr>
          <w:p w14:paraId="72C05186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2013</w:t>
            </w:r>
          </w:p>
        </w:tc>
        <w:tc>
          <w:tcPr>
            <w:tcW w:w="851" w:type="dxa"/>
            <w:vAlign w:val="center"/>
          </w:tcPr>
          <w:p w14:paraId="57046436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E85400F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8F7747D" w14:textId="1897D640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083CAE9D" w14:textId="2EC9748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B03704A" w14:textId="7AB9F0A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6DF783A6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B825D0F" w14:textId="16B0324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338D5B3" w14:textId="424B72CF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66B1849" w14:textId="67E467E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58F5D59" w14:textId="1128680C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22922425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09837D2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14:paraId="1463E33C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Ho, et al.</w:t>
            </w:r>
          </w:p>
        </w:tc>
        <w:tc>
          <w:tcPr>
            <w:tcW w:w="567" w:type="dxa"/>
            <w:vAlign w:val="center"/>
          </w:tcPr>
          <w:p w14:paraId="57112786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2013</w:t>
            </w:r>
          </w:p>
        </w:tc>
        <w:tc>
          <w:tcPr>
            <w:tcW w:w="851" w:type="dxa"/>
            <w:vAlign w:val="center"/>
          </w:tcPr>
          <w:p w14:paraId="48261865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882B6ED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49B092F0" w14:textId="14030C40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1601F04F" w14:textId="018899C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36CC87C" w14:textId="4A51E12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5F542951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AC1F453" w14:textId="008514C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3DC6DD35" w14:textId="6380413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12117EB" w14:textId="562C3E6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D9F47CC" w14:textId="7A627EB5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7</w:t>
            </w:r>
          </w:p>
        </w:tc>
      </w:tr>
      <w:tr w:rsidR="004A7A0A" w:rsidRPr="00A30B6B" w14:paraId="01BA04C4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5B815A6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0C76461D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Santos, et al.</w:t>
            </w:r>
          </w:p>
        </w:tc>
        <w:tc>
          <w:tcPr>
            <w:tcW w:w="567" w:type="dxa"/>
            <w:vAlign w:val="center"/>
          </w:tcPr>
          <w:p w14:paraId="306C8374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2013</w:t>
            </w:r>
          </w:p>
        </w:tc>
        <w:tc>
          <w:tcPr>
            <w:tcW w:w="851" w:type="dxa"/>
            <w:vAlign w:val="center"/>
          </w:tcPr>
          <w:p w14:paraId="4DFBC67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4EF9AE74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5BA66F35" w14:textId="53F9B32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1B0520A5" w14:textId="707FC08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EC20BFF" w14:textId="42376EB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6552F600" w14:textId="3C541CB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AB438F7" w14:textId="0C7AC101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EFA22D7" w14:textId="4A53E3C1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4D17540B" w14:textId="38ECE2F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2FFFDD8" w14:textId="3AFC594F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9</w:t>
            </w:r>
          </w:p>
        </w:tc>
      </w:tr>
      <w:tr w:rsidR="004A7A0A" w:rsidRPr="00A30B6B" w14:paraId="1124E28D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585576A5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61B56E8F" w14:textId="73123F4C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Ng,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</w:t>
            </w: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et al.</w:t>
            </w:r>
          </w:p>
        </w:tc>
        <w:tc>
          <w:tcPr>
            <w:tcW w:w="567" w:type="dxa"/>
            <w:vAlign w:val="center"/>
          </w:tcPr>
          <w:p w14:paraId="085F53E5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2014</w:t>
            </w:r>
          </w:p>
        </w:tc>
        <w:tc>
          <w:tcPr>
            <w:tcW w:w="851" w:type="dxa"/>
            <w:vAlign w:val="center"/>
          </w:tcPr>
          <w:p w14:paraId="4C2239E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814383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ABDAC5D" w14:textId="4E0FC44D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798A3476" w14:textId="18DA1449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460B9A6A" w14:textId="639EF1E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462F9E9D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BE4B92A" w14:textId="5C4B0B5F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00A048B8" w14:textId="0F55431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01260C2" w14:textId="1E8119C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C16C8DE" w14:textId="3B1F8020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7</w:t>
            </w:r>
          </w:p>
        </w:tc>
      </w:tr>
      <w:tr w:rsidR="004A7A0A" w:rsidRPr="00A30B6B" w14:paraId="6D83B050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4F13FAB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4C850602" w14:textId="1746256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Singla, et al.</w:t>
            </w:r>
          </w:p>
        </w:tc>
        <w:tc>
          <w:tcPr>
            <w:tcW w:w="567" w:type="dxa"/>
            <w:vAlign w:val="center"/>
          </w:tcPr>
          <w:p w14:paraId="26444CED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2014</w:t>
            </w:r>
          </w:p>
        </w:tc>
        <w:tc>
          <w:tcPr>
            <w:tcW w:w="851" w:type="dxa"/>
            <w:vAlign w:val="center"/>
          </w:tcPr>
          <w:p w14:paraId="2547DD8A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10ACEE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6AF35C0" w14:textId="1D5E70C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AADE071" w14:textId="6CFE09B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B8812C9" w14:textId="63B387E1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5E458AA6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CE4F638" w14:textId="46000FD8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6C69C1B" w14:textId="54FBE3B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C5FA8DF" w14:textId="7E0EE04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CDE76E3" w14:textId="0148E4A1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2B3EBC48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700FE2B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2C78CDC3" w14:textId="7915ACC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Xiang, et al.</w:t>
            </w:r>
          </w:p>
        </w:tc>
        <w:tc>
          <w:tcPr>
            <w:tcW w:w="567" w:type="dxa"/>
            <w:vAlign w:val="center"/>
          </w:tcPr>
          <w:p w14:paraId="317A788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2014</w:t>
            </w:r>
          </w:p>
        </w:tc>
        <w:tc>
          <w:tcPr>
            <w:tcW w:w="851" w:type="dxa"/>
            <w:vAlign w:val="center"/>
          </w:tcPr>
          <w:p w14:paraId="426D84FE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7E93CA7A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6CBB218" w14:textId="4B18CEE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4F7BFB4A" w14:textId="68C8217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264250A" w14:textId="7970B5D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36EDE4B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F6B685D" w14:textId="0B6CA8D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368FA09C" w14:textId="5E5B777C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F115EEF" w14:textId="1BBE92B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873BDA2" w14:textId="64779920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0314FDB4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20C9D42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 w14:paraId="79DB8B6A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proofErr w:type="spellStart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Mushiroda</w:t>
            </w:r>
            <w:proofErr w:type="spellEnd"/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, et al.</w:t>
            </w:r>
          </w:p>
        </w:tc>
        <w:tc>
          <w:tcPr>
            <w:tcW w:w="567" w:type="dxa"/>
            <w:vAlign w:val="center"/>
          </w:tcPr>
          <w:p w14:paraId="76805FC2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2016</w:t>
            </w:r>
          </w:p>
        </w:tc>
        <w:tc>
          <w:tcPr>
            <w:tcW w:w="851" w:type="dxa"/>
            <w:vAlign w:val="center"/>
          </w:tcPr>
          <w:p w14:paraId="35E6983A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A6AC18F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C9078A6" w14:textId="11C5E9C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D7128C8" w14:textId="60B9175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9366E81" w14:textId="73FC5FD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283A096E" w14:textId="46146B9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5888E23" w14:textId="6295EBA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72C1B1FF" w14:textId="7603BCF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BD68950" w14:textId="790EE2EC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405E7756" w14:textId="689BEDEB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9</w:t>
            </w:r>
          </w:p>
        </w:tc>
      </w:tr>
      <w:tr w:rsidR="004A7A0A" w:rsidRPr="00A30B6B" w14:paraId="4BE95DB4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5755A59A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0BBEDC2B" w14:textId="2A22108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Ben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,</w:t>
            </w: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et al.</w:t>
            </w:r>
          </w:p>
        </w:tc>
        <w:tc>
          <w:tcPr>
            <w:tcW w:w="567" w:type="dxa"/>
            <w:vAlign w:val="center"/>
          </w:tcPr>
          <w:p w14:paraId="3411123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2017</w:t>
            </w:r>
          </w:p>
        </w:tc>
        <w:tc>
          <w:tcPr>
            <w:tcW w:w="851" w:type="dxa"/>
            <w:vAlign w:val="center"/>
          </w:tcPr>
          <w:p w14:paraId="0DF4DBD1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05A1A2DE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4F1CC22" w14:textId="70A749AB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B30F1A4" w14:textId="37C2470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4FB310BF" w14:textId="33F6264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23964615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70B4D2C" w14:textId="2C7DBA8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79C7E01" w14:textId="08763A2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799AD137" w14:textId="19E20839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359178D" w14:textId="0F62383E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7</w:t>
            </w:r>
          </w:p>
        </w:tc>
      </w:tr>
      <w:tr w:rsidR="004A7A0A" w:rsidRPr="00A30B6B" w14:paraId="79B207B4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52BCA84B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2A91204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Araujo et al.</w:t>
            </w:r>
          </w:p>
        </w:tc>
        <w:tc>
          <w:tcPr>
            <w:tcW w:w="567" w:type="dxa"/>
            <w:vAlign w:val="center"/>
          </w:tcPr>
          <w:p w14:paraId="1C905E9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2020</w:t>
            </w:r>
          </w:p>
        </w:tc>
        <w:tc>
          <w:tcPr>
            <w:tcW w:w="851" w:type="dxa"/>
            <w:vAlign w:val="center"/>
          </w:tcPr>
          <w:p w14:paraId="6989D165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67330A46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2C1DFF90" w14:textId="5CC20A0C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15E212E1" w14:textId="332B4470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1CFAF3DE" w14:textId="05285EC6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626A52FA" w14:textId="5D7E6D8E" w:rsidR="00F53FC9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23FE3E07" w14:textId="6E68F57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6B9E5A06" w14:textId="3AA2014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34F07CF6" w14:textId="1AAF878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8F6A8AF" w14:textId="46B4F382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  <w:tr w:rsidR="004A7A0A" w:rsidRPr="00A30B6B" w14:paraId="24B64F3C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3DDE8531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 w14:paraId="1CA88BEF" w14:textId="77E0CA21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Cavaco, et al.</w:t>
            </w:r>
          </w:p>
        </w:tc>
        <w:tc>
          <w:tcPr>
            <w:tcW w:w="567" w:type="dxa"/>
            <w:vAlign w:val="center"/>
          </w:tcPr>
          <w:p w14:paraId="090D0F38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2022</w:t>
            </w:r>
          </w:p>
        </w:tc>
        <w:tc>
          <w:tcPr>
            <w:tcW w:w="851" w:type="dxa"/>
            <w:vAlign w:val="center"/>
          </w:tcPr>
          <w:p w14:paraId="550D7E15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01AAC1F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EDF4459" w14:textId="1B0861FA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64DBF3C" w14:textId="1DED4A51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FAE346C" w14:textId="78C87CA3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291DBB9F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4B398ED" w14:textId="4B9D3004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8FEB7F5" w14:textId="7418A89B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4EE3EF38" w14:textId="26EE9E3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195D208C" w14:textId="2B396619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7</w:t>
            </w:r>
          </w:p>
        </w:tc>
      </w:tr>
      <w:tr w:rsidR="004A7A0A" w:rsidRPr="00A30B6B" w14:paraId="6F83D464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010A895E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23</w:t>
            </w:r>
          </w:p>
        </w:tc>
        <w:tc>
          <w:tcPr>
            <w:tcW w:w="1701" w:type="dxa"/>
            <w:vAlign w:val="center"/>
          </w:tcPr>
          <w:p w14:paraId="0C448317" w14:textId="64CF716D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Jaramillo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,</w:t>
            </w: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 xml:space="preserve"> et al.</w:t>
            </w:r>
          </w:p>
        </w:tc>
        <w:tc>
          <w:tcPr>
            <w:tcW w:w="567" w:type="dxa"/>
            <w:vAlign w:val="center"/>
          </w:tcPr>
          <w:p w14:paraId="3B65B5B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2022</w:t>
            </w:r>
          </w:p>
        </w:tc>
        <w:tc>
          <w:tcPr>
            <w:tcW w:w="851" w:type="dxa"/>
            <w:vAlign w:val="center"/>
          </w:tcPr>
          <w:p w14:paraId="47F900D7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36A201B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0277EA7" w14:textId="2BA371B6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06328B9D" w14:textId="3348BFCC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5C22A954" w14:textId="3E626796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38C6D292" w14:textId="540EA20D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3E88F093" w14:textId="6847F160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6820076" w14:textId="71094701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6458662A" w14:textId="11A66CB2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2E54350C" w14:textId="4CC4F547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9</w:t>
            </w:r>
          </w:p>
        </w:tc>
      </w:tr>
      <w:tr w:rsidR="004A7A0A" w:rsidRPr="00A30B6B" w14:paraId="315BEAED" w14:textId="77777777" w:rsidTr="00F53FC9">
        <w:trPr>
          <w:trHeight w:val="256"/>
        </w:trPr>
        <w:tc>
          <w:tcPr>
            <w:tcW w:w="562" w:type="dxa"/>
            <w:vAlign w:val="center"/>
          </w:tcPr>
          <w:p w14:paraId="2F77E1A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24</w:t>
            </w:r>
          </w:p>
        </w:tc>
        <w:tc>
          <w:tcPr>
            <w:tcW w:w="1701" w:type="dxa"/>
            <w:vAlign w:val="center"/>
          </w:tcPr>
          <w:p w14:paraId="2518E870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Thomas, et al.</w:t>
            </w:r>
          </w:p>
        </w:tc>
        <w:tc>
          <w:tcPr>
            <w:tcW w:w="567" w:type="dxa"/>
            <w:vAlign w:val="center"/>
          </w:tcPr>
          <w:p w14:paraId="4799D493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2024</w:t>
            </w:r>
          </w:p>
        </w:tc>
        <w:tc>
          <w:tcPr>
            <w:tcW w:w="851" w:type="dxa"/>
            <w:vAlign w:val="center"/>
          </w:tcPr>
          <w:p w14:paraId="737CD49B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16F529E9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56557CD3" w14:textId="384E2E4E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28A298CC" w14:textId="08F2BBB2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0CCA467" w14:textId="602CAE6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45CBB22C" w14:textId="77777777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27F2903" w14:textId="2B03ED9B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1" w:type="dxa"/>
            <w:vAlign w:val="center"/>
          </w:tcPr>
          <w:p w14:paraId="53553407" w14:textId="0BF5E595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850" w:type="dxa"/>
            <w:vAlign w:val="center"/>
          </w:tcPr>
          <w:p w14:paraId="06B9C584" w14:textId="38A495EC" w:rsidR="004A7A0A" w:rsidRPr="00A30B6B" w:rsidRDefault="004A7A0A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 w:rsidRPr="00A30B6B"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14:paraId="1FDB0BAF" w14:textId="506BA5D0" w:rsidR="004A7A0A" w:rsidRPr="00A30B6B" w:rsidRDefault="00F53FC9" w:rsidP="00F53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  <w:lang w:val="en-US"/>
              </w:rPr>
              <w:t>8</w:t>
            </w:r>
          </w:p>
        </w:tc>
      </w:tr>
    </w:tbl>
    <w:p w14:paraId="4AA4FB96" w14:textId="1FDF90CF" w:rsidR="00F53FC9" w:rsidRDefault="00F53FC9"/>
    <w:p w14:paraId="16D4BC89" w14:textId="7D5B6D8E" w:rsidR="0074232A" w:rsidRDefault="00F53FC9">
      <w:r>
        <w:br w:type="page"/>
      </w:r>
    </w:p>
    <w:p w14:paraId="0BB18878" w14:textId="31451131" w:rsidR="00F53FC9" w:rsidRPr="00F53FC9" w:rsidRDefault="00F53FC9" w:rsidP="00F53FC9">
      <w:pPr>
        <w:pStyle w:val="Heading1"/>
        <w:numPr>
          <w:ilvl w:val="0"/>
          <w:numId w:val="2"/>
        </w:numPr>
      </w:pPr>
      <w:bookmarkStart w:id="2" w:name="_Toc181706832"/>
      <w:r>
        <w:lastRenderedPageBreak/>
        <w:t>Funnel Plot</w:t>
      </w:r>
      <w:bookmarkEnd w:id="2"/>
      <w:r>
        <w:t xml:space="preserve"> </w:t>
      </w:r>
    </w:p>
    <w:p w14:paraId="3271796B" w14:textId="77777777" w:rsidR="00F53FC9" w:rsidRDefault="00F53FC9" w:rsidP="00F53FC9"/>
    <w:p w14:paraId="12A03208" w14:textId="6BF85F6B" w:rsidR="00F53FC9" w:rsidRPr="00F53FC9" w:rsidRDefault="00F53FC9" w:rsidP="00F53FC9">
      <w:pPr>
        <w:rPr>
          <w:rFonts w:ascii="Times New Roman" w:eastAsia="Times New Roman" w:hAnsi="Times New Roman" w:cs="Times New Roman"/>
          <w:i/>
        </w:rPr>
      </w:pPr>
      <w:r w:rsidRPr="00F53FC9">
        <w:rPr>
          <w:rFonts w:ascii="Times New Roman" w:hAnsi="Times New Roman" w:cs="Times New Roman"/>
          <w:i/>
        </w:rPr>
        <w:t xml:space="preserve">Figure </w:t>
      </w:r>
      <w:r w:rsidRPr="00F53FC9">
        <w:rPr>
          <w:rFonts w:ascii="Times New Roman" w:hAnsi="Times New Roman" w:cs="Times New Roman"/>
          <w:i/>
        </w:rPr>
        <w:fldChar w:fldCharType="begin"/>
      </w:r>
      <w:r w:rsidRPr="00F53FC9">
        <w:rPr>
          <w:rFonts w:ascii="Times New Roman" w:hAnsi="Times New Roman" w:cs="Times New Roman"/>
          <w:i/>
        </w:rPr>
        <w:instrText xml:space="preserve"> SEQ Figure \* ARABIC </w:instrText>
      </w:r>
      <w:r w:rsidRPr="00F53FC9">
        <w:rPr>
          <w:rFonts w:ascii="Times New Roman" w:hAnsi="Times New Roman" w:cs="Times New Roman"/>
          <w:i/>
        </w:rPr>
        <w:fldChar w:fldCharType="separate"/>
      </w:r>
      <w:r w:rsidRPr="00F53FC9">
        <w:rPr>
          <w:rFonts w:ascii="Times New Roman" w:hAnsi="Times New Roman" w:cs="Times New Roman"/>
          <w:i/>
          <w:noProof/>
        </w:rPr>
        <w:t>1</w:t>
      </w:r>
      <w:r w:rsidRPr="00F53FC9">
        <w:rPr>
          <w:rFonts w:ascii="Times New Roman" w:hAnsi="Times New Roman" w:cs="Times New Roman"/>
          <w:i/>
        </w:rPr>
        <w:fldChar w:fldCharType="end"/>
      </w:r>
      <w:r w:rsidRPr="00F53FC9">
        <w:rPr>
          <w:rFonts w:ascii="Times New Roman" w:hAnsi="Times New Roman" w:cs="Times New Roman"/>
          <w:i/>
        </w:rPr>
        <w:t xml:space="preserve">: </w:t>
      </w:r>
      <w:r w:rsidRPr="00F53FC9">
        <w:rPr>
          <w:rFonts w:ascii="Times New Roman" w:eastAsia="Times New Roman" w:hAnsi="Times New Roman" w:cs="Times New Roman"/>
          <w:i/>
          <w:color w:val="262626"/>
          <w:shd w:val="clear" w:color="auto" w:fill="FFFFFF"/>
        </w:rPr>
        <w:t xml:space="preserve">Publication bias were evaluated by </w:t>
      </w:r>
      <w:proofErr w:type="spellStart"/>
      <w:r w:rsidRPr="00F53FC9">
        <w:rPr>
          <w:rFonts w:ascii="Times New Roman" w:eastAsia="Times New Roman" w:hAnsi="Times New Roman" w:cs="Times New Roman"/>
          <w:i/>
          <w:color w:val="262626"/>
          <w:shd w:val="clear" w:color="auto" w:fill="FFFFFF"/>
        </w:rPr>
        <w:t>Begg's</w:t>
      </w:r>
      <w:proofErr w:type="spellEnd"/>
      <w:r w:rsidRPr="00F53FC9">
        <w:rPr>
          <w:rFonts w:ascii="Times New Roman" w:eastAsia="Times New Roman" w:hAnsi="Times New Roman" w:cs="Times New Roman"/>
          <w:i/>
          <w:color w:val="262626"/>
          <w:shd w:val="clear" w:color="auto" w:fill="FFFFFF"/>
        </w:rPr>
        <w:t xml:space="preserve"> test</w:t>
      </w:r>
      <w:r w:rsidRPr="00F53FC9">
        <w:rPr>
          <w:rFonts w:ascii="Times New Roman" w:eastAsia="Times New Roman" w:hAnsi="Times New Roman" w:cs="Times New Roman"/>
          <w:i/>
          <w:color w:val="262626"/>
          <w:shd w:val="clear" w:color="auto" w:fill="FFFFFF"/>
        </w:rPr>
        <w:t xml:space="preserve">. </w:t>
      </w:r>
      <w:r w:rsidRPr="00F53FC9">
        <w:rPr>
          <w:rFonts w:ascii="Times New Roman" w:eastAsia="Times New Roman" w:hAnsi="Times New Roman" w:cs="Times New Roman"/>
          <w:i/>
          <w:color w:val="262626"/>
          <w:shd w:val="clear" w:color="auto" w:fill="FFFFFF"/>
        </w:rPr>
        <w:t xml:space="preserve"> P-value of bias equals 0.5, indicating no significant publication bias among the included studies.</w:t>
      </w:r>
    </w:p>
    <w:p w14:paraId="42C33D25" w14:textId="41B154D3" w:rsidR="00F53FC9" w:rsidRPr="00F53FC9" w:rsidRDefault="00F53FC9" w:rsidP="00F53FC9">
      <w:pPr>
        <w:rPr>
          <w:rFonts w:ascii="Times New Roman" w:eastAsia="Times New Roman" w:hAnsi="Times New Roman" w:cs="Times New Roman"/>
        </w:rPr>
      </w:pPr>
    </w:p>
    <w:p w14:paraId="27A6CC11" w14:textId="0F481319" w:rsidR="0074232A" w:rsidRDefault="00F53FC9" w:rsidP="00F53FC9">
      <w:pPr>
        <w:pStyle w:val="Caption"/>
      </w:pPr>
      <w:r>
        <w:rPr>
          <w:noProof/>
        </w:rPr>
        <w:drawing>
          <wp:inline distT="0" distB="0" distL="0" distR="0" wp14:anchorId="5B114D91" wp14:editId="41D9A950">
            <wp:extent cx="5156200" cy="321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nnel plot 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32A" w:rsidSect="000E6CA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CB817" w14:textId="77777777" w:rsidR="002462A3" w:rsidRDefault="002462A3" w:rsidP="00F53FC9">
      <w:r>
        <w:separator/>
      </w:r>
    </w:p>
  </w:endnote>
  <w:endnote w:type="continuationSeparator" w:id="0">
    <w:p w14:paraId="6865BBE3" w14:textId="77777777" w:rsidR="002462A3" w:rsidRDefault="002462A3" w:rsidP="00F5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FCCD3" w14:textId="77777777" w:rsidR="002462A3" w:rsidRDefault="002462A3" w:rsidP="00F53FC9">
      <w:r>
        <w:separator/>
      </w:r>
    </w:p>
  </w:footnote>
  <w:footnote w:type="continuationSeparator" w:id="0">
    <w:p w14:paraId="4FE77237" w14:textId="77777777" w:rsidR="002462A3" w:rsidRDefault="002462A3" w:rsidP="00F53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E34E4"/>
    <w:multiLevelType w:val="hybridMultilevel"/>
    <w:tmpl w:val="91C81C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27899"/>
    <w:multiLevelType w:val="hybridMultilevel"/>
    <w:tmpl w:val="96547F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7D"/>
    <w:rsid w:val="000E6CA9"/>
    <w:rsid w:val="002462A3"/>
    <w:rsid w:val="00420C4E"/>
    <w:rsid w:val="004A7A0A"/>
    <w:rsid w:val="004C507D"/>
    <w:rsid w:val="0051727D"/>
    <w:rsid w:val="0074232A"/>
    <w:rsid w:val="00A30B6B"/>
    <w:rsid w:val="00F5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4136D"/>
  <w15:chartTrackingRefBased/>
  <w15:docId w15:val="{B3DDB9CA-FC76-1C47-B5BD-F1A12CC1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3F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51727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51727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51727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F53FC9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3F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FC9"/>
  </w:style>
  <w:style w:type="paragraph" w:styleId="Footer">
    <w:name w:val="footer"/>
    <w:basedOn w:val="Normal"/>
    <w:link w:val="FooterChar"/>
    <w:uiPriority w:val="99"/>
    <w:unhideWhenUsed/>
    <w:rsid w:val="00F53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FC9"/>
  </w:style>
  <w:style w:type="character" w:customStyle="1" w:styleId="Heading1Char">
    <w:name w:val="Heading 1 Char"/>
    <w:basedOn w:val="DefaultParagraphFont"/>
    <w:link w:val="Heading1"/>
    <w:uiPriority w:val="9"/>
    <w:rsid w:val="00F53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53FC9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53FC9"/>
    <w:pPr>
      <w:tabs>
        <w:tab w:val="left" w:pos="480"/>
        <w:tab w:val="right" w:leader="dot" w:pos="9010"/>
      </w:tabs>
      <w:spacing w:before="12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F53FC9"/>
    <w:pPr>
      <w:spacing w:before="12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53FC9"/>
    <w:pPr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53FC9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53FC9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53FC9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53FC9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53FC9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53FC9"/>
    <w:pPr>
      <w:ind w:left="192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53F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53F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F53F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430BED-3D19-1E48-8922-A00ABB0E2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2024-10-25T15:26:00Z</dcterms:created>
  <dcterms:modified xsi:type="dcterms:W3CDTF">2024-11-05T13:02:00Z</dcterms:modified>
</cp:coreProperties>
</file>