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pageBreakBefore/>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pPr>
      <w:r>
        <w:rPr>
          <w:b/>
        </w:rPr>
        <w:t>Table S1.</w:t>
      </w:r>
      <w:r>
        <w:rPr/>
        <w:t xml:space="preserve"> Commands used for simulations in this study</w:t>
      </w:r>
    </w:p>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b/>
        </w:rPr>
      </w:pPr>
      <w:r>
        <w:rPr>
          <w:b/>
        </w:rPr>
      </w:r>
    </w:p>
    <w:tbl>
      <w:tblPr>
        <w:jc w:val="left"/>
        <w:tblInd w:w="-21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5" w:type="dxa"/>
          <w:bottom w:w="0" w:type="dxa"/>
          <w:right w:w="108" w:type="dxa"/>
        </w:tblCellMar>
      </w:tblPr>
      <w:tblGrid>
        <w:gridCol w:w="423"/>
        <w:gridCol w:w="9115"/>
      </w:tblGrid>
      <w:tr>
        <w:trPr>
          <w:cantSplit w:val="false"/>
        </w:trPr>
        <w:tc>
          <w:tcPr>
            <w:tcW w:w="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b/>
                <w:i/>
              </w:rPr>
            </w:pPr>
            <w:r>
              <w:rPr>
                <w:b/>
                <w:i/>
              </w:rPr>
              <w:t>a</w:t>
            </w:r>
          </w:p>
        </w:tc>
        <w:tc>
          <w:tcPr>
            <w:tcW w:w="91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cs="Courier" w:ascii="Courier" w:hAnsi="Courier"/>
                <w:sz w:val="20"/>
                <w:szCs w:val="20"/>
              </w:rPr>
            </w:pPr>
            <w:r>
              <w:rPr>
                <w:rFonts w:cs="Courier" w:ascii="Courier" w:hAnsi="Courier"/>
                <w:sz w:val="20"/>
                <w:szCs w:val="20"/>
              </w:rPr>
              <w:t>ms 150 100000 -t  0.180000 -I 3 50.000000 50.000000 50.000000 0 -en 0 1 0.5 -en 0 2 0.5 -en 0 3 1 -ej 0.050000 1 2  -ej 0.933333 3 2  -en 0.120000 2 0.010000  -en 0.133333 2 1.000000</w:t>
            </w:r>
          </w:p>
        </w:tc>
      </w:tr>
      <w:tr>
        <w:trPr>
          <w:trHeight w:val="224" w:hRule="atLeast"/>
          <w:cantSplit w:val="false"/>
        </w:trPr>
        <w:tc>
          <w:tcPr>
            <w:tcW w:w="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b/>
                <w:i/>
              </w:rPr>
            </w:pPr>
            <w:r>
              <w:rPr>
                <w:b/>
                <w:i/>
              </w:rPr>
              <w:t>b</w:t>
            </w:r>
          </w:p>
        </w:tc>
        <w:tc>
          <w:tcPr>
            <w:tcW w:w="91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keepNext/>
              <w:keepLines/>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200" w:after="0"/>
              <w:outlineLvl w:val="4"/>
              <w:rPr>
                <w:rFonts w:cs="Courier" w:ascii="Courier" w:hAnsi="Courier"/>
                <w:sz w:val="20"/>
                <w:szCs w:val="20"/>
              </w:rPr>
            </w:pPr>
            <w:r>
              <w:rPr>
                <w:rFonts w:cs="Courier" w:ascii="Courier" w:hAnsi="Courier"/>
                <w:sz w:val="20"/>
                <w:szCs w:val="20"/>
              </w:rPr>
              <w:t>ms 150 100000 -t  0.180000 -I 3 50.000000 50.000000 50.000000 0 -en 0 1 0.5 -en 0 2 0.5 -en 0 3 1 -ej 0.050000 1 2  -ej 0.933333 3 2  -en 0.120000 2 0.010000  -en 0.133333 2 1.000000  -em 0.05 2 3 0.87 -em 0.05 3 2 0.05</w:t>
            </w:r>
          </w:p>
        </w:tc>
      </w:tr>
      <w:tr>
        <w:trPr>
          <w:trHeight w:val="656" w:hRule="atLeast"/>
          <w:cantSplit w:val="false"/>
        </w:trPr>
        <w:tc>
          <w:tcPr>
            <w:tcW w:w="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b/>
                <w:i/>
              </w:rPr>
            </w:pPr>
            <w:r>
              <w:rPr>
                <w:b/>
                <w:i/>
              </w:rPr>
              <w:t>c</w:t>
            </w:r>
          </w:p>
        </w:tc>
        <w:tc>
          <w:tcPr>
            <w:tcW w:w="91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keepNext/>
              <w:keepLines/>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200" w:after="0"/>
              <w:outlineLvl w:val="4"/>
              <w:rPr>
                <w:rFonts w:cs="Courier" w:ascii="Courier" w:hAnsi="Courier"/>
                <w:sz w:val="20"/>
                <w:szCs w:val="20"/>
              </w:rPr>
            </w:pPr>
            <w:r>
              <w:rPr>
                <w:rFonts w:cs="Courier" w:ascii="Courier" w:hAnsi="Courier"/>
                <w:sz w:val="20"/>
                <w:szCs w:val="20"/>
              </w:rPr>
              <w:t xml:space="preserve">ms 150 100000 -t  0.180000 -I 3 50.000000 50.000000 50.000000 0 -en 0 1 0.5 -en 0 2 0.5 -en 0 3 1 -ej 0.050000 1 2  -ej 0.933333 3 2  -en 0.120000 2 0.010000  -en 0.133333 2 1.000000 -em 0 2 3 8 -em 0.05 2 3 0.87 -em 0.05 3 2 0.05 </w:t>
            </w:r>
          </w:p>
        </w:tc>
      </w:tr>
      <w:tr>
        <w:trPr>
          <w:trHeight w:val="656" w:hRule="atLeast"/>
          <w:cantSplit w:val="false"/>
        </w:trPr>
        <w:tc>
          <w:tcPr>
            <w:tcW w:w="42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b/>
                <w:i/>
              </w:rPr>
            </w:pPr>
            <w:r>
              <w:rPr>
                <w:b/>
                <w:i/>
              </w:rPr>
            </w:r>
          </w:p>
        </w:tc>
        <w:tc>
          <w:tcPr>
            <w:tcW w:w="91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keepNext/>
              <w:keepLines/>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200" w:after="0"/>
              <w:outlineLvl w:val="4"/>
              <w:rPr>
                <w:b/>
              </w:rPr>
            </w:pPr>
            <w:r>
              <w:rPr>
                <w:b/>
              </w:rPr>
            </w:r>
          </w:p>
        </w:tc>
      </w:tr>
    </w:tbl>
    <w:p>
      <w:pPr>
        <w:pStyle w:val="Normal"/>
        <w:tabs>
          <w:tab w:val="left" w:pos="3920" w:leader="none"/>
        </w:tabs>
        <w:rPr/>
      </w:pPr>
      <w:r>
        <w:rPr/>
      </w:r>
    </w:p>
    <w:p>
      <w:pPr>
        <w:pStyle w:val="Normal"/>
        <w:pageBreakBefore/>
        <w:tabs>
          <w:tab w:val="left" w:pos="3920" w:leader="none"/>
        </w:tabs>
        <w:rPr/>
      </w:pPr>
      <w:r>
        <w:rPr>
          <w:b/>
        </w:rPr>
        <w:t xml:space="preserve">Table S2. </w:t>
      </w:r>
      <w:r>
        <w:rPr/>
        <w:t>Counts of polymorphic sites within, and shared among, geographic regions for the simulation replicate shown in Figure 3.</w:t>
      </w:r>
    </w:p>
    <w:p>
      <w:pPr>
        <w:pStyle w:val="Normal"/>
        <w:tabs>
          <w:tab w:val="left" w:pos="3920" w:leader="none"/>
        </w:tabs>
        <w:rPr>
          <w:b/>
        </w:rPr>
      </w:pPr>
      <w:r>
        <w:rPr>
          <w:b/>
        </w:rPr>
      </w:r>
    </w:p>
    <w:tbl>
      <w:tblPr>
        <w:jc w:val="left"/>
        <w:tblInd w:w="-217" w:type="dxa"/>
        <w:tblBorders>
          <w:top w:val="single" w:sz="4" w:space="0" w:color="00000A"/>
          <w:left w:val="single" w:sz="4" w:space="0" w:color="00000A"/>
          <w:bottom w:val="single" w:sz="4" w:space="0" w:color="00000A"/>
          <w:insideH w:val="single" w:sz="4" w:space="0" w:color="00000A"/>
          <w:right w:val="nil"/>
          <w:insideV w:val="nil"/>
        </w:tblBorders>
        <w:tblCellMar>
          <w:top w:w="0" w:type="dxa"/>
          <w:left w:w="-5" w:type="dxa"/>
          <w:bottom w:w="0" w:type="dxa"/>
          <w:right w:w="108" w:type="dxa"/>
        </w:tblCellMar>
      </w:tblPr>
      <w:tblGrid>
        <w:gridCol w:w="1160"/>
        <w:gridCol w:w="1258"/>
        <w:gridCol w:w="885"/>
        <w:gridCol w:w="898"/>
        <w:gridCol w:w="795"/>
        <w:gridCol w:w="1027"/>
        <w:gridCol w:w="1038"/>
        <w:gridCol w:w="1000"/>
        <w:gridCol w:w="1214"/>
      </w:tblGrid>
      <w:tr>
        <w:trPr>
          <w:trHeight w:val="300" w:hRule="atLeast"/>
          <w:cantSplit w:val="false"/>
        </w:trPr>
        <w:tc>
          <w:tcPr>
            <w:tcW w:w="1160" w:type="dxa"/>
            <w:vMerge w:val="restart"/>
            <w:tcBorders>
              <w:top w:val="single" w:sz="4" w:space="0" w:color="00000A"/>
              <w:left w:val="single" w:sz="4" w:space="0" w:color="00000A"/>
              <w:bottom w:val="single" w:sz="4" w:space="0" w:color="00000A"/>
              <w:insideH w:val="single" w:sz="4" w:space="0" w:color="00000A"/>
              <w:right w:val="nil"/>
              <w:insideV w:val="nil"/>
            </w:tcBorders>
            <w:shd w:fill="FFFFFF" w:val="clear"/>
            <w:tcMar>
              <w:left w:w="-5" w:type="dxa"/>
            </w:tcMar>
          </w:tcPr>
          <w:p>
            <w:pPr>
              <w:pStyle w:val="Normal"/>
              <w:jc w:val="center"/>
              <w:rPr>
                <w:b/>
                <w:bCs/>
              </w:rPr>
            </w:pPr>
            <w:r>
              <w:rPr>
                <w:b/>
                <w:bCs/>
              </w:rPr>
            </w:r>
          </w:p>
          <w:p>
            <w:pPr>
              <w:pStyle w:val="Normal"/>
              <w:jc w:val="center"/>
              <w:rPr>
                <w:rFonts w:eastAsia="Times New Roman"/>
                <w:b/>
                <w:bCs/>
                <w:color w:val="000000"/>
              </w:rPr>
            </w:pPr>
            <w:r>
              <w:rPr>
                <w:rFonts w:eastAsia="Times New Roman"/>
                <w:b/>
                <w:bCs/>
                <w:color w:val="000000"/>
              </w:rPr>
              <w:t xml:space="preserve"> </w:t>
            </w:r>
            <w:r>
              <w:rPr>
                <w:rFonts w:eastAsia="Times New Roman"/>
                <w:b/>
                <w:bCs/>
                <w:color w:val="000000"/>
              </w:rPr>
              <w:t>Data set</w:t>
            </w:r>
          </w:p>
        </w:tc>
        <w:tc>
          <w:tcPr>
            <w:tcW w:w="1258"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b/>
                <w:bCs/>
              </w:rPr>
            </w:pPr>
            <w:r>
              <w:rPr>
                <w:b/>
                <w:bCs/>
              </w:rPr>
            </w:r>
          </w:p>
          <w:p>
            <w:pPr>
              <w:pStyle w:val="Normal"/>
              <w:jc w:val="center"/>
              <w:rPr>
                <w:b/>
                <w:bCs/>
              </w:rPr>
            </w:pPr>
            <w:r>
              <w:rPr>
                <w:b/>
                <w:bCs/>
              </w:rPr>
              <w:t>Sampling</w:t>
            </w:r>
          </w:p>
          <w:p>
            <w:pPr>
              <w:pStyle w:val="Normal"/>
              <w:jc w:val="center"/>
              <w:rPr>
                <w:b/>
                <w:bCs/>
              </w:rPr>
            </w:pPr>
            <w:r>
              <w:rPr>
                <w:b/>
                <w:bCs/>
              </w:rPr>
              <w:t>scheme</w:t>
            </w:r>
          </w:p>
        </w:tc>
        <w:tc>
          <w:tcPr>
            <w:tcW w:w="6857" w:type="dxa"/>
            <w:gridSpan w:val="7"/>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Geographic regions</w:t>
            </w:r>
          </w:p>
        </w:tc>
      </w:tr>
      <w:tr>
        <w:trPr>
          <w:trHeight w:val="300" w:hRule="atLeast"/>
          <w:cantSplit w:val="false"/>
        </w:trPr>
        <w:tc>
          <w:tcPr>
            <w:tcW w:w="1160" w:type="dxa"/>
            <w:vMerge w:val="continue"/>
            <w:tcBorders>
              <w:top w:val="single" w:sz="4" w:space="0" w:color="00000A"/>
              <w:left w:val="single" w:sz="4" w:space="0" w:color="00000A"/>
              <w:bottom w:val="single" w:sz="4" w:space="0" w:color="00000A"/>
              <w:insideH w:val="single" w:sz="4" w:space="0" w:color="00000A"/>
              <w:right w:val="nil"/>
              <w:insideV w:val="nil"/>
            </w:tcBorders>
            <w:shd w:fill="FFFFFF" w:val="clear"/>
            <w:tcMar>
              <w:left w:w="-5" w:type="dxa"/>
            </w:tcMar>
          </w:tcPr>
          <w:p>
            <w:pPr>
              <w:pStyle w:val="Normal"/>
              <w:jc w:val="center"/>
              <w:rPr/>
            </w:pPr>
            <w:r>
              <w:rPr/>
            </w:r>
          </w:p>
        </w:tc>
        <w:tc>
          <w:tcPr>
            <w:tcW w:w="1258"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pPr>
            <w:r>
              <w:rPr/>
            </w:r>
          </w:p>
        </w:tc>
        <w:tc>
          <w:tcPr>
            <w:tcW w:w="885"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Europe</w:t>
            </w:r>
          </w:p>
        </w:tc>
        <w:tc>
          <w:tcPr>
            <w:tcW w:w="89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Africa</w:t>
            </w:r>
          </w:p>
        </w:tc>
        <w:tc>
          <w:tcPr>
            <w:tcW w:w="795"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India</w:t>
            </w:r>
          </w:p>
        </w:tc>
        <w:tc>
          <w:tcPr>
            <w:tcW w:w="1027"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Europe and Africa</w:t>
            </w:r>
          </w:p>
        </w:tc>
        <w:tc>
          <w:tcPr>
            <w:tcW w:w="103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Europe</w:t>
            </w:r>
          </w:p>
          <w:p>
            <w:pPr>
              <w:pStyle w:val="Normal"/>
              <w:jc w:val="center"/>
              <w:rPr>
                <w:rFonts w:eastAsia="Times New Roman"/>
                <w:b/>
                <w:bCs/>
                <w:color w:val="000000"/>
              </w:rPr>
            </w:pPr>
            <w:r>
              <w:rPr>
                <w:rFonts w:eastAsia="Times New Roman"/>
                <w:b/>
                <w:bCs/>
                <w:color w:val="000000"/>
              </w:rPr>
              <w:t xml:space="preserve">and </w:t>
            </w:r>
          </w:p>
          <w:p>
            <w:pPr>
              <w:pStyle w:val="Normal"/>
              <w:jc w:val="center"/>
              <w:rPr>
                <w:rFonts w:eastAsia="Times New Roman"/>
                <w:b/>
                <w:bCs/>
                <w:color w:val="000000"/>
              </w:rPr>
            </w:pPr>
            <w:r>
              <w:rPr>
                <w:rFonts w:eastAsia="Times New Roman"/>
                <w:b/>
                <w:bCs/>
                <w:color w:val="000000"/>
              </w:rPr>
              <w:t>India</w:t>
            </w:r>
          </w:p>
        </w:tc>
        <w:tc>
          <w:tcPr>
            <w:tcW w:w="1000"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Africa and</w:t>
            </w:r>
          </w:p>
          <w:p>
            <w:pPr>
              <w:pStyle w:val="Normal"/>
              <w:jc w:val="center"/>
              <w:rPr>
                <w:rFonts w:eastAsia="Times New Roman"/>
                <w:b/>
                <w:bCs/>
                <w:color w:val="000000"/>
              </w:rPr>
            </w:pPr>
            <w:r>
              <w:rPr>
                <w:rFonts w:eastAsia="Times New Roman"/>
                <w:b/>
                <w:bCs/>
                <w:color w:val="000000"/>
              </w:rPr>
              <w:t>India</w:t>
            </w:r>
          </w:p>
        </w:tc>
        <w:tc>
          <w:tcPr>
            <w:tcW w:w="1214"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Europe, Africa, and</w:t>
            </w:r>
          </w:p>
          <w:p>
            <w:pPr>
              <w:pStyle w:val="Normal"/>
              <w:jc w:val="center"/>
              <w:rPr>
                <w:rFonts w:eastAsia="Times New Roman"/>
                <w:b/>
                <w:bCs/>
                <w:color w:val="000000"/>
              </w:rPr>
            </w:pPr>
            <w:r>
              <w:rPr>
                <w:rFonts w:eastAsia="Times New Roman"/>
                <w:b/>
                <w:bCs/>
                <w:color w:val="000000"/>
              </w:rPr>
              <w:t>India</w:t>
            </w:r>
          </w:p>
        </w:tc>
      </w:tr>
      <w:tr>
        <w:trPr>
          <w:trHeight w:val="300" w:hRule="atLeast"/>
          <w:cantSplit w:val="false"/>
        </w:trPr>
        <w:tc>
          <w:tcPr>
            <w:tcW w:w="1160"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Empirical data</w:t>
            </w:r>
          </w:p>
          <w:p>
            <w:pPr>
              <w:pStyle w:val="Normal"/>
              <w:jc w:val="center"/>
              <w:rPr/>
            </w:pPr>
            <w:r>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 xml:space="preserve">All </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6325</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1452</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1373</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9540</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2873</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2463</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17046</w:t>
            </w:r>
          </w:p>
        </w:tc>
      </w:tr>
      <w:tr>
        <w:trPr>
          <w:trHeight w:val="300" w:hRule="atLeast"/>
          <w:cantSplit w:val="false"/>
        </w:trPr>
        <w:tc>
          <w:tcPr>
            <w:tcW w:w="1160"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pPr>
            <w:r>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Random</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139</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25</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27</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203</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56</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42</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377</w:t>
            </w:r>
          </w:p>
        </w:tc>
      </w:tr>
      <w:tr>
        <w:trPr>
          <w:trHeight w:val="300" w:hRule="atLeast"/>
          <w:cantSplit w:val="false"/>
        </w:trPr>
        <w:tc>
          <w:tcPr>
            <w:tcW w:w="1160"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center"/>
              <w:rPr>
                <w:b/>
                <w:bCs/>
                <w:i/>
                <w:iCs/>
              </w:rPr>
            </w:pPr>
            <w:r>
              <w:rPr>
                <w:b/>
                <w:bCs/>
                <w:i/>
                <w:iCs/>
              </w:rPr>
            </w:r>
          </w:p>
          <w:p>
            <w:pPr>
              <w:pStyle w:val="Normal"/>
              <w:jc w:val="center"/>
              <w:rPr>
                <w:b/>
                <w:bCs/>
                <w:i/>
                <w:iCs/>
              </w:rPr>
            </w:pPr>
            <w:r>
              <w:rPr>
                <w:b/>
                <w:bCs/>
                <w:i/>
                <w:iCs/>
              </w:rPr>
            </w:r>
          </w:p>
          <w:p>
            <w:pPr>
              <w:pStyle w:val="Normal"/>
              <w:jc w:val="center"/>
              <w:rPr>
                <w:rFonts w:eastAsia="Times New Roman"/>
                <w:b/>
                <w:bCs/>
                <w:i/>
                <w:iCs/>
                <w:color w:val="000000"/>
              </w:rPr>
            </w:pPr>
            <w:r>
              <w:rPr>
                <w:rFonts w:eastAsia="Times New Roman"/>
                <w:b/>
                <w:bCs/>
                <w:i/>
                <w:iCs/>
                <w:color w:val="000000"/>
              </w:rPr>
              <w:t>a</w:t>
            </w:r>
          </w:p>
          <w:p>
            <w:pPr>
              <w:pStyle w:val="Normal"/>
              <w:jc w:val="center"/>
              <w:rPr>
                <w:i/>
                <w:iCs/>
              </w:rPr>
            </w:pPr>
            <w:r>
              <w:rPr>
                <w:i/>
                <w:iCs/>
              </w:rPr>
            </w:r>
          </w:p>
          <w:p>
            <w:pPr>
              <w:pStyle w:val="Normal"/>
              <w:jc w:val="center"/>
              <w:rPr>
                <w:i/>
                <w:iCs/>
              </w:rPr>
            </w:pPr>
            <w:r>
              <w:rPr>
                <w:i/>
                <w:iCs/>
              </w:rPr>
            </w:r>
          </w:p>
          <w:p>
            <w:pPr>
              <w:pStyle w:val="Normal"/>
              <w:jc w:val="center"/>
              <w:rPr>
                <w:i/>
                <w:iCs/>
              </w:rPr>
            </w:pPr>
            <w:r>
              <w:rPr>
                <w:i/>
                <w:iCs/>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center"/>
              <w:rPr>
                <w:rFonts w:eastAsia="Times New Roman"/>
                <w:b/>
                <w:bCs/>
                <w:color w:val="000000"/>
              </w:rPr>
            </w:pPr>
            <w:r>
              <w:rPr>
                <w:rFonts w:eastAsia="Times New Roman"/>
                <w:b/>
                <w:bCs/>
                <w:color w:val="000000"/>
              </w:rPr>
              <w:t>All</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3848</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3991</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18573</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1394</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1</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3</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12</w:t>
            </w:r>
          </w:p>
        </w:tc>
      </w:tr>
      <w:tr>
        <w:trPr>
          <w:trHeight w:val="300" w:hRule="atLeast"/>
          <w:cantSplit w:val="false"/>
        </w:trPr>
        <w:tc>
          <w:tcPr>
            <w:tcW w:w="1160"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center"/>
              <w:rPr>
                <w:i/>
                <w:iCs/>
              </w:rPr>
            </w:pPr>
            <w:r>
              <w:rPr>
                <w:i/>
                <w:iCs/>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center"/>
              <w:rPr>
                <w:rFonts w:eastAsia="Times New Roman"/>
                <w:b/>
                <w:bCs/>
                <w:color w:val="000000"/>
              </w:rPr>
            </w:pPr>
            <w:r>
              <w:rPr>
                <w:rFonts w:eastAsia="Times New Roman"/>
                <w:b/>
                <w:bCs/>
                <w:color w:val="000000"/>
              </w:rPr>
              <w:t>I</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84</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90</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364</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26</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0</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0</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0</w:t>
            </w:r>
          </w:p>
        </w:tc>
      </w:tr>
      <w:tr>
        <w:trPr>
          <w:trHeight w:val="300" w:hRule="atLeast"/>
          <w:cantSplit w:val="false"/>
        </w:trPr>
        <w:tc>
          <w:tcPr>
            <w:tcW w:w="1160"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center"/>
              <w:rPr>
                <w:i/>
                <w:iCs/>
              </w:rPr>
            </w:pPr>
            <w:r>
              <w:rPr>
                <w:i/>
                <w:iCs/>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center"/>
              <w:rPr>
                <w:rFonts w:eastAsia="Times New Roman"/>
                <w:b/>
                <w:bCs/>
                <w:color w:val="000000"/>
              </w:rPr>
            </w:pPr>
            <w:r>
              <w:rPr>
                <w:rFonts w:eastAsia="Times New Roman"/>
                <w:b/>
                <w:bCs/>
                <w:color w:val="000000"/>
              </w:rPr>
              <w:t>II</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585</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13</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77</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236</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0</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0</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2</w:t>
            </w:r>
          </w:p>
        </w:tc>
      </w:tr>
      <w:tr>
        <w:trPr>
          <w:trHeight w:val="300" w:hRule="atLeast"/>
          <w:cantSplit w:val="false"/>
        </w:trPr>
        <w:tc>
          <w:tcPr>
            <w:tcW w:w="1160"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center"/>
              <w:rPr>
                <w:i/>
                <w:iCs/>
              </w:rPr>
            </w:pPr>
            <w:r>
              <w:rPr>
                <w:i/>
                <w:iCs/>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center"/>
              <w:rPr>
                <w:rFonts w:eastAsia="Times New Roman"/>
                <w:b/>
                <w:bCs/>
                <w:color w:val="000000"/>
              </w:rPr>
            </w:pPr>
            <w:r>
              <w:rPr>
                <w:rFonts w:eastAsia="Times New Roman"/>
                <w:b/>
                <w:bCs/>
                <w:color w:val="000000"/>
              </w:rPr>
              <w:t>III</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16</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15</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83</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775</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0</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1</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top w:w="55" w:type="dxa"/>
              <w:bottom w:w="55" w:type="dxa"/>
              <w:right w:w="55" w:type="dxa"/>
            </w:tcMar>
          </w:tcPr>
          <w:p>
            <w:pPr>
              <w:pStyle w:val="Normal"/>
              <w:jc w:val="right"/>
              <w:rPr>
                <w:rFonts w:eastAsia="Times New Roman"/>
                <w:color w:val="000000"/>
              </w:rPr>
            </w:pPr>
            <w:r>
              <w:rPr>
                <w:rFonts w:eastAsia="Times New Roman"/>
                <w:color w:val="000000"/>
              </w:rPr>
              <w:t>28</w:t>
            </w:r>
          </w:p>
        </w:tc>
      </w:tr>
      <w:tr>
        <w:trPr>
          <w:trHeight w:val="300" w:hRule="atLeast"/>
          <w:cantSplit w:val="false"/>
        </w:trPr>
        <w:tc>
          <w:tcPr>
            <w:tcW w:w="1160"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b/>
                <w:bCs/>
                <w:i/>
                <w:iCs/>
              </w:rPr>
            </w:pPr>
            <w:r>
              <w:rPr>
                <w:b/>
                <w:bCs/>
                <w:i/>
                <w:iCs/>
              </w:rPr>
            </w:r>
          </w:p>
          <w:p>
            <w:pPr>
              <w:pStyle w:val="Normal"/>
              <w:jc w:val="center"/>
              <w:rPr>
                <w:b/>
                <w:bCs/>
                <w:i/>
                <w:iCs/>
              </w:rPr>
            </w:pPr>
            <w:r>
              <w:rPr>
                <w:b/>
                <w:bCs/>
                <w:i/>
                <w:iCs/>
              </w:rPr>
            </w:r>
          </w:p>
          <w:p>
            <w:pPr>
              <w:pStyle w:val="Normal"/>
              <w:jc w:val="center"/>
              <w:rPr>
                <w:rFonts w:eastAsia="Times New Roman"/>
                <w:b/>
                <w:bCs/>
                <w:i/>
                <w:iCs/>
                <w:color w:val="000000"/>
              </w:rPr>
            </w:pPr>
            <w:r>
              <w:rPr>
                <w:rFonts w:eastAsia="Times New Roman"/>
                <w:b/>
                <w:bCs/>
                <w:i/>
                <w:iCs/>
                <w:color w:val="000000"/>
              </w:rPr>
              <w:t>b</w:t>
            </w:r>
          </w:p>
          <w:p>
            <w:pPr>
              <w:pStyle w:val="Normal"/>
              <w:jc w:val="center"/>
              <w:rPr>
                <w:i/>
                <w:iCs/>
              </w:rPr>
            </w:pPr>
            <w:r>
              <w:rPr>
                <w:i/>
                <w:iCs/>
              </w:rPr>
            </w:r>
          </w:p>
          <w:p>
            <w:pPr>
              <w:pStyle w:val="Normal"/>
              <w:jc w:val="center"/>
              <w:rPr>
                <w:i/>
                <w:iCs/>
              </w:rPr>
            </w:pPr>
            <w:r>
              <w:rPr>
                <w:i/>
                <w:iCs/>
              </w:rPr>
            </w:r>
          </w:p>
          <w:p>
            <w:pPr>
              <w:pStyle w:val="Normal"/>
              <w:jc w:val="center"/>
              <w:rPr>
                <w:i/>
                <w:iCs/>
              </w:rPr>
            </w:pPr>
            <w:r>
              <w:rPr>
                <w:i/>
                <w:iCs/>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All</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4958</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4964</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17840</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2592</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691</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695</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871</w:t>
            </w:r>
          </w:p>
        </w:tc>
      </w:tr>
      <w:tr>
        <w:trPr>
          <w:trHeight w:val="300" w:hRule="atLeast"/>
          <w:cantSplit w:val="false"/>
        </w:trPr>
        <w:tc>
          <w:tcPr>
            <w:tcW w:w="1160"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i/>
                <w:iCs/>
              </w:rPr>
            </w:pPr>
            <w:r>
              <w:rPr>
                <w:i/>
                <w:iCs/>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I</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102</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96</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394</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61</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21</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20</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23</w:t>
            </w:r>
          </w:p>
        </w:tc>
      </w:tr>
      <w:tr>
        <w:trPr>
          <w:trHeight w:val="300" w:hRule="atLeast"/>
          <w:cantSplit w:val="false"/>
        </w:trPr>
        <w:tc>
          <w:tcPr>
            <w:tcW w:w="1160"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i/>
                <w:iCs/>
              </w:rPr>
            </w:pPr>
            <w:r>
              <w:rPr>
                <w:i/>
                <w:iCs/>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II</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449</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26</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83</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244</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60</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84</w:t>
            </w:r>
          </w:p>
        </w:tc>
      </w:tr>
      <w:tr>
        <w:trPr>
          <w:trHeight w:val="300" w:hRule="atLeast"/>
          <w:cantSplit w:val="false"/>
        </w:trPr>
        <w:tc>
          <w:tcPr>
            <w:tcW w:w="1160"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i/>
                <w:iCs/>
              </w:rPr>
            </w:pPr>
            <w:r>
              <w:rPr>
                <w:i/>
                <w:iCs/>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III</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18</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23</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77</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272</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81</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77</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391</w:t>
            </w:r>
          </w:p>
        </w:tc>
      </w:tr>
      <w:tr>
        <w:trPr>
          <w:trHeight w:val="300" w:hRule="atLeast"/>
          <w:cantSplit w:val="false"/>
        </w:trPr>
        <w:tc>
          <w:tcPr>
            <w:tcW w:w="1160" w:type="dxa"/>
            <w:vMerge w:val="restart"/>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b/>
                <w:bCs/>
                <w:i/>
                <w:iCs/>
              </w:rPr>
            </w:pPr>
            <w:r>
              <w:rPr>
                <w:b/>
                <w:bCs/>
                <w:i/>
                <w:iCs/>
              </w:rPr>
            </w:r>
          </w:p>
          <w:p>
            <w:pPr>
              <w:pStyle w:val="Normal"/>
              <w:jc w:val="center"/>
              <w:rPr>
                <w:b/>
                <w:bCs/>
                <w:i/>
                <w:iCs/>
              </w:rPr>
            </w:pPr>
            <w:r>
              <w:rPr>
                <w:b/>
                <w:bCs/>
                <w:i/>
                <w:iCs/>
              </w:rPr>
            </w:r>
          </w:p>
          <w:p>
            <w:pPr>
              <w:pStyle w:val="Normal"/>
              <w:jc w:val="center"/>
              <w:rPr>
                <w:rFonts w:eastAsia="Times New Roman"/>
                <w:b/>
                <w:bCs/>
                <w:i/>
                <w:iCs/>
                <w:color w:val="000000"/>
              </w:rPr>
            </w:pPr>
            <w:r>
              <w:rPr>
                <w:rFonts w:eastAsia="Times New Roman"/>
                <w:b/>
                <w:bCs/>
                <w:i/>
                <w:iCs/>
                <w:color w:val="000000"/>
              </w:rPr>
              <w:t>c</w:t>
            </w:r>
          </w:p>
          <w:p>
            <w:pPr>
              <w:pStyle w:val="Normal"/>
              <w:jc w:val="center"/>
              <w:rPr>
                <w:i/>
                <w:iCs/>
              </w:rPr>
            </w:pPr>
            <w:r>
              <w:rPr>
                <w:i/>
                <w:iCs/>
              </w:rPr>
            </w:r>
          </w:p>
          <w:p>
            <w:pPr>
              <w:pStyle w:val="Normal"/>
              <w:jc w:val="center"/>
              <w:rPr>
                <w:i/>
                <w:iCs/>
              </w:rPr>
            </w:pPr>
            <w:r>
              <w:rPr>
                <w:i/>
                <w:iCs/>
              </w:rPr>
            </w:r>
          </w:p>
          <w:p>
            <w:pPr>
              <w:pStyle w:val="Normal"/>
              <w:jc w:val="center"/>
              <w:rPr>
                <w:i/>
                <w:iCs/>
              </w:rPr>
            </w:pPr>
            <w:r>
              <w:rPr>
                <w:i/>
                <w:iCs/>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All</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4272</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9294</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9278</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3240</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142</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9070</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1339</w:t>
            </w:r>
          </w:p>
        </w:tc>
      </w:tr>
      <w:tr>
        <w:trPr>
          <w:trHeight w:val="300" w:hRule="atLeast"/>
          <w:cantSplit w:val="false"/>
        </w:trPr>
        <w:tc>
          <w:tcPr>
            <w:tcW w:w="1160"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pPr>
            <w:r>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I</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98</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200</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193</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62</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4</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185</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38</w:t>
            </w:r>
          </w:p>
        </w:tc>
      </w:tr>
      <w:tr>
        <w:trPr>
          <w:trHeight w:val="300" w:hRule="atLeast"/>
          <w:cantSplit w:val="false"/>
        </w:trPr>
        <w:tc>
          <w:tcPr>
            <w:tcW w:w="1160"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pPr>
            <w:r>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II</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395</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46</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42</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307</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10</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28</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130</w:t>
            </w:r>
          </w:p>
        </w:tc>
      </w:tr>
      <w:tr>
        <w:trPr>
          <w:trHeight w:val="300" w:hRule="atLeast"/>
          <w:cantSplit w:val="false"/>
        </w:trPr>
        <w:tc>
          <w:tcPr>
            <w:tcW w:w="1160" w:type="dxa"/>
            <w:vMerge w:val="continue"/>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pPr>
            <w:r>
              <w:rPr/>
            </w:r>
          </w:p>
        </w:tc>
        <w:tc>
          <w:tcPr>
            <w:tcW w:w="125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III</w:t>
            </w:r>
          </w:p>
        </w:tc>
        <w:tc>
          <w:tcPr>
            <w:tcW w:w="8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17</w:t>
            </w:r>
          </w:p>
        </w:tc>
        <w:tc>
          <w:tcPr>
            <w:tcW w:w="89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39</w:t>
            </w:r>
          </w:p>
        </w:tc>
        <w:tc>
          <w:tcPr>
            <w:tcW w:w="79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34</w:t>
            </w:r>
          </w:p>
        </w:tc>
        <w:tc>
          <w:tcPr>
            <w:tcW w:w="102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152</w:t>
            </w:r>
          </w:p>
        </w:tc>
        <w:tc>
          <w:tcPr>
            <w:tcW w:w="1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10</w:t>
            </w:r>
          </w:p>
        </w:tc>
        <w:tc>
          <w:tcPr>
            <w:tcW w:w="10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439</w:t>
            </w:r>
          </w:p>
        </w:tc>
        <w:tc>
          <w:tcPr>
            <w:tcW w:w="12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25</w:t>
            </w:r>
          </w:p>
        </w:tc>
      </w:tr>
    </w:tbl>
    <w:p>
      <w:pPr>
        <w:pStyle w:val="Normal"/>
        <w:suppressAutoHyphens w:val="false"/>
        <w:rPr/>
      </w:pPr>
      <w:r>
        <w:rPr/>
      </w:r>
    </w:p>
    <w:p>
      <w:pPr>
        <w:pStyle w:val="Normal"/>
        <w:pageBreakBefore/>
        <w:suppressAutoHyphens w:val="false"/>
        <w:rPr/>
      </w:pPr>
      <w:r>
        <w:rPr/>
      </w:r>
    </w:p>
    <w:p>
      <w:pPr>
        <w:pStyle w:val="Normal"/>
        <w:suppressAutoHyphens w:val="false"/>
        <w:rPr/>
      </w:pPr>
      <w:r>
        <w:rPr>
          <w:b/>
        </w:rPr>
        <w:t xml:space="preserve">Table S3. </w:t>
      </w:r>
      <w:r>
        <w:rPr/>
        <w:t xml:space="preserve">Mean deviation from empirical data of simulated polymorphism counts ± standard deviation across five replicates, presented within, and shared among, geographic regions. The summed absolute values of deviations across all seven categories are also presented. Results are presented for nine simulation conditions (three migration scenarios: </w:t>
      </w:r>
      <w:r>
        <w:rPr>
          <w:i/>
        </w:rPr>
        <w:t>a</w:t>
      </w:r>
      <w:r>
        <w:rPr/>
        <w:t xml:space="preserve">, </w:t>
      </w:r>
      <w:r>
        <w:rPr>
          <w:i/>
        </w:rPr>
        <w:t>b</w:t>
      </w:r>
      <w:r>
        <w:rPr/>
        <w:t xml:space="preserve">, and </w:t>
      </w:r>
      <w:r>
        <w:rPr>
          <w:i/>
        </w:rPr>
        <w:t>c</w:t>
      </w:r>
      <w:r>
        <w:rPr/>
        <w:t xml:space="preserve">; and three ascertainment schemes: I, II, and III; see text for details). The smallest sum of absolute deviations (combination </w:t>
      </w:r>
      <w:r>
        <w:rPr>
          <w:i/>
        </w:rPr>
        <w:t>b</w:t>
      </w:r>
      <w:r>
        <w:rPr/>
        <w:t xml:space="preserve">-III) is shown in bold. </w:t>
      </w:r>
    </w:p>
    <w:p>
      <w:pPr>
        <w:pStyle w:val="Normal"/>
        <w:suppressAutoHyphens w:val="false"/>
        <w:rPr>
          <w:b/>
        </w:rPr>
      </w:pPr>
      <w:r>
        <w:rPr>
          <w:b/>
        </w:rPr>
      </w:r>
    </w:p>
    <w:tbl>
      <w:tblPr>
        <w:jc w:val="left"/>
        <w:tblInd w:w="-39" w:type="dxa"/>
        <w:tblBorders>
          <w:top w:val="single" w:sz="2" w:space="0" w:color="000001"/>
          <w:left w:val="single" w:sz="2" w:space="0" w:color="000001"/>
          <w:bottom w:val="single" w:sz="2" w:space="0" w:color="000001"/>
          <w:insideH w:val="single" w:sz="2" w:space="0" w:color="000001"/>
          <w:right w:val="nil"/>
          <w:insideV w:val="nil"/>
        </w:tblBorders>
        <w:tblCellMar>
          <w:top w:w="55" w:type="dxa"/>
          <w:left w:w="-2" w:type="dxa"/>
          <w:bottom w:w="55" w:type="dxa"/>
          <w:right w:w="55" w:type="dxa"/>
        </w:tblCellMar>
      </w:tblPr>
      <w:tblGrid>
        <w:gridCol w:w="529"/>
        <w:gridCol w:w="1154"/>
        <w:gridCol w:w="1162"/>
        <w:gridCol w:w="943"/>
        <w:gridCol w:w="943"/>
        <w:gridCol w:w="946"/>
        <w:gridCol w:w="1035"/>
        <w:gridCol w:w="959"/>
        <w:gridCol w:w="963"/>
        <w:gridCol w:w="1506"/>
      </w:tblGrid>
      <w:tr>
        <w:trPr>
          <w:trHeight w:val="256" w:hRule="atLeast"/>
          <w:cantSplit w:val="false"/>
        </w:trPr>
        <w:tc>
          <w:tcPr>
            <w:tcW w:w="529" w:type="dxa"/>
            <w:vMerge w:val="restart"/>
            <w:tcBorders>
              <w:top w:val="single" w:sz="2" w:space="0" w:color="000001"/>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t>Data Set</w:t>
            </w:r>
          </w:p>
        </w:tc>
        <w:tc>
          <w:tcPr>
            <w:tcW w:w="1154" w:type="dxa"/>
            <w:vMerge w:val="restart"/>
            <w:tcBorders>
              <w:top w:val="single" w:sz="2" w:space="0" w:color="000001"/>
              <w:left w:val="nil"/>
              <w:bottom w:val="single" w:sz="2" w:space="0" w:color="000001"/>
              <w:insideH w:val="single" w:sz="2" w:space="0" w:color="000001"/>
              <w:right w:val="nil"/>
              <w:insideV w:val="nil"/>
            </w:tcBorders>
            <w:shd w:fill="FFFFFF" w:val="clear"/>
            <w:tcMar>
              <w:left w:w="56" w:type="dxa"/>
            </w:tcMar>
            <w:vAlign w:val="bottom"/>
          </w:tcPr>
          <w:p>
            <w:pPr>
              <w:pStyle w:val="Normal"/>
              <w:jc w:val="center"/>
              <w:rPr>
                <w:b/>
                <w:bCs/>
                <w:sz w:val="20"/>
                <w:szCs w:val="20"/>
              </w:rPr>
            </w:pPr>
            <w:r>
              <w:rPr>
                <w:b/>
                <w:bCs/>
                <w:sz w:val="20"/>
                <w:szCs w:val="20"/>
              </w:rPr>
              <w:t>Sampling scheme</w:t>
            </w:r>
          </w:p>
        </w:tc>
        <w:tc>
          <w:tcPr>
            <w:tcW w:w="1162" w:type="dxa"/>
            <w:vMerge w:val="restart"/>
            <w:tcBorders>
              <w:top w:val="single" w:sz="2" w:space="0" w:color="000001"/>
              <w:left w:val="nil"/>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t>Summed total deviations</w:t>
            </w:r>
          </w:p>
        </w:tc>
        <w:tc>
          <w:tcPr>
            <w:tcW w:w="7295" w:type="dxa"/>
            <w:gridSpan w:val="7"/>
            <w:tcBorders>
              <w:top w:val="single" w:sz="2" w:space="0" w:color="000001"/>
              <w:left w:val="nil"/>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center"/>
              <w:rPr>
                <w:b/>
                <w:bCs/>
                <w:sz w:val="20"/>
                <w:szCs w:val="20"/>
              </w:rPr>
            </w:pPr>
            <w:r>
              <w:rPr>
                <w:b/>
                <w:bCs/>
                <w:sz w:val="20"/>
                <w:szCs w:val="20"/>
              </w:rPr>
              <w:t>Geographic region</w:t>
            </w:r>
          </w:p>
        </w:tc>
      </w:tr>
      <w:tr>
        <w:trPr>
          <w:trHeight w:val="256" w:hRule="atLeast"/>
          <w:cantSplit w:val="false"/>
        </w:trPr>
        <w:tc>
          <w:tcPr>
            <w:tcW w:w="529" w:type="dxa"/>
            <w:vMerge w:val="continue"/>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r>
          </w:p>
        </w:tc>
        <w:tc>
          <w:tcPr>
            <w:tcW w:w="1154" w:type="dxa"/>
            <w:vMerge w:val="continue"/>
            <w:tcBorders>
              <w:top w:val="nil"/>
              <w:left w:val="nil"/>
              <w:bottom w:val="single" w:sz="2" w:space="0" w:color="000001"/>
              <w:insideH w:val="single" w:sz="2" w:space="0" w:color="000001"/>
              <w:right w:val="nil"/>
              <w:insideV w:val="nil"/>
            </w:tcBorders>
            <w:shd w:fill="FFFFFF" w:val="clear"/>
            <w:tcMar>
              <w:left w:w="56" w:type="dxa"/>
            </w:tcMar>
            <w:vAlign w:val="bottom"/>
          </w:tcPr>
          <w:p>
            <w:pPr>
              <w:pStyle w:val="Normal"/>
              <w:jc w:val="center"/>
              <w:rPr>
                <w:b/>
                <w:bCs/>
                <w:sz w:val="20"/>
                <w:szCs w:val="20"/>
              </w:rPr>
            </w:pPr>
            <w:r>
              <w:rPr>
                <w:b/>
                <w:bCs/>
                <w:sz w:val="20"/>
                <w:szCs w:val="20"/>
              </w:rPr>
            </w:r>
          </w:p>
        </w:tc>
        <w:tc>
          <w:tcPr>
            <w:tcW w:w="1162" w:type="dxa"/>
            <w:vMerge w:val="continue"/>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t>Europe</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t>Africa</w:t>
            </w:r>
          </w:p>
        </w:tc>
        <w:tc>
          <w:tcPr>
            <w:tcW w:w="946"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t>India</w:t>
            </w:r>
          </w:p>
        </w:tc>
        <w:tc>
          <w:tcPr>
            <w:tcW w:w="1035"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t xml:space="preserve">Europe </w:t>
            </w:r>
          </w:p>
          <w:p>
            <w:pPr>
              <w:pStyle w:val="Normal"/>
              <w:jc w:val="center"/>
              <w:rPr>
                <w:b/>
                <w:bCs/>
                <w:sz w:val="20"/>
                <w:szCs w:val="20"/>
              </w:rPr>
            </w:pPr>
            <w:r>
              <w:rPr>
                <w:b/>
                <w:bCs/>
                <w:sz w:val="20"/>
                <w:szCs w:val="20"/>
              </w:rPr>
              <w:t>and Africa</w:t>
            </w:r>
          </w:p>
        </w:tc>
        <w:tc>
          <w:tcPr>
            <w:tcW w:w="959"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t xml:space="preserve">Europe </w:t>
            </w:r>
          </w:p>
          <w:p>
            <w:pPr>
              <w:pStyle w:val="Normal"/>
              <w:jc w:val="center"/>
              <w:rPr>
                <w:b/>
                <w:bCs/>
                <w:sz w:val="20"/>
                <w:szCs w:val="20"/>
              </w:rPr>
            </w:pPr>
            <w:r>
              <w:rPr>
                <w:b/>
                <w:bCs/>
                <w:sz w:val="20"/>
                <w:szCs w:val="20"/>
              </w:rPr>
              <w:t>and India</w:t>
            </w:r>
          </w:p>
        </w:tc>
        <w:tc>
          <w:tcPr>
            <w:tcW w:w="96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t xml:space="preserve">Africa </w:t>
            </w:r>
          </w:p>
          <w:p>
            <w:pPr>
              <w:pStyle w:val="Normal"/>
              <w:jc w:val="center"/>
              <w:rPr>
                <w:b/>
                <w:bCs/>
                <w:sz w:val="20"/>
                <w:szCs w:val="20"/>
              </w:rPr>
            </w:pPr>
            <w:r>
              <w:rPr>
                <w:b/>
                <w:bCs/>
                <w:sz w:val="20"/>
                <w:szCs w:val="20"/>
              </w:rPr>
              <w:t>and India</w:t>
            </w:r>
          </w:p>
        </w:tc>
        <w:tc>
          <w:tcPr>
            <w:tcW w:w="1506" w:type="dxa"/>
            <w:tcBorders>
              <w:top w:val="nil"/>
              <w:left w:val="nil"/>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center"/>
              <w:rPr>
                <w:b/>
                <w:bCs/>
                <w:sz w:val="20"/>
                <w:szCs w:val="20"/>
              </w:rPr>
            </w:pPr>
            <w:r>
              <w:rPr>
                <w:b/>
                <w:bCs/>
                <w:sz w:val="20"/>
                <w:szCs w:val="20"/>
              </w:rPr>
              <w:t xml:space="preserve">Europe, Africa, </w:t>
            </w:r>
          </w:p>
          <w:p>
            <w:pPr>
              <w:pStyle w:val="Normal"/>
              <w:jc w:val="center"/>
              <w:rPr>
                <w:b/>
                <w:bCs/>
                <w:sz w:val="20"/>
                <w:szCs w:val="20"/>
              </w:rPr>
            </w:pPr>
            <w:r>
              <w:rPr>
                <w:b/>
                <w:bCs/>
                <w:sz w:val="20"/>
                <w:szCs w:val="20"/>
              </w:rPr>
              <w:t>and India</w:t>
            </w:r>
          </w:p>
        </w:tc>
      </w:tr>
      <w:tr>
        <w:trPr>
          <w:trHeight w:val="256" w:hRule="atLeast"/>
          <w:cantSplit w:val="false"/>
        </w:trPr>
        <w:tc>
          <w:tcPr>
            <w:tcW w:w="529" w:type="dxa"/>
            <w:vMerge w:val="restart"/>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sz w:val="20"/>
                <w:szCs w:val="20"/>
              </w:rPr>
            </w:pPr>
            <w:r>
              <w:rPr>
                <w:sz w:val="20"/>
                <w:szCs w:val="20"/>
              </w:rPr>
            </w:r>
          </w:p>
          <w:p>
            <w:pPr>
              <w:pStyle w:val="Normal"/>
              <w:jc w:val="center"/>
              <w:rPr>
                <w:b/>
                <w:bCs/>
                <w:i/>
                <w:iCs/>
                <w:sz w:val="20"/>
                <w:szCs w:val="20"/>
              </w:rPr>
            </w:pPr>
            <w:r>
              <w:rPr>
                <w:b/>
                <w:bCs/>
                <w:i/>
                <w:iCs/>
                <w:sz w:val="20"/>
                <w:szCs w:val="20"/>
              </w:rPr>
              <w:t>a</w:t>
            </w:r>
          </w:p>
          <w:p>
            <w:pPr>
              <w:pStyle w:val="Normal"/>
              <w:jc w:val="center"/>
              <w:rPr>
                <w:sz w:val="20"/>
                <w:szCs w:val="20"/>
              </w:rPr>
            </w:pPr>
            <w:r>
              <w:rPr>
                <w:sz w:val="20"/>
                <w:szCs w:val="20"/>
              </w:rPr>
            </w:r>
          </w:p>
        </w:tc>
        <w:tc>
          <w:tcPr>
            <w:tcW w:w="1154" w:type="dxa"/>
            <w:tcBorders>
              <w:top w:val="nil"/>
              <w:left w:val="nil"/>
              <w:bottom w:val="single" w:sz="2" w:space="0" w:color="000001"/>
              <w:insideH w:val="single" w:sz="2" w:space="0" w:color="000001"/>
              <w:right w:val="nil"/>
              <w:insideV w:val="nil"/>
            </w:tcBorders>
            <w:shd w:fill="FFFFFF" w:val="clear"/>
            <w:tcMar>
              <w:left w:w="56" w:type="dxa"/>
            </w:tcMar>
            <w:vAlign w:val="bottom"/>
          </w:tcPr>
          <w:p>
            <w:pPr>
              <w:pStyle w:val="Normal"/>
              <w:jc w:val="center"/>
              <w:rPr>
                <w:b/>
                <w:bCs/>
                <w:sz w:val="20"/>
                <w:szCs w:val="20"/>
              </w:rPr>
            </w:pPr>
            <w:r>
              <w:rPr>
                <w:b/>
                <w:bCs/>
                <w:sz w:val="20"/>
                <w:szCs w:val="20"/>
              </w:rPr>
              <w:t>I</w:t>
            </w:r>
          </w:p>
        </w:tc>
        <w:tc>
          <w:tcPr>
            <w:tcW w:w="1162"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1.46±0.21</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0.01±0.01</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0.11±0.01</w:t>
            </w:r>
          </w:p>
        </w:tc>
        <w:tc>
          <w:tcPr>
            <w:tcW w:w="946"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0.61±0.01</w:t>
            </w:r>
          </w:p>
        </w:tc>
        <w:tc>
          <w:tcPr>
            <w:tcW w:w="1035"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0.17±0.02</w:t>
            </w:r>
          </w:p>
        </w:tc>
        <w:tc>
          <w:tcPr>
            <w:tcW w:w="959"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0.07±0.00</w:t>
            </w:r>
          </w:p>
        </w:tc>
        <w:tc>
          <w:tcPr>
            <w:tcW w:w="96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0.05±0.00</w:t>
            </w:r>
          </w:p>
        </w:tc>
        <w:tc>
          <w:tcPr>
            <w:tcW w:w="1506" w:type="dxa"/>
            <w:tcBorders>
              <w:top w:val="nil"/>
              <w:left w:val="nil"/>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right"/>
              <w:rPr>
                <w:sz w:val="20"/>
                <w:szCs w:val="20"/>
              </w:rPr>
            </w:pPr>
            <w:r>
              <w:rPr>
                <w:sz w:val="20"/>
                <w:szCs w:val="20"/>
              </w:rPr>
              <w:t>0.43±0.01</w:t>
            </w:r>
          </w:p>
        </w:tc>
      </w:tr>
      <w:tr>
        <w:trPr>
          <w:trHeight w:val="256" w:hRule="atLeast"/>
          <w:cantSplit w:val="false"/>
        </w:trPr>
        <w:tc>
          <w:tcPr>
            <w:tcW w:w="529" w:type="dxa"/>
            <w:vMerge w:val="continue"/>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r>
          </w:p>
        </w:tc>
        <w:tc>
          <w:tcPr>
            <w:tcW w:w="1154" w:type="dxa"/>
            <w:tcBorders>
              <w:top w:val="nil"/>
              <w:left w:val="nil"/>
              <w:bottom w:val="single" w:sz="2" w:space="0" w:color="000001"/>
              <w:insideH w:val="single" w:sz="2" w:space="0" w:color="000001"/>
              <w:right w:val="nil"/>
              <w:insideV w:val="nil"/>
            </w:tcBorders>
            <w:shd w:fill="FFFFFF" w:val="clear"/>
            <w:tcMar>
              <w:left w:w="56" w:type="dxa"/>
            </w:tcMar>
            <w:vAlign w:val="bottom"/>
          </w:tcPr>
          <w:p>
            <w:pPr>
              <w:pStyle w:val="Normal"/>
              <w:jc w:val="center"/>
              <w:rPr>
                <w:b/>
                <w:bCs/>
                <w:sz w:val="20"/>
                <w:szCs w:val="20"/>
              </w:rPr>
            </w:pPr>
            <w:r>
              <w:rPr>
                <w:b/>
                <w:bCs/>
                <w:sz w:val="20"/>
                <w:szCs w:val="20"/>
              </w:rPr>
              <w:t>II</w:t>
            </w:r>
          </w:p>
        </w:tc>
        <w:tc>
          <w:tcPr>
            <w:tcW w:w="1162"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1.15±0.19</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0.50±0.01</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0.02±0.00</w:t>
            </w:r>
          </w:p>
        </w:tc>
        <w:tc>
          <w:tcPr>
            <w:tcW w:w="946"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0.05±0.00</w:t>
            </w:r>
          </w:p>
        </w:tc>
        <w:tc>
          <w:tcPr>
            <w:tcW w:w="1035"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0.02±0.01</w:t>
            </w:r>
          </w:p>
        </w:tc>
        <w:tc>
          <w:tcPr>
            <w:tcW w:w="959"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0.07±0.00</w:t>
            </w:r>
          </w:p>
        </w:tc>
        <w:tc>
          <w:tcPr>
            <w:tcW w:w="96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0.05±0.00</w:t>
            </w:r>
          </w:p>
        </w:tc>
        <w:tc>
          <w:tcPr>
            <w:tcW w:w="1506" w:type="dxa"/>
            <w:tcBorders>
              <w:top w:val="nil"/>
              <w:left w:val="nil"/>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right"/>
              <w:rPr>
                <w:sz w:val="20"/>
                <w:szCs w:val="20"/>
              </w:rPr>
            </w:pPr>
            <w:r>
              <w:rPr>
                <w:sz w:val="20"/>
                <w:szCs w:val="20"/>
              </w:rPr>
              <w:t>0.43±0.01</w:t>
            </w:r>
          </w:p>
        </w:tc>
      </w:tr>
      <w:tr>
        <w:trPr>
          <w:trHeight w:val="256" w:hRule="atLeast"/>
          <w:cantSplit w:val="false"/>
        </w:trPr>
        <w:tc>
          <w:tcPr>
            <w:tcW w:w="529" w:type="dxa"/>
            <w:vMerge w:val="continue"/>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r>
          </w:p>
        </w:tc>
        <w:tc>
          <w:tcPr>
            <w:tcW w:w="1154" w:type="dxa"/>
            <w:tcBorders>
              <w:top w:val="nil"/>
              <w:left w:val="nil"/>
              <w:bottom w:val="single" w:sz="2" w:space="0" w:color="000001"/>
              <w:insideH w:val="single" w:sz="2" w:space="0" w:color="000001"/>
              <w:right w:val="nil"/>
              <w:insideV w:val="nil"/>
            </w:tcBorders>
            <w:shd w:fill="FFFFFF" w:val="clear"/>
            <w:tcMar>
              <w:left w:w="56" w:type="dxa"/>
            </w:tcMar>
            <w:vAlign w:val="bottom"/>
          </w:tcPr>
          <w:p>
            <w:pPr>
              <w:pStyle w:val="Normal"/>
              <w:jc w:val="center"/>
              <w:rPr>
                <w:b/>
                <w:bCs/>
                <w:sz w:val="20"/>
                <w:szCs w:val="20"/>
              </w:rPr>
            </w:pPr>
            <w:r>
              <w:rPr>
                <w:b/>
                <w:bCs/>
                <w:sz w:val="20"/>
                <w:szCs w:val="20"/>
              </w:rPr>
              <w:t>III</w:t>
            </w:r>
          </w:p>
        </w:tc>
        <w:tc>
          <w:tcPr>
            <w:tcW w:w="1162"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1.34±0.21</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0.13±0.01</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0.02±0.00</w:t>
            </w:r>
          </w:p>
        </w:tc>
        <w:tc>
          <w:tcPr>
            <w:tcW w:w="946"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0.05±0.01</w:t>
            </w:r>
          </w:p>
        </w:tc>
        <w:tc>
          <w:tcPr>
            <w:tcW w:w="1035"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0.62±0.02</w:t>
            </w:r>
          </w:p>
        </w:tc>
        <w:tc>
          <w:tcPr>
            <w:tcW w:w="959"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0.07±0.00</w:t>
            </w:r>
          </w:p>
        </w:tc>
        <w:tc>
          <w:tcPr>
            <w:tcW w:w="96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0.05±0.01</w:t>
            </w:r>
          </w:p>
        </w:tc>
        <w:tc>
          <w:tcPr>
            <w:tcW w:w="1506" w:type="dxa"/>
            <w:tcBorders>
              <w:top w:val="nil"/>
              <w:left w:val="nil"/>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right"/>
              <w:rPr>
                <w:sz w:val="20"/>
                <w:szCs w:val="20"/>
              </w:rPr>
            </w:pPr>
            <w:r>
              <w:rPr>
                <w:sz w:val="20"/>
                <w:szCs w:val="20"/>
              </w:rPr>
              <w:t>0.40±0.02</w:t>
            </w:r>
          </w:p>
        </w:tc>
      </w:tr>
      <w:tr>
        <w:trPr>
          <w:trHeight w:val="256" w:hRule="atLeast"/>
          <w:cantSplit w:val="false"/>
        </w:trPr>
        <w:tc>
          <w:tcPr>
            <w:tcW w:w="529" w:type="dxa"/>
            <w:vMerge w:val="restart"/>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i/>
                <w:iCs/>
                <w:sz w:val="20"/>
                <w:szCs w:val="20"/>
              </w:rPr>
            </w:pPr>
            <w:r>
              <w:rPr>
                <w:b/>
                <w:bCs/>
                <w:i/>
                <w:iCs/>
                <w:sz w:val="20"/>
                <w:szCs w:val="20"/>
              </w:rPr>
              <w:t>b</w:t>
            </w:r>
          </w:p>
          <w:p>
            <w:pPr>
              <w:pStyle w:val="Normal"/>
              <w:jc w:val="center"/>
              <w:rPr>
                <w:sz w:val="20"/>
                <w:szCs w:val="20"/>
              </w:rPr>
            </w:pPr>
            <w:r>
              <w:rPr>
                <w:sz w:val="20"/>
                <w:szCs w:val="20"/>
              </w:rPr>
            </w:r>
          </w:p>
        </w:tc>
        <w:tc>
          <w:tcPr>
            <w:tcW w:w="1154" w:type="dxa"/>
            <w:tcBorders>
              <w:top w:val="nil"/>
              <w:left w:val="nil"/>
              <w:bottom w:val="single" w:sz="2" w:space="0" w:color="000001"/>
              <w:insideH w:val="single" w:sz="2" w:space="0" w:color="000001"/>
              <w:right w:val="nil"/>
              <w:insideV w:val="nil"/>
            </w:tcBorders>
            <w:shd w:fill="FFFFFF" w:val="clear"/>
            <w:tcMar>
              <w:left w:w="56" w:type="dxa"/>
            </w:tcMar>
            <w:vAlign w:val="bottom"/>
          </w:tcPr>
          <w:p>
            <w:pPr>
              <w:pStyle w:val="Normal"/>
              <w:jc w:val="center"/>
              <w:rPr>
                <w:b/>
                <w:bCs/>
                <w:sz w:val="20"/>
                <w:szCs w:val="20"/>
              </w:rPr>
            </w:pPr>
            <w:r>
              <w:rPr>
                <w:b/>
                <w:bCs/>
                <w:sz w:val="20"/>
                <w:szCs w:val="20"/>
              </w:rPr>
              <w:t>I</w:t>
            </w:r>
          </w:p>
        </w:tc>
        <w:tc>
          <w:tcPr>
            <w:tcW w:w="1162"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1.26±0.18</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0.01±0.01</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0.11±0.01</w:t>
            </w:r>
          </w:p>
        </w:tc>
        <w:tc>
          <w:tcPr>
            <w:tcW w:w="946"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0.51±0.02</w:t>
            </w:r>
          </w:p>
        </w:tc>
        <w:tc>
          <w:tcPr>
            <w:tcW w:w="1035"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0.15±0.02</w:t>
            </w:r>
          </w:p>
        </w:tc>
        <w:tc>
          <w:tcPr>
            <w:tcW w:w="959"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0.05±0.01</w:t>
            </w:r>
          </w:p>
        </w:tc>
        <w:tc>
          <w:tcPr>
            <w:tcW w:w="96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0.03±0.01</w:t>
            </w:r>
          </w:p>
        </w:tc>
        <w:tc>
          <w:tcPr>
            <w:tcW w:w="1506" w:type="dxa"/>
            <w:tcBorders>
              <w:top w:val="nil"/>
              <w:left w:val="nil"/>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right"/>
              <w:rPr>
                <w:sz w:val="20"/>
                <w:szCs w:val="20"/>
              </w:rPr>
            </w:pPr>
            <w:r>
              <w:rPr>
                <w:sz w:val="20"/>
                <w:szCs w:val="20"/>
              </w:rPr>
              <w:t>0.40±0.01</w:t>
            </w:r>
          </w:p>
        </w:tc>
      </w:tr>
      <w:tr>
        <w:trPr>
          <w:trHeight w:val="256" w:hRule="atLeast"/>
          <w:cantSplit w:val="false"/>
        </w:trPr>
        <w:tc>
          <w:tcPr>
            <w:tcW w:w="529" w:type="dxa"/>
            <w:vMerge w:val="continue"/>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r>
          </w:p>
        </w:tc>
        <w:tc>
          <w:tcPr>
            <w:tcW w:w="1154" w:type="dxa"/>
            <w:tcBorders>
              <w:top w:val="nil"/>
              <w:left w:val="nil"/>
              <w:bottom w:val="single" w:sz="2" w:space="0" w:color="000001"/>
              <w:insideH w:val="single" w:sz="2" w:space="0" w:color="000001"/>
              <w:right w:val="nil"/>
              <w:insideV w:val="nil"/>
            </w:tcBorders>
            <w:shd w:fill="FFFFFF" w:val="clear"/>
            <w:tcMar>
              <w:left w:w="56" w:type="dxa"/>
            </w:tcMar>
            <w:vAlign w:val="bottom"/>
          </w:tcPr>
          <w:p>
            <w:pPr>
              <w:pStyle w:val="Normal"/>
              <w:jc w:val="center"/>
              <w:rPr>
                <w:b/>
                <w:bCs/>
                <w:sz w:val="20"/>
                <w:szCs w:val="20"/>
              </w:rPr>
            </w:pPr>
            <w:r>
              <w:rPr>
                <w:b/>
                <w:bCs/>
                <w:sz w:val="20"/>
                <w:szCs w:val="20"/>
              </w:rPr>
              <w:t>II</w:t>
            </w:r>
          </w:p>
        </w:tc>
        <w:tc>
          <w:tcPr>
            <w:tcW w:w="1162"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0.84±0.14</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0.34±0.03</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0.01±0.01</w:t>
            </w:r>
          </w:p>
        </w:tc>
        <w:tc>
          <w:tcPr>
            <w:tcW w:w="946"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0.05±0.01</w:t>
            </w:r>
          </w:p>
        </w:tc>
        <w:tc>
          <w:tcPr>
            <w:tcW w:w="1035"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0.04±0.03</w:t>
            </w:r>
          </w:p>
        </w:tc>
        <w:tc>
          <w:tcPr>
            <w:tcW w:w="959"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0.01±0.01</w:t>
            </w:r>
          </w:p>
        </w:tc>
        <w:tc>
          <w:tcPr>
            <w:tcW w:w="96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0.05±0.01</w:t>
            </w:r>
          </w:p>
        </w:tc>
        <w:tc>
          <w:tcPr>
            <w:tcW w:w="1506" w:type="dxa"/>
            <w:tcBorders>
              <w:top w:val="nil"/>
              <w:left w:val="nil"/>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right"/>
              <w:rPr>
                <w:sz w:val="20"/>
                <w:szCs w:val="20"/>
              </w:rPr>
            </w:pPr>
            <w:r>
              <w:rPr>
                <w:sz w:val="20"/>
                <w:szCs w:val="20"/>
              </w:rPr>
              <w:t>0.35±0.01</w:t>
            </w:r>
          </w:p>
        </w:tc>
      </w:tr>
      <w:tr>
        <w:trPr>
          <w:trHeight w:val="256" w:hRule="atLeast"/>
          <w:cantSplit w:val="false"/>
        </w:trPr>
        <w:tc>
          <w:tcPr>
            <w:tcW w:w="529" w:type="dxa"/>
            <w:vMerge w:val="continue"/>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r>
          </w:p>
        </w:tc>
        <w:tc>
          <w:tcPr>
            <w:tcW w:w="1154" w:type="dxa"/>
            <w:tcBorders>
              <w:top w:val="nil"/>
              <w:left w:val="nil"/>
              <w:bottom w:val="single" w:sz="2" w:space="0" w:color="000001"/>
              <w:insideH w:val="single" w:sz="2" w:space="0" w:color="000001"/>
              <w:right w:val="nil"/>
              <w:insideV w:val="nil"/>
            </w:tcBorders>
            <w:shd w:fill="FFFFFF" w:val="clear"/>
            <w:tcMar>
              <w:left w:w="56" w:type="dxa"/>
            </w:tcMar>
            <w:vAlign w:val="bottom"/>
          </w:tcPr>
          <w:p>
            <w:pPr>
              <w:pStyle w:val="Normal"/>
              <w:jc w:val="center"/>
              <w:rPr>
                <w:b/>
                <w:bCs/>
                <w:sz w:val="20"/>
                <w:szCs w:val="20"/>
              </w:rPr>
            </w:pPr>
            <w:r>
              <w:rPr>
                <w:b/>
                <w:bCs/>
                <w:sz w:val="20"/>
                <w:szCs w:val="20"/>
              </w:rPr>
              <w:t>III</w:t>
            </w:r>
          </w:p>
        </w:tc>
        <w:tc>
          <w:tcPr>
            <w:tcW w:w="1162"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b/>
                <w:bCs/>
                <w:sz w:val="20"/>
                <w:szCs w:val="20"/>
              </w:rPr>
            </w:pPr>
            <w:r>
              <w:rPr>
                <w:b/>
                <w:bCs/>
                <w:sz w:val="20"/>
                <w:szCs w:val="20"/>
              </w:rPr>
              <w:t>0.34±0.04</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0.13±0.01</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0.01±0.01</w:t>
            </w:r>
          </w:p>
        </w:tc>
        <w:tc>
          <w:tcPr>
            <w:tcW w:w="946"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0.05±0.01</w:t>
            </w:r>
          </w:p>
        </w:tc>
        <w:tc>
          <w:tcPr>
            <w:tcW w:w="1035"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0.08±0.04</w:t>
            </w:r>
          </w:p>
        </w:tc>
        <w:tc>
          <w:tcPr>
            <w:tcW w:w="959"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0.02±0.01</w:t>
            </w:r>
          </w:p>
        </w:tc>
        <w:tc>
          <w:tcPr>
            <w:tcW w:w="96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0.02±0.01</w:t>
            </w:r>
          </w:p>
        </w:tc>
        <w:tc>
          <w:tcPr>
            <w:tcW w:w="1506" w:type="dxa"/>
            <w:tcBorders>
              <w:top w:val="nil"/>
              <w:left w:val="nil"/>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right"/>
              <w:rPr>
                <w:sz w:val="20"/>
                <w:szCs w:val="20"/>
              </w:rPr>
            </w:pPr>
            <w:r>
              <w:rPr>
                <w:sz w:val="20"/>
                <w:szCs w:val="20"/>
              </w:rPr>
              <w:t>0.03±0.03</w:t>
            </w:r>
          </w:p>
        </w:tc>
      </w:tr>
      <w:tr>
        <w:trPr>
          <w:trHeight w:val="256" w:hRule="atLeast"/>
          <w:cantSplit w:val="false"/>
        </w:trPr>
        <w:tc>
          <w:tcPr>
            <w:tcW w:w="529" w:type="dxa"/>
            <w:vMerge w:val="restart"/>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i/>
                <w:iCs/>
                <w:sz w:val="20"/>
                <w:szCs w:val="20"/>
              </w:rPr>
            </w:pPr>
            <w:r>
              <w:rPr>
                <w:b/>
                <w:bCs/>
                <w:i/>
                <w:iCs/>
                <w:sz w:val="20"/>
                <w:szCs w:val="20"/>
              </w:rPr>
              <w:t>c</w:t>
            </w:r>
          </w:p>
          <w:p>
            <w:pPr>
              <w:pStyle w:val="Normal"/>
              <w:jc w:val="center"/>
              <w:rPr>
                <w:sz w:val="20"/>
                <w:szCs w:val="20"/>
              </w:rPr>
            </w:pPr>
            <w:r>
              <w:rPr>
                <w:sz w:val="20"/>
                <w:szCs w:val="20"/>
              </w:rPr>
            </w:r>
          </w:p>
        </w:tc>
        <w:tc>
          <w:tcPr>
            <w:tcW w:w="1154" w:type="dxa"/>
            <w:tcBorders>
              <w:top w:val="nil"/>
              <w:left w:val="nil"/>
              <w:bottom w:val="single" w:sz="2" w:space="0" w:color="000001"/>
              <w:insideH w:val="single" w:sz="2" w:space="0" w:color="000001"/>
              <w:right w:val="nil"/>
              <w:insideV w:val="nil"/>
            </w:tcBorders>
            <w:shd w:fill="FFFFFF" w:val="clear"/>
            <w:tcMar>
              <w:left w:w="56" w:type="dxa"/>
            </w:tcMar>
            <w:vAlign w:val="bottom"/>
          </w:tcPr>
          <w:p>
            <w:pPr>
              <w:pStyle w:val="Normal"/>
              <w:jc w:val="center"/>
              <w:rPr>
                <w:b/>
                <w:bCs/>
                <w:sz w:val="20"/>
                <w:szCs w:val="20"/>
              </w:rPr>
            </w:pPr>
            <w:r>
              <w:rPr>
                <w:b/>
                <w:bCs/>
                <w:sz w:val="20"/>
                <w:szCs w:val="20"/>
              </w:rPr>
              <w:t>I</w:t>
            </w:r>
          </w:p>
        </w:tc>
        <w:tc>
          <w:tcPr>
            <w:tcW w:w="1162"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1.23±0.11</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0.03±0.01</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0.22±0.02</w:t>
            </w:r>
          </w:p>
        </w:tc>
        <w:tc>
          <w:tcPr>
            <w:tcW w:w="946"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0.22±0.01</w:t>
            </w:r>
          </w:p>
        </w:tc>
        <w:tc>
          <w:tcPr>
            <w:tcW w:w="1035"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0.13±0.02</w:t>
            </w:r>
          </w:p>
        </w:tc>
        <w:tc>
          <w:tcPr>
            <w:tcW w:w="959"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0.07±0.01</w:t>
            </w:r>
          </w:p>
        </w:tc>
        <w:tc>
          <w:tcPr>
            <w:tcW w:w="96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0.17±0.02</w:t>
            </w:r>
          </w:p>
        </w:tc>
        <w:tc>
          <w:tcPr>
            <w:tcW w:w="1506" w:type="dxa"/>
            <w:tcBorders>
              <w:top w:val="nil"/>
              <w:left w:val="nil"/>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right"/>
              <w:rPr>
                <w:sz w:val="20"/>
                <w:szCs w:val="20"/>
              </w:rPr>
            </w:pPr>
            <w:r>
              <w:rPr>
                <w:sz w:val="20"/>
                <w:szCs w:val="20"/>
              </w:rPr>
              <w:t>0.39±0.02</w:t>
            </w:r>
          </w:p>
        </w:tc>
      </w:tr>
      <w:tr>
        <w:trPr>
          <w:trHeight w:val="256" w:hRule="atLeast"/>
          <w:cantSplit w:val="false"/>
        </w:trPr>
        <w:tc>
          <w:tcPr>
            <w:tcW w:w="529" w:type="dxa"/>
            <w:vMerge w:val="continue"/>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r>
          </w:p>
        </w:tc>
        <w:tc>
          <w:tcPr>
            <w:tcW w:w="1154" w:type="dxa"/>
            <w:tcBorders>
              <w:top w:val="nil"/>
              <w:left w:val="nil"/>
              <w:bottom w:val="single" w:sz="2" w:space="0" w:color="000001"/>
              <w:insideH w:val="single" w:sz="2" w:space="0" w:color="000001"/>
              <w:right w:val="nil"/>
              <w:insideV w:val="nil"/>
            </w:tcBorders>
            <w:shd w:fill="FFFFFF" w:val="clear"/>
            <w:tcMar>
              <w:left w:w="56" w:type="dxa"/>
            </w:tcMar>
            <w:vAlign w:val="bottom"/>
          </w:tcPr>
          <w:p>
            <w:pPr>
              <w:pStyle w:val="Normal"/>
              <w:jc w:val="center"/>
              <w:rPr>
                <w:b/>
                <w:bCs/>
                <w:sz w:val="20"/>
                <w:szCs w:val="20"/>
              </w:rPr>
            </w:pPr>
            <w:r>
              <w:rPr>
                <w:b/>
                <w:bCs/>
                <w:sz w:val="20"/>
                <w:szCs w:val="20"/>
              </w:rPr>
              <w:t>II</w:t>
            </w:r>
          </w:p>
        </w:tc>
        <w:tc>
          <w:tcPr>
            <w:tcW w:w="1162"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0.75±0.11</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0.26±0.01</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0.01±0.01</w:t>
            </w:r>
          </w:p>
        </w:tc>
        <w:tc>
          <w:tcPr>
            <w:tcW w:w="946"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0.01±0.01</w:t>
            </w:r>
          </w:p>
        </w:tc>
        <w:tc>
          <w:tcPr>
            <w:tcW w:w="1035"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0.09±0.02</w:t>
            </w:r>
          </w:p>
        </w:tc>
        <w:tc>
          <w:tcPr>
            <w:tcW w:w="959"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0.05±0.00</w:t>
            </w:r>
          </w:p>
        </w:tc>
        <w:tc>
          <w:tcPr>
            <w:tcW w:w="96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0.02±0.01</w:t>
            </w:r>
          </w:p>
        </w:tc>
        <w:tc>
          <w:tcPr>
            <w:tcW w:w="1506" w:type="dxa"/>
            <w:tcBorders>
              <w:top w:val="nil"/>
              <w:left w:val="nil"/>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right"/>
              <w:rPr>
                <w:sz w:val="20"/>
                <w:szCs w:val="20"/>
              </w:rPr>
            </w:pPr>
            <w:r>
              <w:rPr>
                <w:sz w:val="20"/>
                <w:szCs w:val="20"/>
              </w:rPr>
              <w:t>0.30±0.01</w:t>
            </w:r>
          </w:p>
        </w:tc>
      </w:tr>
      <w:tr>
        <w:trPr>
          <w:trHeight w:val="256" w:hRule="atLeast"/>
          <w:cantSplit w:val="false"/>
        </w:trPr>
        <w:tc>
          <w:tcPr>
            <w:tcW w:w="529" w:type="dxa"/>
            <w:vMerge w:val="continue"/>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sz w:val="20"/>
                <w:szCs w:val="20"/>
              </w:rPr>
            </w:pPr>
            <w:r>
              <w:rPr>
                <w:b/>
                <w:bCs/>
                <w:sz w:val="20"/>
                <w:szCs w:val="20"/>
              </w:rPr>
            </w:r>
          </w:p>
        </w:tc>
        <w:tc>
          <w:tcPr>
            <w:tcW w:w="1154" w:type="dxa"/>
            <w:tcBorders>
              <w:top w:val="nil"/>
              <w:left w:val="nil"/>
              <w:bottom w:val="single" w:sz="2" w:space="0" w:color="000001"/>
              <w:insideH w:val="single" w:sz="2" w:space="0" w:color="000001"/>
              <w:right w:val="nil"/>
              <w:insideV w:val="nil"/>
            </w:tcBorders>
            <w:shd w:fill="FFFFFF" w:val="clear"/>
            <w:tcMar>
              <w:left w:w="56" w:type="dxa"/>
            </w:tcMar>
            <w:vAlign w:val="bottom"/>
          </w:tcPr>
          <w:p>
            <w:pPr>
              <w:pStyle w:val="Normal"/>
              <w:jc w:val="center"/>
              <w:rPr>
                <w:b/>
                <w:bCs/>
                <w:sz w:val="20"/>
                <w:szCs w:val="20"/>
              </w:rPr>
            </w:pPr>
            <w:r>
              <w:rPr>
                <w:b/>
                <w:bCs/>
                <w:sz w:val="20"/>
                <w:szCs w:val="20"/>
              </w:rPr>
              <w:t>III</w:t>
            </w:r>
          </w:p>
        </w:tc>
        <w:tc>
          <w:tcPr>
            <w:tcW w:w="1162"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0.85±0.13</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0.13±0.01</w:t>
            </w:r>
          </w:p>
        </w:tc>
        <w:tc>
          <w:tcPr>
            <w:tcW w:w="94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0.01±0.00</w:t>
            </w:r>
          </w:p>
        </w:tc>
        <w:tc>
          <w:tcPr>
            <w:tcW w:w="946"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0.00±0.00</w:t>
            </w:r>
          </w:p>
        </w:tc>
        <w:tc>
          <w:tcPr>
            <w:tcW w:w="1035"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0.06±0.02</w:t>
            </w:r>
          </w:p>
        </w:tc>
        <w:tc>
          <w:tcPr>
            <w:tcW w:w="959"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0.06±0.00</w:t>
            </w:r>
          </w:p>
        </w:tc>
        <w:tc>
          <w:tcPr>
            <w:tcW w:w="963" w:type="dxa"/>
            <w:tcBorders>
              <w:top w:val="nil"/>
              <w:left w:val="nil"/>
              <w:bottom w:val="single" w:sz="2" w:space="0" w:color="000001"/>
              <w:insideH w:val="single" w:sz="2" w:space="0" w:color="000001"/>
              <w:right w:val="nil"/>
              <w:insideV w:val="nil"/>
            </w:tcBorders>
            <w:shd w:fill="FFFFFF" w:val="clear"/>
            <w:tcMar>
              <w:left w:w="2" w:type="dxa"/>
            </w:tcMar>
            <w:vAlign w:val="bottom"/>
          </w:tcPr>
          <w:p>
            <w:pPr>
              <w:pStyle w:val="Normal"/>
              <w:jc w:val="right"/>
              <w:rPr>
                <w:sz w:val="20"/>
                <w:szCs w:val="20"/>
              </w:rPr>
            </w:pPr>
            <w:r>
              <w:rPr>
                <w:sz w:val="20"/>
                <w:szCs w:val="20"/>
              </w:rPr>
              <w:t>0.41±0.01</w:t>
            </w:r>
          </w:p>
        </w:tc>
        <w:tc>
          <w:tcPr>
            <w:tcW w:w="1506" w:type="dxa"/>
            <w:tcBorders>
              <w:top w:val="nil"/>
              <w:left w:val="nil"/>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right"/>
              <w:rPr>
                <w:sz w:val="20"/>
                <w:szCs w:val="20"/>
              </w:rPr>
            </w:pPr>
            <w:r>
              <w:rPr>
                <w:sz w:val="20"/>
                <w:szCs w:val="20"/>
              </w:rPr>
              <w:t>0.17±0.02</w:t>
            </w:r>
          </w:p>
        </w:tc>
      </w:tr>
    </w:tbl>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pPr>
      <w:r>
        <w:rPr/>
      </w:r>
    </w:p>
    <w:p>
      <w:pPr>
        <w:pStyle w:val="Normal"/>
        <w:pageBreakBefore/>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pPr>
      <w:r>
        <w:rPr>
          <w:b/>
          <w:bCs/>
        </w:rPr>
        <w:t>Table S4.</w:t>
      </w:r>
      <w:r>
        <w:rPr/>
        <w:t xml:space="preserve"> Two-way ANOVA on </w:t>
      </w:r>
      <w:r>
        <w:rPr>
          <w:i/>
        </w:rPr>
        <w:t>F</w:t>
      </w:r>
      <w:r>
        <w:rPr>
          <w:i/>
          <w:vertAlign w:val="subscript"/>
        </w:rPr>
        <w:t>ST</w:t>
      </w:r>
      <w:r>
        <w:rPr/>
        <w:t xml:space="preserve"> values by ascertainment scheme and demographic scenario for each pairwise comparison between populations.</w:t>
      </w:r>
    </w:p>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pPr>
      <w:r>
        <w:rPr/>
      </w:r>
    </w:p>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contextualSpacing/>
        <w:rPr>
          <w:rFonts w:ascii="Courier" w:hAnsi="Courier"/>
        </w:rPr>
      </w:pPr>
      <w:r>
        <w:rPr>
          <w:rFonts w:ascii="Courier" w:hAnsi="Courier"/>
        </w:rPr>
      </w:r>
    </w:p>
    <w:tbl>
      <w:tblPr>
        <w:jc w:val="left"/>
        <w:tblInd w:w="-3" w:type="dxa"/>
        <w:tblBorders>
          <w:top w:val="single" w:sz="2" w:space="0" w:color="000001"/>
          <w:left w:val="single" w:sz="2" w:space="0" w:color="000001"/>
          <w:bottom w:val="single" w:sz="2" w:space="0" w:color="000001"/>
          <w:insideH w:val="single" w:sz="2" w:space="0" w:color="000001"/>
          <w:right w:val="nil"/>
          <w:insideV w:val="nil"/>
        </w:tblBorders>
        <w:tblCellMar>
          <w:top w:w="29" w:type="dxa"/>
          <w:left w:w="25" w:type="dxa"/>
          <w:bottom w:w="29" w:type="dxa"/>
          <w:right w:w="29" w:type="dxa"/>
        </w:tblCellMar>
      </w:tblPr>
      <w:tblGrid>
        <w:gridCol w:w="2181"/>
        <w:gridCol w:w="2445"/>
        <w:gridCol w:w="1014"/>
        <w:gridCol w:w="953"/>
        <w:gridCol w:w="936"/>
        <w:gridCol w:w="829"/>
        <w:gridCol w:w="1284"/>
      </w:tblGrid>
      <w:tr>
        <w:trPr>
          <w:trHeight w:val="582" w:hRule="atLeast"/>
          <w:cantSplit w:val="false"/>
        </w:trPr>
        <w:tc>
          <w:tcPr>
            <w:tcW w:w="2181"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b/>
                <w:bCs/>
                <w:sz w:val="20"/>
                <w:szCs w:val="20"/>
              </w:rPr>
            </w:pPr>
            <w:r>
              <w:rPr>
                <w:b/>
                <w:bCs/>
                <w:sz w:val="20"/>
                <w:szCs w:val="20"/>
              </w:rPr>
              <w:t>Pairwise comparison</w:t>
            </w:r>
          </w:p>
        </w:tc>
        <w:tc>
          <w:tcPr>
            <w:tcW w:w="2445"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b/>
                <w:bCs/>
                <w:sz w:val="20"/>
                <w:szCs w:val="20"/>
              </w:rPr>
            </w:pPr>
            <w:r>
              <w:rPr>
                <w:b/>
                <w:bCs/>
                <w:sz w:val="20"/>
                <w:szCs w:val="20"/>
              </w:rPr>
              <w:t>Factor</w:t>
            </w:r>
          </w:p>
        </w:tc>
        <w:tc>
          <w:tcPr>
            <w:tcW w:w="1014"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b/>
                <w:bCs/>
                <w:sz w:val="20"/>
                <w:szCs w:val="20"/>
              </w:rPr>
            </w:pPr>
            <w:r>
              <w:rPr>
                <w:b/>
                <w:bCs/>
                <w:sz w:val="20"/>
                <w:szCs w:val="20"/>
              </w:rPr>
              <w:t>Degrees of freedom</w:t>
            </w:r>
          </w:p>
        </w:tc>
        <w:tc>
          <w:tcPr>
            <w:tcW w:w="953"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b/>
                <w:bCs/>
                <w:sz w:val="20"/>
                <w:szCs w:val="20"/>
              </w:rPr>
            </w:pPr>
            <w:r>
              <w:rPr>
                <w:b/>
                <w:bCs/>
                <w:sz w:val="20"/>
                <w:szCs w:val="20"/>
              </w:rPr>
              <w:t xml:space="preserve">Sum of Squares </w:t>
            </w:r>
          </w:p>
        </w:tc>
        <w:tc>
          <w:tcPr>
            <w:tcW w:w="936"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b/>
                <w:bCs/>
                <w:sz w:val="20"/>
                <w:szCs w:val="20"/>
              </w:rPr>
            </w:pPr>
            <w:r>
              <w:rPr>
                <w:b/>
                <w:bCs/>
                <w:sz w:val="20"/>
                <w:szCs w:val="20"/>
              </w:rPr>
              <w:t>Mean square</w:t>
            </w:r>
          </w:p>
        </w:tc>
        <w:tc>
          <w:tcPr>
            <w:tcW w:w="829"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b/>
                <w:bCs/>
                <w:sz w:val="20"/>
                <w:szCs w:val="20"/>
              </w:rPr>
            </w:pPr>
            <w:r>
              <w:rPr>
                <w:b/>
                <w:bCs/>
                <w:sz w:val="20"/>
                <w:szCs w:val="20"/>
              </w:rPr>
              <w:t>F</w:t>
            </w:r>
          </w:p>
        </w:tc>
        <w:tc>
          <w:tcPr>
            <w:tcW w:w="1284" w:type="dxa"/>
            <w:tcBorders>
              <w:top w:val="single" w:sz="2" w:space="0" w:color="000001"/>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center"/>
          </w:tcPr>
          <w:p>
            <w:pPr>
              <w:pStyle w:val="Normal"/>
              <w:jc w:val="center"/>
              <w:rPr>
                <w:b/>
                <w:bCs/>
                <w:sz w:val="20"/>
                <w:szCs w:val="20"/>
              </w:rPr>
            </w:pPr>
            <w:r>
              <w:rPr>
                <w:b/>
                <w:bCs/>
                <w:sz w:val="20"/>
                <w:szCs w:val="20"/>
              </w:rPr>
              <w:t>P  - value</w:t>
            </w:r>
          </w:p>
        </w:tc>
      </w:tr>
      <w:tr>
        <w:trPr>
          <w:trHeight w:val="256" w:hRule="atLeast"/>
          <w:cantSplit w:val="false"/>
        </w:trPr>
        <w:tc>
          <w:tcPr>
            <w:tcW w:w="2181" w:type="dxa"/>
            <w:vMerge w:val="restart"/>
            <w:tcBorders>
              <w:top w:val="nil"/>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b/>
                <w:sz w:val="20"/>
                <w:szCs w:val="20"/>
              </w:rPr>
            </w:pPr>
            <w:r>
              <w:rPr>
                <w:b/>
                <w:sz w:val="20"/>
                <w:szCs w:val="20"/>
              </w:rPr>
              <w:t>Europe-Africa</w:t>
            </w:r>
          </w:p>
        </w:tc>
        <w:tc>
          <w:tcPr>
            <w:tcW w:w="2445"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left"/>
              <w:rPr>
                <w:sz w:val="20"/>
                <w:szCs w:val="20"/>
              </w:rPr>
            </w:pPr>
            <w:r>
              <w:rPr>
                <w:sz w:val="20"/>
                <w:szCs w:val="20"/>
              </w:rPr>
              <w:t>Ascertainment scheme</w:t>
            </w:r>
          </w:p>
        </w:tc>
        <w:tc>
          <w:tcPr>
            <w:tcW w:w="1014"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center"/>
              <w:rPr>
                <w:sz w:val="20"/>
                <w:szCs w:val="20"/>
              </w:rPr>
            </w:pPr>
            <w:r>
              <w:rPr>
                <w:sz w:val="20"/>
                <w:szCs w:val="20"/>
              </w:rPr>
              <w:t>2</w:t>
            </w:r>
          </w:p>
        </w:tc>
        <w:tc>
          <w:tcPr>
            <w:tcW w:w="953"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0.0277</w:t>
            </w:r>
          </w:p>
        </w:tc>
        <w:tc>
          <w:tcPr>
            <w:tcW w:w="936"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0.0139</w:t>
            </w:r>
          </w:p>
        </w:tc>
        <w:tc>
          <w:tcPr>
            <w:tcW w:w="829"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129.86</w:t>
            </w:r>
          </w:p>
        </w:tc>
        <w:tc>
          <w:tcPr>
            <w:tcW w:w="1284"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bottom"/>
          </w:tcPr>
          <w:p>
            <w:pPr>
              <w:pStyle w:val="Normal"/>
              <w:jc w:val="right"/>
              <w:rPr>
                <w:sz w:val="20"/>
                <w:szCs w:val="20"/>
              </w:rPr>
            </w:pPr>
            <w:r>
              <w:rPr>
                <w:sz w:val="20"/>
                <w:szCs w:val="20"/>
              </w:rPr>
              <w:t>P&lt;&lt;0.0001</w:t>
            </w:r>
          </w:p>
        </w:tc>
      </w:tr>
      <w:tr>
        <w:trPr>
          <w:trHeight w:val="256" w:hRule="atLeast"/>
          <w:cantSplit w:val="false"/>
        </w:trPr>
        <w:tc>
          <w:tcPr>
            <w:tcW w:w="2181" w:type="dxa"/>
            <w:vMerge w:val="continue"/>
            <w:tcBorders>
              <w:top w:val="nil"/>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sz w:val="20"/>
                <w:szCs w:val="20"/>
              </w:rPr>
            </w:pPr>
            <w:r>
              <w:rPr>
                <w:sz w:val="20"/>
                <w:szCs w:val="20"/>
              </w:rPr>
            </w:r>
          </w:p>
        </w:tc>
        <w:tc>
          <w:tcPr>
            <w:tcW w:w="2445"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left"/>
              <w:rPr>
                <w:sz w:val="20"/>
                <w:szCs w:val="20"/>
              </w:rPr>
            </w:pPr>
            <w:r>
              <w:rPr>
                <w:sz w:val="20"/>
                <w:szCs w:val="20"/>
              </w:rPr>
              <w:t>Demographic scenario</w:t>
            </w:r>
          </w:p>
        </w:tc>
        <w:tc>
          <w:tcPr>
            <w:tcW w:w="1014"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center"/>
              <w:rPr>
                <w:sz w:val="20"/>
                <w:szCs w:val="20"/>
              </w:rPr>
            </w:pPr>
            <w:r>
              <w:rPr>
                <w:sz w:val="20"/>
                <w:szCs w:val="20"/>
              </w:rPr>
              <w:t>3</w:t>
            </w:r>
          </w:p>
        </w:tc>
        <w:tc>
          <w:tcPr>
            <w:tcW w:w="953"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0.0519</w:t>
            </w:r>
          </w:p>
        </w:tc>
        <w:tc>
          <w:tcPr>
            <w:tcW w:w="936"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0.0173</w:t>
            </w:r>
          </w:p>
        </w:tc>
        <w:tc>
          <w:tcPr>
            <w:tcW w:w="829"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162.06</w:t>
            </w:r>
          </w:p>
        </w:tc>
        <w:tc>
          <w:tcPr>
            <w:tcW w:w="1284"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bottom"/>
          </w:tcPr>
          <w:p>
            <w:pPr>
              <w:pStyle w:val="Normal"/>
              <w:jc w:val="right"/>
              <w:rPr>
                <w:sz w:val="20"/>
                <w:szCs w:val="20"/>
              </w:rPr>
            </w:pPr>
            <w:r>
              <w:rPr>
                <w:sz w:val="20"/>
                <w:szCs w:val="20"/>
              </w:rPr>
              <w:t>P&lt;&lt;0.0001</w:t>
            </w:r>
          </w:p>
        </w:tc>
      </w:tr>
      <w:tr>
        <w:trPr>
          <w:trHeight w:val="256" w:hRule="atLeast"/>
          <w:cantSplit w:val="false"/>
        </w:trPr>
        <w:tc>
          <w:tcPr>
            <w:tcW w:w="2181" w:type="dxa"/>
            <w:vMerge w:val="continue"/>
            <w:tcBorders>
              <w:top w:val="nil"/>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sz w:val="20"/>
                <w:szCs w:val="20"/>
              </w:rPr>
            </w:pPr>
            <w:r>
              <w:rPr>
                <w:sz w:val="20"/>
                <w:szCs w:val="20"/>
              </w:rPr>
            </w:r>
          </w:p>
        </w:tc>
        <w:tc>
          <w:tcPr>
            <w:tcW w:w="2445"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left"/>
              <w:rPr>
                <w:sz w:val="20"/>
                <w:szCs w:val="20"/>
              </w:rPr>
            </w:pPr>
            <w:r>
              <w:rPr>
                <w:sz w:val="20"/>
                <w:szCs w:val="20"/>
              </w:rPr>
              <w:t>Interaction</w:t>
            </w:r>
          </w:p>
        </w:tc>
        <w:tc>
          <w:tcPr>
            <w:tcW w:w="1014"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center"/>
              <w:rPr>
                <w:sz w:val="20"/>
                <w:szCs w:val="20"/>
              </w:rPr>
            </w:pPr>
            <w:r>
              <w:rPr>
                <w:sz w:val="20"/>
                <w:szCs w:val="20"/>
              </w:rPr>
              <w:t>6</w:t>
            </w:r>
          </w:p>
        </w:tc>
        <w:tc>
          <w:tcPr>
            <w:tcW w:w="953"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0.0052</w:t>
            </w:r>
          </w:p>
        </w:tc>
        <w:tc>
          <w:tcPr>
            <w:tcW w:w="936"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0.0009</w:t>
            </w:r>
          </w:p>
        </w:tc>
        <w:tc>
          <w:tcPr>
            <w:tcW w:w="829"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8.11</w:t>
            </w:r>
          </w:p>
        </w:tc>
        <w:tc>
          <w:tcPr>
            <w:tcW w:w="1284"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bottom"/>
          </w:tcPr>
          <w:p>
            <w:pPr>
              <w:pStyle w:val="Normal"/>
              <w:jc w:val="right"/>
              <w:rPr>
                <w:sz w:val="20"/>
                <w:szCs w:val="20"/>
              </w:rPr>
            </w:pPr>
            <w:r>
              <w:rPr>
                <w:sz w:val="20"/>
                <w:szCs w:val="20"/>
              </w:rPr>
              <w:t>P&lt;&lt;0.0001</w:t>
            </w:r>
          </w:p>
        </w:tc>
      </w:tr>
      <w:tr>
        <w:trPr>
          <w:trHeight w:val="256" w:hRule="atLeast"/>
          <w:cantSplit w:val="false"/>
        </w:trPr>
        <w:tc>
          <w:tcPr>
            <w:tcW w:w="2181" w:type="dxa"/>
            <w:vMerge w:val="continue"/>
            <w:tcBorders>
              <w:top w:val="nil"/>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sz w:val="20"/>
                <w:szCs w:val="20"/>
              </w:rPr>
            </w:pPr>
            <w:r>
              <w:rPr>
                <w:sz w:val="20"/>
                <w:szCs w:val="20"/>
              </w:rPr>
            </w:r>
          </w:p>
        </w:tc>
        <w:tc>
          <w:tcPr>
            <w:tcW w:w="2445"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left"/>
              <w:rPr>
                <w:sz w:val="20"/>
                <w:szCs w:val="20"/>
              </w:rPr>
            </w:pPr>
            <w:r>
              <w:rPr>
                <w:sz w:val="20"/>
                <w:szCs w:val="20"/>
              </w:rPr>
              <w:t>Residual</w:t>
            </w:r>
          </w:p>
        </w:tc>
        <w:tc>
          <w:tcPr>
            <w:tcW w:w="1014"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center"/>
              <w:rPr>
                <w:sz w:val="20"/>
                <w:szCs w:val="20"/>
              </w:rPr>
            </w:pPr>
            <w:r>
              <w:rPr>
                <w:sz w:val="20"/>
                <w:szCs w:val="20"/>
              </w:rPr>
              <w:t>40</w:t>
            </w:r>
          </w:p>
        </w:tc>
        <w:tc>
          <w:tcPr>
            <w:tcW w:w="953"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0.0043</w:t>
            </w:r>
          </w:p>
        </w:tc>
        <w:tc>
          <w:tcPr>
            <w:tcW w:w="936"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0.0001</w:t>
            </w:r>
          </w:p>
        </w:tc>
        <w:tc>
          <w:tcPr>
            <w:tcW w:w="829"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 xml:space="preserve">-  </w:t>
            </w:r>
          </w:p>
        </w:tc>
        <w:tc>
          <w:tcPr>
            <w:tcW w:w="1284"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bottom"/>
          </w:tcPr>
          <w:p>
            <w:pPr>
              <w:pStyle w:val="Normal"/>
              <w:jc w:val="right"/>
              <w:rPr>
                <w:sz w:val="20"/>
                <w:szCs w:val="20"/>
              </w:rPr>
            </w:pPr>
            <w:r>
              <w:rPr>
                <w:sz w:val="20"/>
                <w:szCs w:val="20"/>
              </w:rPr>
              <w:t xml:space="preserve">- </w:t>
            </w:r>
          </w:p>
        </w:tc>
      </w:tr>
      <w:tr>
        <w:trPr>
          <w:trHeight w:val="256" w:hRule="atLeast"/>
          <w:cantSplit w:val="false"/>
        </w:trPr>
        <w:tc>
          <w:tcPr>
            <w:tcW w:w="2181" w:type="dxa"/>
            <w:vMerge w:val="restart"/>
            <w:tcBorders>
              <w:top w:val="nil"/>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b/>
                <w:sz w:val="20"/>
                <w:szCs w:val="20"/>
              </w:rPr>
            </w:pPr>
            <w:r>
              <w:rPr>
                <w:b/>
                <w:sz w:val="20"/>
                <w:szCs w:val="20"/>
              </w:rPr>
              <w:t>Europe-India</w:t>
            </w:r>
          </w:p>
        </w:tc>
        <w:tc>
          <w:tcPr>
            <w:tcW w:w="2445"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left"/>
              <w:rPr>
                <w:sz w:val="20"/>
                <w:szCs w:val="20"/>
              </w:rPr>
            </w:pPr>
            <w:r>
              <w:rPr>
                <w:sz w:val="20"/>
                <w:szCs w:val="20"/>
              </w:rPr>
              <w:t>Ascertainment scheme</w:t>
            </w:r>
          </w:p>
        </w:tc>
        <w:tc>
          <w:tcPr>
            <w:tcW w:w="1014"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center"/>
              <w:rPr>
                <w:sz w:val="20"/>
                <w:szCs w:val="20"/>
              </w:rPr>
            </w:pPr>
            <w:r>
              <w:rPr>
                <w:sz w:val="20"/>
                <w:szCs w:val="20"/>
              </w:rPr>
              <w:t>2</w:t>
            </w:r>
          </w:p>
        </w:tc>
        <w:tc>
          <w:tcPr>
            <w:tcW w:w="953"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0.0796</w:t>
            </w:r>
          </w:p>
        </w:tc>
        <w:tc>
          <w:tcPr>
            <w:tcW w:w="936"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0.0398</w:t>
            </w:r>
          </w:p>
        </w:tc>
        <w:tc>
          <w:tcPr>
            <w:tcW w:w="829"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327.65</w:t>
            </w:r>
          </w:p>
        </w:tc>
        <w:tc>
          <w:tcPr>
            <w:tcW w:w="1284"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bottom"/>
          </w:tcPr>
          <w:p>
            <w:pPr>
              <w:pStyle w:val="Normal"/>
              <w:jc w:val="right"/>
              <w:rPr>
                <w:sz w:val="20"/>
                <w:szCs w:val="20"/>
              </w:rPr>
            </w:pPr>
            <w:r>
              <w:rPr>
                <w:sz w:val="20"/>
                <w:szCs w:val="20"/>
              </w:rPr>
              <w:t>P&lt;&lt;0.0001</w:t>
            </w:r>
          </w:p>
        </w:tc>
      </w:tr>
      <w:tr>
        <w:trPr>
          <w:trHeight w:val="256" w:hRule="atLeast"/>
          <w:cantSplit w:val="false"/>
        </w:trPr>
        <w:tc>
          <w:tcPr>
            <w:tcW w:w="2181" w:type="dxa"/>
            <w:vMerge w:val="continue"/>
            <w:tcBorders>
              <w:top w:val="nil"/>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sz w:val="20"/>
                <w:szCs w:val="20"/>
              </w:rPr>
            </w:pPr>
            <w:r>
              <w:rPr>
                <w:sz w:val="20"/>
                <w:szCs w:val="20"/>
              </w:rPr>
            </w:r>
          </w:p>
        </w:tc>
        <w:tc>
          <w:tcPr>
            <w:tcW w:w="2445"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left"/>
              <w:rPr>
                <w:sz w:val="20"/>
                <w:szCs w:val="20"/>
              </w:rPr>
            </w:pPr>
            <w:r>
              <w:rPr>
                <w:sz w:val="20"/>
                <w:szCs w:val="20"/>
              </w:rPr>
              <w:t>Demographic scenario</w:t>
            </w:r>
          </w:p>
        </w:tc>
        <w:tc>
          <w:tcPr>
            <w:tcW w:w="1014"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center"/>
              <w:rPr>
                <w:sz w:val="20"/>
                <w:szCs w:val="20"/>
              </w:rPr>
            </w:pPr>
            <w:r>
              <w:rPr>
                <w:sz w:val="20"/>
                <w:szCs w:val="20"/>
              </w:rPr>
              <w:t>3</w:t>
            </w:r>
          </w:p>
        </w:tc>
        <w:tc>
          <w:tcPr>
            <w:tcW w:w="953"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0.3251</w:t>
            </w:r>
          </w:p>
        </w:tc>
        <w:tc>
          <w:tcPr>
            <w:tcW w:w="936"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0.1084</w:t>
            </w:r>
          </w:p>
        </w:tc>
        <w:tc>
          <w:tcPr>
            <w:tcW w:w="829"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892.47</w:t>
            </w:r>
          </w:p>
        </w:tc>
        <w:tc>
          <w:tcPr>
            <w:tcW w:w="1284"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bottom"/>
          </w:tcPr>
          <w:p>
            <w:pPr>
              <w:pStyle w:val="Normal"/>
              <w:jc w:val="right"/>
              <w:rPr>
                <w:sz w:val="20"/>
                <w:szCs w:val="20"/>
              </w:rPr>
            </w:pPr>
            <w:r>
              <w:rPr>
                <w:sz w:val="20"/>
                <w:szCs w:val="20"/>
              </w:rPr>
              <w:t>P&lt;&lt;0.0001</w:t>
            </w:r>
          </w:p>
        </w:tc>
      </w:tr>
      <w:tr>
        <w:trPr>
          <w:trHeight w:val="256" w:hRule="atLeast"/>
          <w:cantSplit w:val="false"/>
        </w:trPr>
        <w:tc>
          <w:tcPr>
            <w:tcW w:w="2181" w:type="dxa"/>
            <w:vMerge w:val="continue"/>
            <w:tcBorders>
              <w:top w:val="nil"/>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sz w:val="20"/>
                <w:szCs w:val="20"/>
              </w:rPr>
            </w:pPr>
            <w:r>
              <w:rPr>
                <w:sz w:val="20"/>
                <w:szCs w:val="20"/>
              </w:rPr>
            </w:r>
          </w:p>
        </w:tc>
        <w:tc>
          <w:tcPr>
            <w:tcW w:w="2445"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left"/>
              <w:rPr>
                <w:sz w:val="20"/>
                <w:szCs w:val="20"/>
              </w:rPr>
            </w:pPr>
            <w:r>
              <w:rPr>
                <w:sz w:val="20"/>
                <w:szCs w:val="20"/>
              </w:rPr>
              <w:t>Interaction</w:t>
            </w:r>
          </w:p>
        </w:tc>
        <w:tc>
          <w:tcPr>
            <w:tcW w:w="1014"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center"/>
              <w:rPr>
                <w:sz w:val="20"/>
                <w:szCs w:val="20"/>
              </w:rPr>
            </w:pPr>
            <w:r>
              <w:rPr>
                <w:sz w:val="20"/>
                <w:szCs w:val="20"/>
              </w:rPr>
              <w:t>6</w:t>
            </w:r>
          </w:p>
        </w:tc>
        <w:tc>
          <w:tcPr>
            <w:tcW w:w="953"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0.0735</w:t>
            </w:r>
          </w:p>
        </w:tc>
        <w:tc>
          <w:tcPr>
            <w:tcW w:w="936"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0.0123</w:t>
            </w:r>
          </w:p>
        </w:tc>
        <w:tc>
          <w:tcPr>
            <w:tcW w:w="829"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100.89</w:t>
            </w:r>
          </w:p>
        </w:tc>
        <w:tc>
          <w:tcPr>
            <w:tcW w:w="1284"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bottom"/>
          </w:tcPr>
          <w:p>
            <w:pPr>
              <w:pStyle w:val="Normal"/>
              <w:jc w:val="right"/>
              <w:rPr>
                <w:sz w:val="20"/>
                <w:szCs w:val="20"/>
              </w:rPr>
            </w:pPr>
            <w:r>
              <w:rPr>
                <w:sz w:val="20"/>
                <w:szCs w:val="20"/>
              </w:rPr>
              <w:t>P&lt;&lt;0.0001</w:t>
            </w:r>
          </w:p>
        </w:tc>
      </w:tr>
      <w:tr>
        <w:trPr>
          <w:trHeight w:val="256" w:hRule="atLeast"/>
          <w:cantSplit w:val="false"/>
        </w:trPr>
        <w:tc>
          <w:tcPr>
            <w:tcW w:w="2181" w:type="dxa"/>
            <w:vMerge w:val="continue"/>
            <w:tcBorders>
              <w:top w:val="nil"/>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sz w:val="20"/>
                <w:szCs w:val="20"/>
              </w:rPr>
            </w:pPr>
            <w:r>
              <w:rPr>
                <w:sz w:val="20"/>
                <w:szCs w:val="20"/>
              </w:rPr>
            </w:r>
          </w:p>
        </w:tc>
        <w:tc>
          <w:tcPr>
            <w:tcW w:w="2445"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left"/>
              <w:rPr>
                <w:sz w:val="20"/>
                <w:szCs w:val="20"/>
              </w:rPr>
            </w:pPr>
            <w:r>
              <w:rPr>
                <w:sz w:val="20"/>
                <w:szCs w:val="20"/>
              </w:rPr>
              <w:t>Residual</w:t>
            </w:r>
          </w:p>
        </w:tc>
        <w:tc>
          <w:tcPr>
            <w:tcW w:w="1014"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center"/>
              <w:rPr>
                <w:sz w:val="20"/>
                <w:szCs w:val="20"/>
              </w:rPr>
            </w:pPr>
            <w:r>
              <w:rPr>
                <w:sz w:val="20"/>
                <w:szCs w:val="20"/>
              </w:rPr>
              <w:t>40</w:t>
            </w:r>
          </w:p>
        </w:tc>
        <w:tc>
          <w:tcPr>
            <w:tcW w:w="953"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0.0049</w:t>
            </w:r>
          </w:p>
        </w:tc>
        <w:tc>
          <w:tcPr>
            <w:tcW w:w="936"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0.0001</w:t>
            </w:r>
          </w:p>
        </w:tc>
        <w:tc>
          <w:tcPr>
            <w:tcW w:w="829"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 xml:space="preserve">-  </w:t>
            </w:r>
          </w:p>
        </w:tc>
        <w:tc>
          <w:tcPr>
            <w:tcW w:w="1284"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bottom"/>
          </w:tcPr>
          <w:p>
            <w:pPr>
              <w:pStyle w:val="Normal"/>
              <w:jc w:val="right"/>
              <w:rPr>
                <w:sz w:val="20"/>
                <w:szCs w:val="20"/>
              </w:rPr>
            </w:pPr>
            <w:r>
              <w:rPr>
                <w:sz w:val="20"/>
                <w:szCs w:val="20"/>
              </w:rPr>
              <w:t xml:space="preserve">-  </w:t>
            </w:r>
          </w:p>
        </w:tc>
      </w:tr>
      <w:tr>
        <w:trPr>
          <w:trHeight w:val="256" w:hRule="atLeast"/>
          <w:cantSplit w:val="false"/>
        </w:trPr>
        <w:tc>
          <w:tcPr>
            <w:tcW w:w="2181" w:type="dxa"/>
            <w:vMerge w:val="restart"/>
            <w:tcBorders>
              <w:top w:val="nil"/>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b/>
                <w:sz w:val="20"/>
                <w:szCs w:val="20"/>
              </w:rPr>
            </w:pPr>
            <w:r>
              <w:rPr>
                <w:b/>
                <w:sz w:val="20"/>
                <w:szCs w:val="20"/>
              </w:rPr>
              <w:t>India-Africa</w:t>
            </w:r>
          </w:p>
        </w:tc>
        <w:tc>
          <w:tcPr>
            <w:tcW w:w="2445"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left"/>
              <w:rPr>
                <w:sz w:val="20"/>
                <w:szCs w:val="20"/>
              </w:rPr>
            </w:pPr>
            <w:r>
              <w:rPr>
                <w:sz w:val="20"/>
                <w:szCs w:val="20"/>
              </w:rPr>
              <w:t>Ascertainment scheme</w:t>
            </w:r>
          </w:p>
        </w:tc>
        <w:tc>
          <w:tcPr>
            <w:tcW w:w="1014"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center"/>
              <w:rPr>
                <w:sz w:val="20"/>
                <w:szCs w:val="20"/>
              </w:rPr>
            </w:pPr>
            <w:r>
              <w:rPr>
                <w:sz w:val="20"/>
                <w:szCs w:val="20"/>
              </w:rPr>
              <w:t>2</w:t>
            </w:r>
          </w:p>
        </w:tc>
        <w:tc>
          <w:tcPr>
            <w:tcW w:w="953"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0.1162</w:t>
            </w:r>
          </w:p>
        </w:tc>
        <w:tc>
          <w:tcPr>
            <w:tcW w:w="936"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0.0581</w:t>
            </w:r>
          </w:p>
        </w:tc>
        <w:tc>
          <w:tcPr>
            <w:tcW w:w="829"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448.53</w:t>
            </w:r>
          </w:p>
        </w:tc>
        <w:tc>
          <w:tcPr>
            <w:tcW w:w="1284"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bottom"/>
          </w:tcPr>
          <w:p>
            <w:pPr>
              <w:pStyle w:val="Normal"/>
              <w:jc w:val="right"/>
              <w:rPr>
                <w:sz w:val="20"/>
                <w:szCs w:val="20"/>
              </w:rPr>
            </w:pPr>
            <w:r>
              <w:rPr>
                <w:sz w:val="20"/>
                <w:szCs w:val="20"/>
              </w:rPr>
              <w:t>P&lt;&lt;0.0001</w:t>
            </w:r>
          </w:p>
        </w:tc>
      </w:tr>
      <w:tr>
        <w:trPr>
          <w:trHeight w:val="256" w:hRule="atLeast"/>
          <w:cantSplit w:val="false"/>
        </w:trPr>
        <w:tc>
          <w:tcPr>
            <w:tcW w:w="2181" w:type="dxa"/>
            <w:vMerge w:val="continue"/>
            <w:tcBorders>
              <w:top w:val="nil"/>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sz w:val="20"/>
                <w:szCs w:val="20"/>
              </w:rPr>
            </w:pPr>
            <w:r>
              <w:rPr>
                <w:sz w:val="20"/>
                <w:szCs w:val="20"/>
              </w:rPr>
            </w:r>
          </w:p>
        </w:tc>
        <w:tc>
          <w:tcPr>
            <w:tcW w:w="2445"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left"/>
              <w:rPr>
                <w:sz w:val="20"/>
                <w:szCs w:val="20"/>
              </w:rPr>
            </w:pPr>
            <w:r>
              <w:rPr>
                <w:sz w:val="20"/>
                <w:szCs w:val="20"/>
              </w:rPr>
              <w:t>Demographic scenario</w:t>
            </w:r>
          </w:p>
        </w:tc>
        <w:tc>
          <w:tcPr>
            <w:tcW w:w="1014"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center"/>
              <w:rPr>
                <w:sz w:val="20"/>
                <w:szCs w:val="20"/>
              </w:rPr>
            </w:pPr>
            <w:r>
              <w:rPr>
                <w:sz w:val="20"/>
                <w:szCs w:val="20"/>
              </w:rPr>
              <w:t>3</w:t>
            </w:r>
          </w:p>
        </w:tc>
        <w:tc>
          <w:tcPr>
            <w:tcW w:w="953"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0.8615</w:t>
            </w:r>
          </w:p>
        </w:tc>
        <w:tc>
          <w:tcPr>
            <w:tcW w:w="936"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0.2872</w:t>
            </w:r>
          </w:p>
        </w:tc>
        <w:tc>
          <w:tcPr>
            <w:tcW w:w="829"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2216.26</w:t>
            </w:r>
          </w:p>
        </w:tc>
        <w:tc>
          <w:tcPr>
            <w:tcW w:w="1284"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bottom"/>
          </w:tcPr>
          <w:p>
            <w:pPr>
              <w:pStyle w:val="Normal"/>
              <w:jc w:val="right"/>
              <w:rPr>
                <w:sz w:val="20"/>
                <w:szCs w:val="20"/>
              </w:rPr>
            </w:pPr>
            <w:r>
              <w:rPr>
                <w:sz w:val="20"/>
                <w:szCs w:val="20"/>
              </w:rPr>
              <w:t>P&lt;&lt;0.0001</w:t>
            </w:r>
          </w:p>
        </w:tc>
      </w:tr>
      <w:tr>
        <w:trPr>
          <w:trHeight w:val="256" w:hRule="atLeast"/>
          <w:cantSplit w:val="false"/>
        </w:trPr>
        <w:tc>
          <w:tcPr>
            <w:tcW w:w="2181" w:type="dxa"/>
            <w:vMerge w:val="continue"/>
            <w:tcBorders>
              <w:top w:val="nil"/>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sz w:val="20"/>
                <w:szCs w:val="20"/>
              </w:rPr>
            </w:pPr>
            <w:r>
              <w:rPr>
                <w:sz w:val="20"/>
                <w:szCs w:val="20"/>
              </w:rPr>
            </w:r>
          </w:p>
        </w:tc>
        <w:tc>
          <w:tcPr>
            <w:tcW w:w="2445"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left"/>
              <w:rPr>
                <w:sz w:val="20"/>
                <w:szCs w:val="20"/>
              </w:rPr>
            </w:pPr>
            <w:r>
              <w:rPr>
                <w:sz w:val="20"/>
                <w:szCs w:val="20"/>
              </w:rPr>
              <w:t>Interaction</w:t>
            </w:r>
          </w:p>
        </w:tc>
        <w:tc>
          <w:tcPr>
            <w:tcW w:w="1014"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center"/>
              <w:rPr>
                <w:sz w:val="20"/>
                <w:szCs w:val="20"/>
              </w:rPr>
            </w:pPr>
            <w:r>
              <w:rPr>
                <w:sz w:val="20"/>
                <w:szCs w:val="20"/>
              </w:rPr>
              <w:t>6</w:t>
            </w:r>
          </w:p>
        </w:tc>
        <w:tc>
          <w:tcPr>
            <w:tcW w:w="953"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0.0636</w:t>
            </w:r>
          </w:p>
        </w:tc>
        <w:tc>
          <w:tcPr>
            <w:tcW w:w="936"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0.0106</w:t>
            </w:r>
          </w:p>
        </w:tc>
        <w:tc>
          <w:tcPr>
            <w:tcW w:w="829"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81.75</w:t>
            </w:r>
          </w:p>
        </w:tc>
        <w:tc>
          <w:tcPr>
            <w:tcW w:w="1284"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bottom"/>
          </w:tcPr>
          <w:p>
            <w:pPr>
              <w:pStyle w:val="Normal"/>
              <w:jc w:val="right"/>
              <w:rPr>
                <w:sz w:val="20"/>
                <w:szCs w:val="20"/>
              </w:rPr>
            </w:pPr>
            <w:r>
              <w:rPr>
                <w:sz w:val="20"/>
                <w:szCs w:val="20"/>
              </w:rPr>
              <w:t>P&lt;&lt;0.0001</w:t>
            </w:r>
          </w:p>
        </w:tc>
      </w:tr>
      <w:tr>
        <w:trPr>
          <w:trHeight w:val="256" w:hRule="atLeast"/>
          <w:cantSplit w:val="false"/>
        </w:trPr>
        <w:tc>
          <w:tcPr>
            <w:tcW w:w="2181" w:type="dxa"/>
            <w:vMerge w:val="continue"/>
            <w:tcBorders>
              <w:top w:val="nil"/>
              <w:left w:val="single" w:sz="2" w:space="0" w:color="000001"/>
              <w:bottom w:val="single" w:sz="2" w:space="0" w:color="000001"/>
              <w:insideH w:val="single" w:sz="2" w:space="0" w:color="000001"/>
              <w:right w:val="nil"/>
              <w:insideV w:val="nil"/>
            </w:tcBorders>
            <w:shd w:fill="FFFFFF" w:val="clear"/>
            <w:tcMar>
              <w:left w:w="25" w:type="dxa"/>
            </w:tcMar>
            <w:vAlign w:val="center"/>
          </w:tcPr>
          <w:p>
            <w:pPr>
              <w:pStyle w:val="Normal"/>
              <w:jc w:val="center"/>
              <w:rPr>
                <w:sz w:val="20"/>
                <w:szCs w:val="20"/>
              </w:rPr>
            </w:pPr>
            <w:r>
              <w:rPr>
                <w:sz w:val="20"/>
                <w:szCs w:val="20"/>
              </w:rPr>
            </w:r>
          </w:p>
        </w:tc>
        <w:tc>
          <w:tcPr>
            <w:tcW w:w="2445"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left"/>
              <w:rPr>
                <w:sz w:val="20"/>
                <w:szCs w:val="20"/>
              </w:rPr>
            </w:pPr>
            <w:r>
              <w:rPr>
                <w:sz w:val="20"/>
                <w:szCs w:val="20"/>
              </w:rPr>
              <w:t>Residual</w:t>
            </w:r>
          </w:p>
        </w:tc>
        <w:tc>
          <w:tcPr>
            <w:tcW w:w="1014"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center"/>
              <w:rPr>
                <w:sz w:val="20"/>
                <w:szCs w:val="20"/>
              </w:rPr>
            </w:pPr>
            <w:r>
              <w:rPr>
                <w:sz w:val="20"/>
                <w:szCs w:val="20"/>
              </w:rPr>
              <w:t>40</w:t>
            </w:r>
          </w:p>
        </w:tc>
        <w:tc>
          <w:tcPr>
            <w:tcW w:w="953"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0.0052</w:t>
            </w:r>
          </w:p>
        </w:tc>
        <w:tc>
          <w:tcPr>
            <w:tcW w:w="936"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0.0001</w:t>
            </w:r>
          </w:p>
        </w:tc>
        <w:tc>
          <w:tcPr>
            <w:tcW w:w="829" w:type="dxa"/>
            <w:tcBorders>
              <w:top w:val="nil"/>
              <w:left w:val="single" w:sz="2" w:space="0" w:color="000001"/>
              <w:bottom w:val="single" w:sz="2" w:space="0" w:color="000001"/>
              <w:insideH w:val="single" w:sz="2" w:space="0" w:color="000001"/>
              <w:right w:val="nil"/>
              <w:insideV w:val="nil"/>
            </w:tcBorders>
            <w:shd w:fill="FFFFFF" w:val="clear"/>
            <w:tcMar>
              <w:left w:w="25" w:type="dxa"/>
            </w:tcMar>
            <w:vAlign w:val="bottom"/>
          </w:tcPr>
          <w:p>
            <w:pPr>
              <w:pStyle w:val="Normal"/>
              <w:jc w:val="right"/>
              <w:rPr>
                <w:sz w:val="20"/>
                <w:szCs w:val="20"/>
              </w:rPr>
            </w:pPr>
            <w:r>
              <w:rPr>
                <w:sz w:val="20"/>
                <w:szCs w:val="20"/>
              </w:rPr>
              <w:t xml:space="preserve">-  </w:t>
            </w:r>
          </w:p>
        </w:tc>
        <w:tc>
          <w:tcPr>
            <w:tcW w:w="1284"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5" w:type="dxa"/>
            </w:tcMar>
            <w:vAlign w:val="bottom"/>
          </w:tcPr>
          <w:p>
            <w:pPr>
              <w:pStyle w:val="Normal"/>
              <w:jc w:val="right"/>
              <w:rPr>
                <w:sz w:val="20"/>
                <w:szCs w:val="20"/>
              </w:rPr>
            </w:pPr>
            <w:r>
              <w:rPr>
                <w:sz w:val="20"/>
                <w:szCs w:val="20"/>
              </w:rPr>
              <w:t xml:space="preserve">-  </w:t>
            </w:r>
          </w:p>
        </w:tc>
      </w:tr>
    </w:tbl>
    <w:p>
      <w:pPr>
        <w:pStyle w:val="Normal"/>
        <w:rPr/>
      </w:pPr>
      <w:r>
        <w:rPr/>
      </w:r>
    </w:p>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before="0" w:after="0"/>
        <w:contextualSpacing/>
        <w:rPr>
          <w:rFonts w:ascii="Courier" w:hAnsi="Courier"/>
        </w:rPr>
      </w:pPr>
      <w:r>
        <w:rPr>
          <w:rFonts w:ascii="Courier" w:hAnsi="Courier"/>
        </w:rPr>
      </w:r>
    </w:p>
    <w:p>
      <w:pPr>
        <w:pStyle w:val="Normal"/>
        <w:pageBreakBefore/>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pPr>
      <w:r>
        <w:rPr>
          <w:b/>
        </w:rPr>
        <w:t>Table S5.</w:t>
      </w:r>
      <w:r>
        <w:rPr/>
        <w:t xml:space="preserve"> Mean proportion of variation captured by PC1 and PC2 (± standard deviations). Values were calculated for 1,000 SNP data subsets for both empirical data and under each of nine combinations of simulation conditions (three migration scenarios: </w:t>
      </w:r>
      <w:r>
        <w:rPr>
          <w:i/>
        </w:rPr>
        <w:t>a</w:t>
      </w:r>
      <w:r>
        <w:rPr/>
        <w:t xml:space="preserve">, </w:t>
      </w:r>
      <w:r>
        <w:rPr>
          <w:i/>
        </w:rPr>
        <w:t>b</w:t>
      </w:r>
      <w:r>
        <w:rPr/>
        <w:t xml:space="preserve">, and </w:t>
      </w:r>
      <w:r>
        <w:rPr>
          <w:i/>
        </w:rPr>
        <w:t>c</w:t>
      </w:r>
      <w:r>
        <w:rPr/>
        <w:t>; and three ascertainment schemes: I, II, and III; see text for details)</w:t>
      </w:r>
    </w:p>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pPr>
      <w:r>
        <w:rPr/>
      </w:r>
    </w:p>
    <w:tbl>
      <w:tblPr>
        <w:jc w:val="left"/>
        <w:tblInd w:w="-158"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55" w:type="dxa"/>
          <w:left w:w="-5" w:type="dxa"/>
          <w:bottom w:w="55" w:type="dxa"/>
          <w:right w:w="55" w:type="dxa"/>
        </w:tblCellMar>
      </w:tblPr>
      <w:tblGrid>
        <w:gridCol w:w="1128"/>
        <w:gridCol w:w="683"/>
        <w:gridCol w:w="15"/>
        <w:gridCol w:w="1572"/>
        <w:gridCol w:w="12"/>
        <w:gridCol w:w="1691"/>
        <w:gridCol w:w="7"/>
        <w:gridCol w:w="1926"/>
      </w:tblGrid>
      <w:tr>
        <w:trPr>
          <w:trHeight w:val="300" w:hRule="atLeast"/>
          <w:cantSplit w:val="false"/>
        </w:trPr>
        <w:tc>
          <w:tcPr>
            <w:tcW w:w="7034" w:type="dxa"/>
            <w:gridSpan w:val="8"/>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rPr>
                <w:rFonts w:eastAsia="Times New Roman"/>
                <w:color w:val="000000"/>
              </w:rPr>
            </w:pPr>
            <w:r>
              <w:rPr>
                <w:rFonts w:eastAsia="Times New Roman"/>
                <w:color w:val="000000"/>
              </w:rPr>
              <w:t>Empirical data:  PC1: 0.24 ± 0.01; PC2: 0.15 ± 0.00</w:t>
            </w:r>
          </w:p>
        </w:tc>
      </w:tr>
      <w:tr>
        <w:trPr>
          <w:trHeight w:val="359" w:hRule="atLeast"/>
          <w:cantSplit w:val="false"/>
        </w:trPr>
        <w:tc>
          <w:tcPr>
            <w:tcW w:w="7034" w:type="dxa"/>
            <w:gridSpan w:val="8"/>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rPr>
                <w:rFonts w:eastAsia="Times New Roman"/>
                <w:color w:val="000000"/>
              </w:rPr>
            </w:pPr>
            <w:r>
              <w:rPr>
                <w:rFonts w:eastAsia="Times New Roman"/>
                <w:color w:val="000000"/>
              </w:rPr>
              <w:t>Simulated data:</w:t>
            </w:r>
          </w:p>
        </w:tc>
      </w:tr>
      <w:tr>
        <w:trPr>
          <w:trHeight w:val="300" w:hRule="atLeast"/>
          <w:cantSplit w:val="false"/>
        </w:trPr>
        <w:tc>
          <w:tcPr>
            <w:tcW w:w="1826" w:type="dxa"/>
            <w:gridSpan w:val="3"/>
            <w:tcBorders>
              <w:top w:val="single" w:sz="4" w:space="0" w:color="00000A"/>
              <w:left w:val="single" w:sz="4" w:space="0" w:color="00000A"/>
              <w:bottom w:val="single" w:sz="4" w:space="0" w:color="00000A"/>
              <w:insideH w:val="single" w:sz="4" w:space="0" w:color="00000A"/>
              <w:right w:val="nil"/>
              <w:insideV w:val="nil"/>
            </w:tcBorders>
            <w:shd w:fill="FFFFFF" w:val="clear"/>
            <w:tcMar>
              <w:left w:w="-5" w:type="dxa"/>
            </w:tcMar>
          </w:tcPr>
          <w:p>
            <w:pPr>
              <w:pStyle w:val="Normal"/>
              <w:jc w:val="center"/>
              <w:rPr>
                <w:rFonts w:eastAsia="Times New Roman"/>
                <w:b/>
                <w:bCs/>
                <w:color w:val="000000"/>
              </w:rPr>
            </w:pPr>
            <w:r>
              <w:rPr>
                <w:rFonts w:eastAsia="Times New Roman"/>
                <w:b/>
                <w:bCs/>
                <w:color w:val="000000"/>
              </w:rPr>
            </w:r>
          </w:p>
        </w:tc>
        <w:tc>
          <w:tcPr>
            <w:tcW w:w="1584"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center"/>
              <w:rPr>
                <w:rFonts w:eastAsia="Times New Roman"/>
                <w:b/>
                <w:bCs/>
                <w:color w:val="000000"/>
              </w:rPr>
            </w:pPr>
            <w:r>
              <w:rPr>
                <w:rFonts w:eastAsia="Times New Roman"/>
                <w:b/>
                <w:bCs/>
                <w:color w:val="000000"/>
              </w:rPr>
              <w:t>I</w:t>
            </w:r>
          </w:p>
        </w:tc>
        <w:tc>
          <w:tcPr>
            <w:tcW w:w="1698"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center"/>
              <w:rPr>
                <w:rFonts w:eastAsia="Times New Roman"/>
                <w:b/>
                <w:bCs/>
                <w:color w:val="000000"/>
              </w:rPr>
            </w:pPr>
            <w:r>
              <w:rPr>
                <w:rFonts w:eastAsia="Times New Roman"/>
                <w:b/>
                <w:bCs/>
                <w:color w:val="000000"/>
              </w:rPr>
              <w:t>II</w:t>
            </w:r>
          </w:p>
        </w:tc>
        <w:tc>
          <w:tcPr>
            <w:tcW w:w="1926"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center"/>
              <w:rPr>
                <w:rFonts w:eastAsia="Times New Roman"/>
                <w:b/>
                <w:bCs/>
                <w:color w:val="000000"/>
              </w:rPr>
            </w:pPr>
            <w:r>
              <w:rPr>
                <w:rFonts w:eastAsia="Times New Roman"/>
                <w:b/>
                <w:bCs/>
                <w:color w:val="000000"/>
              </w:rPr>
              <w:t>III</w:t>
            </w:r>
          </w:p>
        </w:tc>
      </w:tr>
      <w:tr>
        <w:trPr>
          <w:trHeight w:val="300" w:hRule="atLeast"/>
          <w:cantSplit w:val="false"/>
        </w:trPr>
        <w:tc>
          <w:tcPr>
            <w:tcW w:w="1128" w:type="dxa"/>
            <w:vMerge w:val="restart"/>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center"/>
              <w:rPr>
                <w:rFonts w:eastAsia="Times New Roman"/>
                <w:b/>
                <w:bCs/>
                <w:i/>
                <w:color w:val="000000"/>
              </w:rPr>
            </w:pPr>
            <w:r>
              <w:rPr>
                <w:rFonts w:eastAsia="Times New Roman"/>
                <w:b/>
                <w:bCs/>
                <w:i/>
                <w:color w:val="000000"/>
              </w:rPr>
              <w:t>a</w:t>
            </w:r>
          </w:p>
        </w:tc>
        <w:tc>
          <w:tcPr>
            <w:tcW w:w="683" w:type="dxa"/>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rPr>
                <w:rFonts w:eastAsia="Times New Roman"/>
                <w:color w:val="000000"/>
              </w:rPr>
            </w:pPr>
            <w:r>
              <w:rPr>
                <w:rFonts w:eastAsia="Times New Roman"/>
                <w:color w:val="000000"/>
              </w:rPr>
              <w:t>PC1</w:t>
            </w:r>
          </w:p>
        </w:tc>
        <w:tc>
          <w:tcPr>
            <w:tcW w:w="1587"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right"/>
              <w:rPr>
                <w:rFonts w:eastAsia="Times New Roman"/>
                <w:color w:val="000000"/>
              </w:rPr>
            </w:pPr>
            <w:r>
              <w:rPr>
                <w:rFonts w:eastAsia="Times New Roman"/>
                <w:color w:val="000000"/>
              </w:rPr>
              <w:t>0.52±0.01</w:t>
            </w:r>
          </w:p>
        </w:tc>
        <w:tc>
          <w:tcPr>
            <w:tcW w:w="1703"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right"/>
              <w:rPr>
                <w:rFonts w:eastAsia="Times New Roman"/>
                <w:color w:val="000000"/>
              </w:rPr>
            </w:pPr>
            <w:r>
              <w:rPr>
                <w:rFonts w:eastAsia="Times New Roman"/>
                <w:color w:val="000000"/>
              </w:rPr>
              <w:t>0.23±0.01</w:t>
            </w:r>
          </w:p>
        </w:tc>
        <w:tc>
          <w:tcPr>
            <w:tcW w:w="1933" w:type="dxa"/>
            <w:gridSpan w:val="2"/>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0.33±0.01</w:t>
            </w:r>
          </w:p>
        </w:tc>
      </w:tr>
      <w:tr>
        <w:trPr>
          <w:trHeight w:val="300" w:hRule="atLeast"/>
          <w:cantSplit w:val="false"/>
        </w:trPr>
        <w:tc>
          <w:tcPr>
            <w:tcW w:w="1128" w:type="dxa"/>
            <w:vMerge w:val="continue"/>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center"/>
              <w:rPr>
                <w:b/>
                <w:bCs/>
              </w:rPr>
            </w:pPr>
            <w:r>
              <w:rPr>
                <w:b/>
                <w:bCs/>
              </w:rPr>
            </w:r>
          </w:p>
        </w:tc>
        <w:tc>
          <w:tcPr>
            <w:tcW w:w="683" w:type="dxa"/>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rPr>
                <w:rFonts w:eastAsia="Times New Roman"/>
                <w:color w:val="000000"/>
              </w:rPr>
            </w:pPr>
            <w:r>
              <w:rPr>
                <w:rFonts w:eastAsia="Times New Roman"/>
                <w:color w:val="000000"/>
              </w:rPr>
              <w:t>PC2</w:t>
            </w:r>
          </w:p>
        </w:tc>
        <w:tc>
          <w:tcPr>
            <w:tcW w:w="1587"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right"/>
              <w:rPr>
                <w:rFonts w:eastAsia="Times New Roman"/>
                <w:color w:val="000000"/>
              </w:rPr>
            </w:pPr>
            <w:r>
              <w:rPr>
                <w:rFonts w:eastAsia="Times New Roman"/>
                <w:color w:val="000000"/>
              </w:rPr>
              <w:t>0.02±0.00</w:t>
            </w:r>
          </w:p>
        </w:tc>
        <w:tc>
          <w:tcPr>
            <w:tcW w:w="1703"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right"/>
              <w:rPr>
                <w:rFonts w:eastAsia="Times New Roman"/>
                <w:color w:val="000000"/>
              </w:rPr>
            </w:pPr>
            <w:r>
              <w:rPr>
                <w:rFonts w:eastAsia="Times New Roman"/>
                <w:color w:val="000000"/>
              </w:rPr>
              <w:t>0.08±0.00</w:t>
            </w:r>
          </w:p>
        </w:tc>
        <w:tc>
          <w:tcPr>
            <w:tcW w:w="1933" w:type="dxa"/>
            <w:gridSpan w:val="2"/>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0.08±0.00</w:t>
            </w:r>
          </w:p>
        </w:tc>
      </w:tr>
      <w:tr>
        <w:trPr>
          <w:trHeight w:val="300" w:hRule="atLeast"/>
          <w:cantSplit w:val="false"/>
        </w:trPr>
        <w:tc>
          <w:tcPr>
            <w:tcW w:w="1128" w:type="dxa"/>
            <w:vMerge w:val="restart"/>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center"/>
              <w:rPr>
                <w:rFonts w:eastAsia="Times New Roman"/>
                <w:b/>
                <w:bCs/>
                <w:i/>
                <w:color w:val="000000"/>
              </w:rPr>
            </w:pPr>
            <w:r>
              <w:rPr>
                <w:rFonts w:eastAsia="Times New Roman"/>
                <w:b/>
                <w:bCs/>
                <w:i/>
                <w:color w:val="000000"/>
              </w:rPr>
              <w:t>b</w:t>
            </w:r>
          </w:p>
        </w:tc>
        <w:tc>
          <w:tcPr>
            <w:tcW w:w="683" w:type="dxa"/>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rPr>
                <w:rFonts w:eastAsia="Times New Roman"/>
                <w:color w:val="000000"/>
              </w:rPr>
            </w:pPr>
            <w:r>
              <w:rPr>
                <w:rFonts w:eastAsia="Times New Roman"/>
                <w:color w:val="000000"/>
              </w:rPr>
              <w:t>PC1</w:t>
            </w:r>
          </w:p>
        </w:tc>
        <w:tc>
          <w:tcPr>
            <w:tcW w:w="1587"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right"/>
              <w:rPr>
                <w:rFonts w:eastAsia="Times New Roman"/>
                <w:color w:val="000000"/>
              </w:rPr>
            </w:pPr>
            <w:r>
              <w:rPr>
                <w:rFonts w:eastAsia="Times New Roman"/>
                <w:color w:val="000000"/>
              </w:rPr>
              <w:t>0.42±0.01</w:t>
            </w:r>
          </w:p>
        </w:tc>
        <w:tc>
          <w:tcPr>
            <w:tcW w:w="1703"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right"/>
              <w:rPr>
                <w:rFonts w:eastAsia="Times New Roman"/>
                <w:color w:val="000000"/>
              </w:rPr>
            </w:pPr>
            <w:r>
              <w:rPr>
                <w:rFonts w:eastAsia="Times New Roman"/>
                <w:color w:val="000000"/>
              </w:rPr>
              <w:t>0.37±0.01</w:t>
            </w:r>
          </w:p>
        </w:tc>
        <w:tc>
          <w:tcPr>
            <w:tcW w:w="1933" w:type="dxa"/>
            <w:gridSpan w:val="2"/>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0.38±0.01</w:t>
            </w:r>
          </w:p>
        </w:tc>
      </w:tr>
      <w:tr>
        <w:trPr>
          <w:trHeight w:val="300" w:hRule="atLeast"/>
          <w:cantSplit w:val="false"/>
        </w:trPr>
        <w:tc>
          <w:tcPr>
            <w:tcW w:w="1128" w:type="dxa"/>
            <w:vMerge w:val="continue"/>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center"/>
              <w:rPr>
                <w:b/>
                <w:bCs/>
              </w:rPr>
            </w:pPr>
            <w:r>
              <w:rPr>
                <w:b/>
                <w:bCs/>
              </w:rPr>
            </w:r>
          </w:p>
        </w:tc>
        <w:tc>
          <w:tcPr>
            <w:tcW w:w="683" w:type="dxa"/>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rPr>
                <w:rFonts w:eastAsia="Times New Roman"/>
                <w:color w:val="000000"/>
              </w:rPr>
            </w:pPr>
            <w:r>
              <w:rPr>
                <w:rFonts w:eastAsia="Times New Roman"/>
                <w:color w:val="000000"/>
              </w:rPr>
              <w:t>PC2</w:t>
            </w:r>
          </w:p>
        </w:tc>
        <w:tc>
          <w:tcPr>
            <w:tcW w:w="1587"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right"/>
              <w:rPr>
                <w:rFonts w:eastAsia="Times New Roman"/>
                <w:color w:val="000000"/>
              </w:rPr>
            </w:pPr>
            <w:r>
              <w:rPr>
                <w:rFonts w:eastAsia="Times New Roman"/>
                <w:color w:val="000000"/>
              </w:rPr>
              <w:t>0.03±0.00</w:t>
            </w:r>
          </w:p>
        </w:tc>
        <w:tc>
          <w:tcPr>
            <w:tcW w:w="1703"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right"/>
              <w:rPr>
                <w:rFonts w:eastAsia="Times New Roman"/>
                <w:color w:val="000000"/>
              </w:rPr>
            </w:pPr>
            <w:r>
              <w:rPr>
                <w:rFonts w:eastAsia="Times New Roman"/>
                <w:color w:val="000000"/>
              </w:rPr>
              <w:t>0.08±0.00</w:t>
            </w:r>
          </w:p>
        </w:tc>
        <w:tc>
          <w:tcPr>
            <w:tcW w:w="1933" w:type="dxa"/>
            <w:gridSpan w:val="2"/>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0.06±0.00</w:t>
            </w:r>
          </w:p>
        </w:tc>
      </w:tr>
      <w:tr>
        <w:trPr>
          <w:trHeight w:val="300" w:hRule="atLeast"/>
          <w:cantSplit w:val="false"/>
        </w:trPr>
        <w:tc>
          <w:tcPr>
            <w:tcW w:w="1128" w:type="dxa"/>
            <w:vMerge w:val="restart"/>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center"/>
              <w:rPr>
                <w:rFonts w:eastAsia="Times New Roman"/>
                <w:b/>
                <w:bCs/>
                <w:i/>
                <w:color w:val="000000"/>
              </w:rPr>
            </w:pPr>
            <w:r>
              <w:rPr>
                <w:rFonts w:eastAsia="Times New Roman"/>
                <w:b/>
                <w:bCs/>
                <w:i/>
                <w:color w:val="000000"/>
              </w:rPr>
              <w:t>c</w:t>
            </w:r>
          </w:p>
        </w:tc>
        <w:tc>
          <w:tcPr>
            <w:tcW w:w="683" w:type="dxa"/>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rPr>
                <w:rFonts w:eastAsia="Times New Roman"/>
                <w:color w:val="000000"/>
              </w:rPr>
            </w:pPr>
            <w:r>
              <w:rPr>
                <w:rFonts w:eastAsia="Times New Roman"/>
                <w:color w:val="000000"/>
              </w:rPr>
              <w:t>PC1</w:t>
            </w:r>
          </w:p>
        </w:tc>
        <w:tc>
          <w:tcPr>
            <w:tcW w:w="1587"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right"/>
              <w:rPr>
                <w:rFonts w:eastAsia="Times New Roman"/>
                <w:color w:val="000000"/>
              </w:rPr>
            </w:pPr>
            <w:r>
              <w:rPr>
                <w:rFonts w:eastAsia="Times New Roman"/>
                <w:color w:val="000000"/>
              </w:rPr>
              <w:t>0.32±0.01</w:t>
            </w:r>
          </w:p>
        </w:tc>
        <w:tc>
          <w:tcPr>
            <w:tcW w:w="1703"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right"/>
              <w:rPr>
                <w:rFonts w:eastAsia="Times New Roman"/>
                <w:color w:val="000000"/>
              </w:rPr>
            </w:pPr>
            <w:r>
              <w:rPr>
                <w:rFonts w:eastAsia="Times New Roman"/>
                <w:color w:val="000000"/>
              </w:rPr>
              <w:t>0.31±0.00</w:t>
            </w:r>
          </w:p>
        </w:tc>
        <w:tc>
          <w:tcPr>
            <w:tcW w:w="1933" w:type="dxa"/>
            <w:gridSpan w:val="2"/>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0.36±0.01</w:t>
            </w:r>
          </w:p>
        </w:tc>
      </w:tr>
      <w:tr>
        <w:trPr>
          <w:trHeight w:val="300" w:hRule="atLeast"/>
          <w:cantSplit w:val="false"/>
        </w:trPr>
        <w:tc>
          <w:tcPr>
            <w:tcW w:w="1128" w:type="dxa"/>
            <w:vMerge w:val="continue"/>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rPr/>
            </w:pPr>
            <w:r>
              <w:rPr/>
            </w:r>
          </w:p>
        </w:tc>
        <w:tc>
          <w:tcPr>
            <w:tcW w:w="683" w:type="dxa"/>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rPr>
                <w:rFonts w:eastAsia="Times New Roman"/>
                <w:color w:val="000000"/>
              </w:rPr>
            </w:pPr>
            <w:r>
              <w:rPr>
                <w:rFonts w:eastAsia="Times New Roman"/>
                <w:color w:val="000000"/>
              </w:rPr>
              <w:t>PC2</w:t>
            </w:r>
          </w:p>
        </w:tc>
        <w:tc>
          <w:tcPr>
            <w:tcW w:w="1587"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right"/>
              <w:rPr>
                <w:rFonts w:eastAsia="Times New Roman"/>
                <w:color w:val="000000"/>
              </w:rPr>
            </w:pPr>
            <w:r>
              <w:rPr>
                <w:rFonts w:eastAsia="Times New Roman"/>
                <w:color w:val="000000"/>
              </w:rPr>
              <w:t>0.04±0.00</w:t>
            </w:r>
          </w:p>
        </w:tc>
        <w:tc>
          <w:tcPr>
            <w:tcW w:w="1703" w:type="dxa"/>
            <w:gridSpan w:val="2"/>
            <w:tcBorders>
              <w:top w:val="nil"/>
              <w:left w:val="single" w:sz="4" w:space="0" w:color="00000A"/>
              <w:bottom w:val="single" w:sz="4" w:space="0" w:color="00000A"/>
              <w:insideH w:val="single" w:sz="4" w:space="0" w:color="00000A"/>
              <w:right w:val="nil"/>
              <w:insideV w:val="nil"/>
            </w:tcBorders>
            <w:shd w:fill="FFFFFF" w:val="clear"/>
            <w:tcMar>
              <w:left w:w="-5" w:type="dxa"/>
            </w:tcMar>
          </w:tcPr>
          <w:p>
            <w:pPr>
              <w:pStyle w:val="Normal"/>
              <w:jc w:val="right"/>
              <w:rPr>
                <w:rFonts w:eastAsia="Times New Roman"/>
                <w:color w:val="000000"/>
              </w:rPr>
            </w:pPr>
            <w:r>
              <w:rPr>
                <w:rFonts w:eastAsia="Times New Roman"/>
                <w:color w:val="000000"/>
              </w:rPr>
              <w:t>0.06±0.00</w:t>
            </w:r>
          </w:p>
        </w:tc>
        <w:tc>
          <w:tcPr>
            <w:tcW w:w="1933" w:type="dxa"/>
            <w:gridSpan w:val="2"/>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5" w:type="dxa"/>
            </w:tcMar>
          </w:tcPr>
          <w:p>
            <w:pPr>
              <w:pStyle w:val="Normal"/>
              <w:jc w:val="right"/>
              <w:rPr>
                <w:rFonts w:eastAsia="Times New Roman"/>
                <w:color w:val="000000"/>
              </w:rPr>
            </w:pPr>
            <w:r>
              <w:rPr>
                <w:rFonts w:eastAsia="Times New Roman"/>
                <w:color w:val="000000"/>
              </w:rPr>
              <w:t>0.05±0.00</w:t>
            </w:r>
          </w:p>
        </w:tc>
      </w:tr>
    </w:tbl>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b/>
          <w:bCs/>
        </w:rPr>
      </w:pPr>
      <w:r>
        <w:rPr>
          <w:b/>
          <w:bCs/>
        </w:rPr>
      </w:r>
    </w:p>
    <w:p>
      <w:pPr>
        <w:pStyle w:val="Normal"/>
        <w:pageBreakBefore/>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pPr>
      <w:r>
        <w:rPr>
          <w:b/>
          <w:bCs/>
        </w:rPr>
        <w:t xml:space="preserve">Table S6. </w:t>
      </w:r>
      <w:r>
        <w:rPr/>
        <w:t xml:space="preserve">Estimated proportion of admixture (± standard deviations) in the African cattle lineage, as inferred based on the relative position on PC1 of African cattle, as described in McVean (2009). Negative values are not significantly different from 0, and imply no admixture. Estimates are presented for the empirical data samples as well as nine combinations of simulation conditions (three migration scenarios: </w:t>
      </w:r>
      <w:r>
        <w:rPr>
          <w:i/>
        </w:rPr>
        <w:t>a</w:t>
      </w:r>
      <w:r>
        <w:rPr/>
        <w:t xml:space="preserve">, </w:t>
      </w:r>
      <w:r>
        <w:rPr>
          <w:i/>
        </w:rPr>
        <w:t>b</w:t>
      </w:r>
      <w:r>
        <w:rPr/>
        <w:t xml:space="preserve">, and </w:t>
      </w:r>
      <w:r>
        <w:rPr>
          <w:i/>
        </w:rPr>
        <w:t>c</w:t>
      </w:r>
      <w:r>
        <w:rPr/>
        <w:t>; and three ascertainment schemes: I, II, and III; see text for details)</w:t>
      </w:r>
    </w:p>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ind w:left="400" w:right="0" w:hanging="400"/>
        <w:rPr/>
      </w:pPr>
      <w:r>
        <w:rPr/>
      </w:r>
    </w:p>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ind w:left="400" w:right="0" w:hanging="400"/>
        <w:rPr/>
      </w:pPr>
      <w:r>
        <w:rPr/>
      </w:r>
    </w:p>
    <w:tbl>
      <w:tblPr>
        <w:jc w:val="left"/>
        <w:tblInd w:w="-19" w:type="dxa"/>
        <w:tblBorders>
          <w:top w:val="single" w:sz="2" w:space="0" w:color="000001"/>
          <w:left w:val="single" w:sz="2" w:space="0" w:color="000001"/>
          <w:bottom w:val="single" w:sz="2" w:space="0" w:color="000001"/>
          <w:insideH w:val="single" w:sz="2" w:space="0" w:color="000001"/>
          <w:right w:val="single" w:sz="2" w:space="0" w:color="000001"/>
          <w:insideV w:val="single" w:sz="2" w:space="0" w:color="000001"/>
        </w:tblBorders>
        <w:tblCellMar>
          <w:top w:w="55" w:type="dxa"/>
          <w:left w:w="-2" w:type="dxa"/>
          <w:bottom w:w="55" w:type="dxa"/>
          <w:right w:w="55" w:type="dxa"/>
        </w:tblCellMar>
      </w:tblPr>
      <w:tblGrid>
        <w:gridCol w:w="1448"/>
        <w:gridCol w:w="1548"/>
        <w:gridCol w:w="1547"/>
        <w:gridCol w:w="1557"/>
      </w:tblGrid>
      <w:tr>
        <w:trPr>
          <w:trHeight w:val="256" w:hRule="atLeast"/>
          <w:cantSplit w:val="false"/>
        </w:trPr>
        <w:tc>
          <w:tcPr>
            <w:tcW w:w="6100" w:type="dxa"/>
            <w:gridSpan w:val="4"/>
            <w:tcBorders>
              <w:top w:val="single" w:sz="2" w:space="0" w:color="000001"/>
              <w:left w:val="single" w:sz="2" w:space="0" w:color="000001"/>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rPr/>
            </w:pPr>
            <w:r>
              <w:rPr/>
              <w:t>Empirical data:   0.3948 ± 0.111</w:t>
            </w:r>
          </w:p>
        </w:tc>
      </w:tr>
      <w:tr>
        <w:trPr>
          <w:trHeight w:val="256" w:hRule="atLeast"/>
          <w:cantSplit w:val="false"/>
        </w:trPr>
        <w:tc>
          <w:tcPr>
            <w:tcW w:w="6100" w:type="dxa"/>
            <w:gridSpan w:val="4"/>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rPr/>
            </w:pPr>
            <w:r>
              <w:rPr/>
              <w:t>Simulated data:</w:t>
            </w:r>
          </w:p>
        </w:tc>
      </w:tr>
      <w:tr>
        <w:trPr>
          <w:trHeight w:val="256" w:hRule="atLeast"/>
          <w:cantSplit w:val="false"/>
        </w:trPr>
        <w:tc>
          <w:tcPr>
            <w:tcW w:w="1448"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i/>
                <w:iCs/>
              </w:rPr>
            </w:pPr>
            <w:r>
              <w:rPr>
                <w:b/>
                <w:bCs/>
                <w:i/>
                <w:iCs/>
              </w:rPr>
            </w:r>
          </w:p>
        </w:tc>
        <w:tc>
          <w:tcPr>
            <w:tcW w:w="1548"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rPr>
            </w:pPr>
            <w:r>
              <w:rPr>
                <w:b/>
                <w:bCs/>
              </w:rPr>
              <w:t>I</w:t>
            </w:r>
          </w:p>
        </w:tc>
        <w:tc>
          <w:tcPr>
            <w:tcW w:w="1547"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rPr>
            </w:pPr>
            <w:r>
              <w:rPr>
                <w:b/>
                <w:bCs/>
              </w:rPr>
              <w:t>II</w:t>
            </w:r>
          </w:p>
        </w:tc>
        <w:tc>
          <w:tcPr>
            <w:tcW w:w="155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center"/>
              <w:rPr>
                <w:b/>
                <w:bCs/>
              </w:rPr>
            </w:pPr>
            <w:r>
              <w:rPr>
                <w:b/>
                <w:bCs/>
              </w:rPr>
              <w:t>III</w:t>
            </w:r>
          </w:p>
        </w:tc>
      </w:tr>
      <w:tr>
        <w:trPr>
          <w:trHeight w:val="256" w:hRule="atLeast"/>
          <w:cantSplit w:val="false"/>
        </w:trPr>
        <w:tc>
          <w:tcPr>
            <w:tcW w:w="1448"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i/>
                <w:iCs/>
              </w:rPr>
            </w:pPr>
            <w:r>
              <w:rPr>
                <w:b/>
                <w:bCs/>
                <w:i/>
                <w:iCs/>
              </w:rPr>
              <w:t>a</w:t>
            </w:r>
          </w:p>
        </w:tc>
        <w:tc>
          <w:tcPr>
            <w:tcW w:w="1548"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rPr/>
            </w:pPr>
            <w:r>
              <w:rPr/>
              <w:t>0.0008±0.004</w:t>
            </w:r>
          </w:p>
        </w:tc>
        <w:tc>
          <w:tcPr>
            <w:tcW w:w="1547"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rPr/>
            </w:pPr>
            <w:r>
              <w:rPr/>
              <w:t>0.2332±0.020</w:t>
            </w:r>
          </w:p>
        </w:tc>
        <w:tc>
          <w:tcPr>
            <w:tcW w:w="155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rPr/>
            </w:pPr>
            <w:r>
              <w:rPr/>
              <w:t>-0.0147±0.028</w:t>
            </w:r>
          </w:p>
        </w:tc>
      </w:tr>
      <w:tr>
        <w:trPr>
          <w:trHeight w:val="256" w:hRule="atLeast"/>
          <w:cantSplit w:val="false"/>
        </w:trPr>
        <w:tc>
          <w:tcPr>
            <w:tcW w:w="1448"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i/>
                <w:iCs/>
              </w:rPr>
            </w:pPr>
            <w:r>
              <w:rPr>
                <w:b/>
                <w:bCs/>
                <w:i/>
                <w:iCs/>
              </w:rPr>
              <w:t>b</w:t>
            </w:r>
          </w:p>
        </w:tc>
        <w:tc>
          <w:tcPr>
            <w:tcW w:w="1548"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rPr/>
            </w:pPr>
            <w:r>
              <w:rPr/>
              <w:t>-0.0021±0.010</w:t>
            </w:r>
          </w:p>
        </w:tc>
        <w:tc>
          <w:tcPr>
            <w:tcW w:w="1547"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rPr/>
            </w:pPr>
            <w:r>
              <w:rPr/>
              <w:t>0.0204±0.179</w:t>
            </w:r>
          </w:p>
        </w:tc>
        <w:tc>
          <w:tcPr>
            <w:tcW w:w="155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rPr/>
            </w:pPr>
            <w:r>
              <w:rPr/>
              <w:t>-0.0066±0.021</w:t>
            </w:r>
          </w:p>
        </w:tc>
      </w:tr>
      <w:tr>
        <w:trPr>
          <w:trHeight w:val="256" w:hRule="atLeast"/>
          <w:cantSplit w:val="false"/>
        </w:trPr>
        <w:tc>
          <w:tcPr>
            <w:tcW w:w="1448"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i/>
                <w:iCs/>
              </w:rPr>
            </w:pPr>
            <w:r>
              <w:rPr>
                <w:b/>
                <w:bCs/>
                <w:i/>
                <w:iCs/>
              </w:rPr>
              <w:t>c</w:t>
            </w:r>
          </w:p>
        </w:tc>
        <w:tc>
          <w:tcPr>
            <w:tcW w:w="1548"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rPr/>
            </w:pPr>
            <w:r>
              <w:rPr/>
              <w:t>0.3256±0.024</w:t>
            </w:r>
          </w:p>
        </w:tc>
        <w:tc>
          <w:tcPr>
            <w:tcW w:w="1547"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rPr/>
            </w:pPr>
            <w:r>
              <w:rPr/>
              <w:t>0.4100±0.110</w:t>
            </w:r>
          </w:p>
        </w:tc>
        <w:tc>
          <w:tcPr>
            <w:tcW w:w="155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rPr/>
            </w:pPr>
            <w:r>
              <w:rPr/>
              <w:t>0.3143±0.020</w:t>
            </w:r>
          </w:p>
        </w:tc>
      </w:tr>
    </w:tbl>
    <w:p>
      <w:pPr>
        <w:pStyle w:val="Normal"/>
        <w:rPr>
          <w:b/>
          <w:bCs/>
        </w:rPr>
      </w:pPr>
      <w:r>
        <w:rPr>
          <w:b/>
          <w:bCs/>
        </w:rPr>
      </w:r>
    </w:p>
    <w:p>
      <w:pPr>
        <w:pStyle w:val="Normal"/>
        <w:pageBreakBefore/>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pPr>
      <w:r>
        <w:rPr>
          <w:b/>
          <w:bCs/>
        </w:rPr>
        <w:t>Table S7.</w:t>
      </w:r>
      <w:r>
        <w:rPr/>
        <w:t xml:space="preserve"> Residual sums of squares (± standard deviation) across five replicates of Procrustes analyses comparing principal component analyses of empirical data to simulated data. Residual sums of squares are presented for nine combinations of simulation conditions (three migration scenarios: </w:t>
      </w:r>
      <w:r>
        <w:rPr>
          <w:i/>
        </w:rPr>
        <w:t>a</w:t>
      </w:r>
      <w:r>
        <w:rPr/>
        <w:t xml:space="preserve">, </w:t>
      </w:r>
      <w:r>
        <w:rPr>
          <w:i/>
        </w:rPr>
        <w:t>b</w:t>
      </w:r>
      <w:r>
        <w:rPr/>
        <w:t xml:space="preserve">, and </w:t>
      </w:r>
      <w:r>
        <w:rPr>
          <w:i/>
        </w:rPr>
        <w:t>c</w:t>
      </w:r>
      <w:r>
        <w:rPr/>
        <w:t>; and three ascertainment schemes: I, II, and III; see text for details)</w:t>
      </w:r>
    </w:p>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ind w:left="400" w:right="0" w:hanging="400"/>
        <w:rPr/>
      </w:pPr>
      <w:r>
        <w:rPr/>
      </w:r>
    </w:p>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ind w:left="400" w:right="0" w:hanging="400"/>
        <w:rPr/>
      </w:pPr>
      <w:r>
        <w:rPr/>
      </w:r>
    </w:p>
    <w:tbl>
      <w:tblPr>
        <w:jc w:val="left"/>
        <w:tblInd w:w="-19" w:type="dxa"/>
        <w:tblBorders>
          <w:top w:val="single" w:sz="2" w:space="0" w:color="000001"/>
          <w:left w:val="single" w:sz="2" w:space="0" w:color="000001"/>
          <w:bottom w:val="single" w:sz="2" w:space="0" w:color="000001"/>
          <w:insideH w:val="single" w:sz="2" w:space="0" w:color="000001"/>
          <w:right w:val="nil"/>
          <w:insideV w:val="nil"/>
        </w:tblBorders>
        <w:tblCellMar>
          <w:top w:w="55" w:type="dxa"/>
          <w:left w:w="-2" w:type="dxa"/>
          <w:bottom w:w="55" w:type="dxa"/>
          <w:right w:w="55" w:type="dxa"/>
        </w:tblCellMar>
      </w:tblPr>
      <w:tblGrid>
        <w:gridCol w:w="620"/>
        <w:gridCol w:w="1675"/>
        <w:gridCol w:w="1674"/>
        <w:gridCol w:w="1682"/>
      </w:tblGrid>
      <w:tr>
        <w:trPr>
          <w:trHeight w:val="256" w:hRule="atLeast"/>
          <w:cantSplit w:val="false"/>
        </w:trPr>
        <w:tc>
          <w:tcPr>
            <w:tcW w:w="620"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rPr>
            </w:pPr>
            <w:r>
              <w:rPr>
                <w:b/>
                <w:bCs/>
              </w:rPr>
            </w:r>
          </w:p>
        </w:tc>
        <w:tc>
          <w:tcPr>
            <w:tcW w:w="1675"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rPr>
            </w:pPr>
            <w:r>
              <w:rPr>
                <w:b/>
                <w:bCs/>
              </w:rPr>
              <w:t>I</w:t>
            </w:r>
          </w:p>
        </w:tc>
        <w:tc>
          <w:tcPr>
            <w:tcW w:w="1674"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rPr>
            </w:pPr>
            <w:r>
              <w:rPr>
                <w:b/>
                <w:bCs/>
              </w:rPr>
              <w:t>II</w:t>
            </w:r>
          </w:p>
        </w:tc>
        <w:tc>
          <w:tcPr>
            <w:tcW w:w="1682" w:type="dxa"/>
            <w:tcBorders>
              <w:top w:val="single" w:sz="2" w:space="0" w:color="000001"/>
              <w:left w:val="single" w:sz="2" w:space="0" w:color="000001"/>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jc w:val="center"/>
              <w:rPr>
                <w:b/>
                <w:bCs/>
              </w:rPr>
            </w:pPr>
            <w:r>
              <w:rPr>
                <w:b/>
                <w:bCs/>
              </w:rPr>
              <w:t>III</w:t>
            </w:r>
          </w:p>
        </w:tc>
      </w:tr>
      <w:tr>
        <w:trPr>
          <w:trHeight w:val="256" w:hRule="atLeast"/>
          <w:cantSplit w:val="false"/>
        </w:trPr>
        <w:tc>
          <w:tcPr>
            <w:tcW w:w="620"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i/>
                <w:iCs/>
              </w:rPr>
            </w:pPr>
            <w:r>
              <w:rPr>
                <w:b/>
                <w:bCs/>
                <w:i/>
                <w:iCs/>
              </w:rPr>
              <w:t>a</w:t>
            </w:r>
          </w:p>
        </w:tc>
        <w:tc>
          <w:tcPr>
            <w:tcW w:w="1675"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rPr/>
            </w:pPr>
            <w:r>
              <w:rPr/>
              <w:t>0.0379 ± 0.004</w:t>
            </w:r>
          </w:p>
        </w:tc>
        <w:tc>
          <w:tcPr>
            <w:tcW w:w="1674"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rPr/>
            </w:pPr>
            <w:r>
              <w:rPr/>
              <w:t>0.0224 ± 0.003</w:t>
            </w:r>
          </w:p>
        </w:tc>
        <w:tc>
          <w:tcPr>
            <w:tcW w:w="1682"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rPr/>
            </w:pPr>
            <w:r>
              <w:rPr/>
              <w:t>0.0189 ± 0.001</w:t>
            </w:r>
          </w:p>
        </w:tc>
      </w:tr>
      <w:tr>
        <w:trPr>
          <w:trHeight w:val="256" w:hRule="atLeast"/>
          <w:cantSplit w:val="false"/>
        </w:trPr>
        <w:tc>
          <w:tcPr>
            <w:tcW w:w="620"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i/>
                <w:iCs/>
              </w:rPr>
            </w:pPr>
            <w:r>
              <w:rPr>
                <w:b/>
                <w:bCs/>
                <w:i/>
                <w:iCs/>
              </w:rPr>
              <w:t>b</w:t>
            </w:r>
          </w:p>
        </w:tc>
        <w:tc>
          <w:tcPr>
            <w:tcW w:w="1675"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rPr/>
            </w:pPr>
            <w:r>
              <w:rPr/>
              <w:t>0.0298 ± 0.004</w:t>
            </w:r>
          </w:p>
        </w:tc>
        <w:tc>
          <w:tcPr>
            <w:tcW w:w="1674"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rPr/>
            </w:pPr>
            <w:r>
              <w:rPr/>
              <w:t>0.0184 ± 0.002</w:t>
            </w:r>
          </w:p>
        </w:tc>
        <w:tc>
          <w:tcPr>
            <w:tcW w:w="1682"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rPr/>
            </w:pPr>
            <w:r>
              <w:rPr/>
              <w:t>0.0214 ± 0.002</w:t>
            </w:r>
          </w:p>
        </w:tc>
      </w:tr>
      <w:tr>
        <w:trPr>
          <w:trHeight w:val="256" w:hRule="atLeast"/>
          <w:cantSplit w:val="false"/>
        </w:trPr>
        <w:tc>
          <w:tcPr>
            <w:tcW w:w="620"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jc w:val="center"/>
              <w:rPr>
                <w:b/>
                <w:bCs/>
                <w:i/>
                <w:iCs/>
              </w:rPr>
            </w:pPr>
            <w:r>
              <w:rPr>
                <w:b/>
                <w:bCs/>
                <w:i/>
                <w:iCs/>
              </w:rPr>
              <w:t>c</w:t>
            </w:r>
          </w:p>
        </w:tc>
        <w:tc>
          <w:tcPr>
            <w:tcW w:w="1675"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rPr/>
            </w:pPr>
            <w:r>
              <w:rPr/>
              <w:t>0.0251 ± 0.004</w:t>
            </w:r>
          </w:p>
        </w:tc>
        <w:tc>
          <w:tcPr>
            <w:tcW w:w="1674" w:type="dxa"/>
            <w:tcBorders>
              <w:top w:val="nil"/>
              <w:left w:val="single" w:sz="2" w:space="0" w:color="000001"/>
              <w:bottom w:val="single" w:sz="2" w:space="0" w:color="000001"/>
              <w:insideH w:val="single" w:sz="2" w:space="0" w:color="000001"/>
              <w:right w:val="nil"/>
              <w:insideV w:val="nil"/>
            </w:tcBorders>
            <w:shd w:fill="FFFFFF" w:val="clear"/>
            <w:tcMar>
              <w:left w:w="-2" w:type="dxa"/>
            </w:tcMar>
            <w:vAlign w:val="bottom"/>
          </w:tcPr>
          <w:p>
            <w:pPr>
              <w:pStyle w:val="Normal"/>
              <w:rPr/>
            </w:pPr>
            <w:r>
              <w:rPr/>
              <w:t>0.0221 ± 0.001</w:t>
            </w:r>
          </w:p>
        </w:tc>
        <w:tc>
          <w:tcPr>
            <w:tcW w:w="1682"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2" w:type="dxa"/>
            </w:tcMar>
            <w:vAlign w:val="bottom"/>
          </w:tcPr>
          <w:p>
            <w:pPr>
              <w:pStyle w:val="Normal"/>
              <w:rPr/>
            </w:pPr>
            <w:r>
              <w:rPr/>
              <w:t>0.0248 ± 0.004</w:t>
            </w:r>
          </w:p>
        </w:tc>
      </w:tr>
    </w:tbl>
    <w:p>
      <w:pPr>
        <w:pStyle w:val="Normal"/>
        <w:rPr/>
      </w:pPr>
      <w:r>
        <w:rPr/>
      </w:r>
    </w:p>
    <w:p>
      <w:pPr>
        <w:pStyle w:val="Normal"/>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pPr>
      <w:r>
        <w:rPr/>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ucida Grande">
    <w:charset w:val="01"/>
    <w:family w:val="roman"/>
    <w:pitch w:val="variable"/>
  </w:font>
  <w:font w:name="Liberation Sans">
    <w:altName w:val="Arial"/>
    <w:charset w:val="01"/>
    <w:family w:val="swiss"/>
    <w:pitch w:val="variable"/>
  </w:font>
  <w:font w:name="Courier">
    <w:altName w:val="Courier New"/>
    <w:charset w:val="01"/>
    <w:family w:val="roman"/>
    <w:pitch w:val="variable"/>
  </w:font>
</w:fonts>
</file>

<file path=word/settings.xml><?xml version="1.0" encoding="utf-8"?>
<w:settings xmlns:w="http://schemas.openxmlformats.org/wordprocessingml/2006/main">
  <w:zoom w:percent="120"/>
  <w:defaultTabStop w:val="720"/>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en-US" w:eastAsia="zh-CN" w:bidi="hi-IN"/>
      </w:rPr>
    </w:rPrDefault>
    <w:pPrDefault>
      <w:pPr/>
    </w:pPrDefault>
  </w:docDefaults>
  <w:latentStyles w:count="276"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rsid w:val="00700cbf"/>
    <w:pPr>
      <w:widowControl w:val="false"/>
      <w:suppressAutoHyphens w:val="true"/>
      <w:bidi w:val="0"/>
      <w:jc w:val="left"/>
    </w:pPr>
    <w:rPr>
      <w:rFonts w:ascii="Liberation Serif" w:hAnsi="Liberation Serif" w:eastAsia="Droid Sans Fallback" w:cs="FreeSans"/>
      <w:color w:val="00000A"/>
      <w:sz w:val="24"/>
      <w:szCs w:val="24"/>
      <w:lang w:val="en-US" w:eastAsia="zh-CN" w:bidi="hi-IN"/>
    </w:rPr>
  </w:style>
  <w:style w:type="character" w:styleId="DefaultParagraphFont" w:default="1">
    <w:name w:val="Default Paragraph Font"/>
    <w:semiHidden/>
    <w:unhideWhenUsed/>
    <w:rPr/>
  </w:style>
  <w:style w:type="character" w:styleId="BalloonTextChar" w:customStyle="1">
    <w:name w:val="Balloon Text Char"/>
    <w:uiPriority w:val="99"/>
    <w:semiHidden/>
    <w:link w:val="BalloonText"/>
    <w:rsid w:val="00c408ca"/>
    <w:basedOn w:val="DefaultParagraphFont"/>
    <w:rPr>
      <w:rFonts w:ascii="Lucida Grande" w:hAnsi="Lucida Grande" w:cs="Lucida Grande"/>
      <w:color w:val="00000A"/>
      <w:sz w:val="18"/>
      <w:szCs w:val="18"/>
    </w:rPr>
  </w:style>
  <w:style w:type="character" w:styleId="Annotationreference">
    <w:name w:val="annotation reference"/>
    <w:uiPriority w:val="99"/>
    <w:semiHidden/>
    <w:unhideWhenUsed/>
    <w:rsid w:val="00c408ca"/>
    <w:basedOn w:val="DefaultParagraphFont"/>
    <w:rPr>
      <w:sz w:val="18"/>
      <w:szCs w:val="18"/>
    </w:rPr>
  </w:style>
  <w:style w:type="character" w:styleId="CommentTextChar" w:customStyle="1">
    <w:name w:val="Comment Text Char"/>
    <w:uiPriority w:val="99"/>
    <w:semiHidden/>
    <w:link w:val="CommentText"/>
    <w:rsid w:val="00c408ca"/>
    <w:basedOn w:val="DefaultParagraphFont"/>
    <w:rPr>
      <w:color w:val="00000A"/>
    </w:rPr>
  </w:style>
  <w:style w:type="character" w:styleId="CommentSubjectChar" w:customStyle="1">
    <w:name w:val="Comment Subject Char"/>
    <w:uiPriority w:val="99"/>
    <w:semiHidden/>
    <w:link w:val="CommentSubject"/>
    <w:rsid w:val="00c408ca"/>
    <w:basedOn w:val="CommentTextChar"/>
    <w:rPr>
      <w:b/>
      <w:bCs/>
      <w:sz w:val="20"/>
      <w:szCs w:val="20"/>
    </w:rPr>
  </w:style>
  <w:style w:type="paragraph" w:styleId="Heading" w:customStyle="1">
    <w:name w:val="Heading"/>
    <w:rsid w:val="00700cbf"/>
    <w:basedOn w:val="Normal"/>
    <w:next w:val="TextBody"/>
    <w:pPr>
      <w:keepNext/>
      <w:spacing w:before="240" w:after="120"/>
    </w:pPr>
    <w:rPr>
      <w:rFonts w:ascii="Liberation Sans" w:hAnsi="Liberation Sans" w:eastAsia="Droid Sans Fallback" w:cs="FreeSans"/>
      <w:sz w:val="28"/>
      <w:szCs w:val="28"/>
    </w:rPr>
  </w:style>
  <w:style w:type="paragraph" w:styleId="TextBody" w:customStyle="1">
    <w:name w:val="Text Body"/>
    <w:rsid w:val="00700cbf"/>
    <w:basedOn w:val="Normal"/>
    <w:pPr>
      <w:spacing w:lineRule="auto" w:line="288" w:before="0" w:after="140"/>
    </w:pPr>
    <w:rPr/>
  </w:style>
  <w:style w:type="paragraph" w:styleId="List">
    <w:name w:val="List"/>
    <w:rsid w:val="00700cbf"/>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customStyle="1">
    <w:name w:val="Index"/>
    <w:rsid w:val="00700cbf"/>
    <w:basedOn w:val="Normal"/>
    <w:pPr>
      <w:suppressLineNumbers/>
    </w:pPr>
    <w:rPr>
      <w:rFonts w:cs="FreeSans"/>
    </w:rPr>
  </w:style>
  <w:style w:type="paragraph" w:styleId="Caption1">
    <w:name w:val="caption"/>
    <w:rsid w:val="00700cbf"/>
    <w:basedOn w:val="Normal"/>
    <w:pPr>
      <w:suppressLineNumbers/>
      <w:spacing w:before="120" w:after="120"/>
    </w:pPr>
    <w:rPr>
      <w:i/>
      <w:iCs/>
    </w:rPr>
  </w:style>
  <w:style w:type="paragraph" w:styleId="PreformattedText" w:customStyle="1">
    <w:name w:val="Preformatted Text"/>
    <w:rsid w:val="00700cbf"/>
    <w:basedOn w:val="Normal"/>
    <w:pPr/>
    <w:rPr/>
  </w:style>
  <w:style w:type="paragraph" w:styleId="BalloonText">
    <w:name w:val="Balloon Text"/>
    <w:uiPriority w:val="99"/>
    <w:semiHidden/>
    <w:unhideWhenUsed/>
    <w:link w:val="BalloonTextChar"/>
    <w:rsid w:val="00c408ca"/>
    <w:basedOn w:val="Normal"/>
    <w:pPr/>
    <w:rPr>
      <w:rFonts w:ascii="Lucida Grande" w:hAnsi="Lucida Grande" w:cs="Lucida Grande"/>
      <w:sz w:val="18"/>
      <w:szCs w:val="18"/>
    </w:rPr>
  </w:style>
  <w:style w:type="paragraph" w:styleId="Annotationtext">
    <w:name w:val="annotation text"/>
    <w:uiPriority w:val="99"/>
    <w:semiHidden/>
    <w:unhideWhenUsed/>
    <w:link w:val="CommentTextChar"/>
    <w:rsid w:val="00c408ca"/>
    <w:basedOn w:val="Normal"/>
    <w:pPr/>
    <w:rPr/>
  </w:style>
  <w:style w:type="paragraph" w:styleId="Annotationsubject">
    <w:name w:val="annotation subject"/>
    <w:uiPriority w:val="99"/>
    <w:semiHidden/>
    <w:unhideWhenUsed/>
    <w:link w:val="CommentSubjectChar"/>
    <w:rsid w:val="00c408ca"/>
    <w:basedOn w:val="Annotationtext"/>
    <w:pPr/>
    <w:rPr>
      <w:b/>
      <w:bCs/>
      <w:sz w:val="20"/>
      <w:szCs w:val="20"/>
    </w:rPr>
  </w:style>
  <w:style w:type="numbering" w:styleId="NoList" w:default="1">
    <w:name w:val="No List"/>
    <w:semiHidden/>
    <w:unhideWhenUsed/>
  </w:style>
  <w:style w:type="table" w:default="1" w:styleId="TableNormal">
    <w:name w:val="Normal Table"/>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LibreOffice/4.2.7.2$Linux_X86_64 LibreOffice_project/420m0$Build-2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2015-03-02T20:16:00Z</dcterms:created>
  <dc:language>en-US</dc:language>
  <cp:lastModifiedBy>David Hillis</cp:lastModifiedBy>
  <dcterms:modified xsi:type="dcterms:W3CDTF">2015-03-02T20:16:00Z</dcterms:modified>
  <cp:revision>2</cp:revision>
</cp:coreProperties>
</file>