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456C8" w14:textId="77777777" w:rsidR="00BE704E" w:rsidRDefault="00BE704E" w:rsidP="00BE704E">
      <w:pPr>
        <w:spacing w:line="480" w:lineRule="auto"/>
        <w:contextualSpacing/>
        <w:rPr>
          <w:rFonts w:ascii="Arial" w:hAnsi="Arial"/>
          <w:b/>
          <w:i/>
        </w:rPr>
      </w:pPr>
      <w:bookmarkStart w:id="0" w:name="_GoBack"/>
      <w:r>
        <w:rPr>
          <w:rFonts w:ascii="Arial" w:hAnsi="Arial"/>
          <w:b/>
          <w:i/>
          <w:u w:val="single"/>
        </w:rPr>
        <w:t>Supplementary Notes:</w:t>
      </w:r>
      <w:r w:rsidRPr="00E32A00">
        <w:rPr>
          <w:rFonts w:ascii="Arial" w:hAnsi="Arial"/>
          <w:b/>
          <w:i/>
        </w:rPr>
        <w:t xml:space="preserve"> </w:t>
      </w:r>
    </w:p>
    <w:bookmarkEnd w:id="0"/>
    <w:p w14:paraId="0F420B67" w14:textId="40A62B52" w:rsidR="00BE704E" w:rsidRPr="00C00EB8" w:rsidRDefault="00BE704E" w:rsidP="00BE704E">
      <w:pPr>
        <w:spacing w:line="480" w:lineRule="auto"/>
        <w:contextualSpacing/>
        <w:rPr>
          <w:rFonts w:ascii="Arial" w:hAnsi="Arial"/>
        </w:rPr>
      </w:pPr>
      <w:r w:rsidRPr="00E32A00">
        <w:rPr>
          <w:rFonts w:ascii="Arial" w:hAnsi="Arial"/>
          <w:b/>
          <w:i/>
          <w:u w:val="single"/>
        </w:rPr>
        <w:t xml:space="preserve">Real-Time Quantitative PCR </w:t>
      </w:r>
      <w:r>
        <w:rPr>
          <w:rFonts w:ascii="Arial" w:hAnsi="Arial"/>
          <w:b/>
          <w:i/>
          <w:u w:val="single"/>
        </w:rPr>
        <w:t>Analysis:</w:t>
      </w:r>
      <w:r w:rsidRPr="00E32A00">
        <w:rPr>
          <w:rFonts w:ascii="Arial" w:hAnsi="Arial"/>
          <w:b/>
          <w:i/>
        </w:rPr>
        <w:t xml:space="preserve"> </w:t>
      </w:r>
      <w:r w:rsidRPr="00C00EB8">
        <w:rPr>
          <w:rFonts w:ascii="Arial" w:hAnsi="Arial"/>
        </w:rPr>
        <w:t>mRNA expression levels of CFLAR spliced isoforms were quantitated in HAPMAP LCLs</w:t>
      </w:r>
      <w:r>
        <w:rPr>
          <w:rFonts w:ascii="Arial" w:hAnsi="Arial"/>
        </w:rPr>
        <w:t xml:space="preserve"> </w:t>
      </w:r>
      <w:r w:rsidRPr="00C00EB8">
        <w:rPr>
          <w:rFonts w:ascii="Arial" w:hAnsi="Arial"/>
        </w:rPr>
        <w:t xml:space="preserve">and Panc-1 cell lines. Briefly, total RNA was extracted using the </w:t>
      </w:r>
      <w:proofErr w:type="spellStart"/>
      <w:r w:rsidRPr="00C00EB8">
        <w:rPr>
          <w:rFonts w:ascii="Arial" w:hAnsi="Arial"/>
        </w:rPr>
        <w:t>RNAeasy</w:t>
      </w:r>
      <w:proofErr w:type="spellEnd"/>
      <w:r w:rsidRPr="00C00EB8">
        <w:rPr>
          <w:rFonts w:ascii="Arial" w:hAnsi="Arial"/>
        </w:rPr>
        <w:t xml:space="preserve"> kit (QIAGEN</w:t>
      </w:r>
      <w:r>
        <w:rPr>
          <w:rFonts w:ascii="Arial" w:hAnsi="Arial"/>
        </w:rPr>
        <w:t>, USA</w:t>
      </w:r>
      <w:r w:rsidRPr="00C00EB8">
        <w:rPr>
          <w:rFonts w:ascii="Arial" w:hAnsi="Arial"/>
        </w:rPr>
        <w:t>)</w:t>
      </w:r>
      <w:r>
        <w:rPr>
          <w:rFonts w:ascii="Arial" w:hAnsi="Arial"/>
        </w:rPr>
        <w:t xml:space="preserve"> and</w:t>
      </w:r>
      <w:r w:rsidRPr="00C00EB8">
        <w:rPr>
          <w:rFonts w:ascii="Arial" w:hAnsi="Arial"/>
        </w:rPr>
        <w:t xml:space="preserve"> </w:t>
      </w:r>
      <w:proofErr w:type="spellStart"/>
      <w:r w:rsidRPr="00C00EB8">
        <w:rPr>
          <w:rFonts w:ascii="Arial" w:hAnsi="Arial"/>
        </w:rPr>
        <w:t>c</w:t>
      </w:r>
      <w:r>
        <w:rPr>
          <w:rFonts w:ascii="Arial" w:hAnsi="Arial"/>
        </w:rPr>
        <w:t>DNA</w:t>
      </w:r>
      <w:proofErr w:type="spellEnd"/>
      <w:r>
        <w:rPr>
          <w:rFonts w:ascii="Arial" w:hAnsi="Arial"/>
        </w:rPr>
        <w:t xml:space="preserve"> was synthesized</w:t>
      </w:r>
      <w:r w:rsidRPr="00C00EB8">
        <w:rPr>
          <w:rFonts w:ascii="Arial" w:hAnsi="Arial"/>
        </w:rPr>
        <w:t xml:space="preserve"> using </w:t>
      </w:r>
      <w:r>
        <w:rPr>
          <w:rFonts w:ascii="Arial" w:hAnsi="Arial"/>
        </w:rPr>
        <w:t xml:space="preserve">High Capacity </w:t>
      </w:r>
      <w:proofErr w:type="spellStart"/>
      <w:r>
        <w:rPr>
          <w:rFonts w:ascii="Arial" w:hAnsi="Arial"/>
        </w:rPr>
        <w:t>c</w:t>
      </w:r>
      <w:r w:rsidRPr="00C00EB8">
        <w:rPr>
          <w:rFonts w:ascii="Arial" w:hAnsi="Arial"/>
        </w:rPr>
        <w:t>DNA</w:t>
      </w:r>
      <w:proofErr w:type="spellEnd"/>
      <w:r w:rsidRPr="00C00EB8">
        <w:rPr>
          <w:rFonts w:ascii="Arial" w:hAnsi="Arial"/>
        </w:rPr>
        <w:t xml:space="preserve"> reverse</w:t>
      </w:r>
      <w:r>
        <w:rPr>
          <w:rFonts w:ascii="Arial" w:hAnsi="Arial"/>
        </w:rPr>
        <w:t xml:space="preserve"> transcription kit (Life Technologies</w:t>
      </w:r>
      <w:r w:rsidRPr="00C00EB8">
        <w:rPr>
          <w:rFonts w:ascii="Arial" w:hAnsi="Arial"/>
        </w:rPr>
        <w:t>, USA). Quantitative real-time PCR was carried out using ABI</w:t>
      </w:r>
      <w:r>
        <w:rPr>
          <w:rFonts w:ascii="Arial" w:hAnsi="Arial"/>
        </w:rPr>
        <w:t>7900-HT R</w:t>
      </w:r>
      <w:r w:rsidRPr="00C00EB8">
        <w:rPr>
          <w:rFonts w:ascii="Arial" w:hAnsi="Arial"/>
        </w:rPr>
        <w:t xml:space="preserve">eal-time PCR system and </w:t>
      </w:r>
      <w:proofErr w:type="spellStart"/>
      <w:r w:rsidRPr="00C00EB8">
        <w:rPr>
          <w:rFonts w:ascii="Arial" w:hAnsi="Arial"/>
        </w:rPr>
        <w:t>QuantiTect</w:t>
      </w:r>
      <w:proofErr w:type="spellEnd"/>
      <w:r w:rsidRPr="00C00EB8">
        <w:rPr>
          <w:rFonts w:ascii="Arial" w:hAnsi="Arial"/>
        </w:rPr>
        <w:t xml:space="preserve"> SYBR Green PC</w:t>
      </w:r>
      <w:r>
        <w:rPr>
          <w:rFonts w:ascii="Arial" w:hAnsi="Arial"/>
        </w:rPr>
        <w:t>R Kit</w:t>
      </w:r>
      <w:r w:rsidRPr="00C00EB8">
        <w:rPr>
          <w:rFonts w:ascii="Arial" w:hAnsi="Arial"/>
        </w:rPr>
        <w:t xml:space="preserve">. Gene and isoform specific oligonucleotide primers </w:t>
      </w:r>
      <w:r>
        <w:rPr>
          <w:rFonts w:ascii="Arial" w:hAnsi="Arial"/>
        </w:rPr>
        <w:t>are listed below</w:t>
      </w:r>
      <w:r w:rsidRPr="00C00EB8">
        <w:rPr>
          <w:rFonts w:ascii="Arial" w:hAnsi="Arial"/>
        </w:rPr>
        <w:t xml:space="preserve">. </w:t>
      </w:r>
    </w:p>
    <w:p w14:paraId="73BC329A" w14:textId="77777777" w:rsidR="00BE704E" w:rsidRDefault="00BE704E" w:rsidP="00BE704E">
      <w:pPr>
        <w:spacing w:line="480" w:lineRule="auto"/>
        <w:contextualSpacing/>
        <w:rPr>
          <w:rFonts w:ascii="Arial" w:hAnsi="Arial"/>
        </w:rPr>
      </w:pPr>
      <w:r w:rsidRPr="00C00EB8">
        <w:rPr>
          <w:rFonts w:ascii="Arial" w:hAnsi="Arial"/>
        </w:rPr>
        <w:t>Common forward Primer 5’- GGACCTTGTGGTTGAGTTGGA-3’ (in exon 5) was used for all CFLAR isoform</w:t>
      </w:r>
      <w:r>
        <w:rPr>
          <w:rFonts w:ascii="Arial" w:hAnsi="Arial"/>
        </w:rPr>
        <w:t>s</w:t>
      </w:r>
    </w:p>
    <w:p w14:paraId="15EE2307" w14:textId="77777777" w:rsidR="00BE704E" w:rsidRDefault="00BE704E" w:rsidP="00BE704E">
      <w:pPr>
        <w:spacing w:line="480" w:lineRule="auto"/>
        <w:contextualSpacing/>
        <w:rPr>
          <w:rFonts w:ascii="Arial" w:hAnsi="Arial"/>
        </w:rPr>
      </w:pPr>
      <w:r>
        <w:rPr>
          <w:rFonts w:ascii="Arial" w:hAnsi="Arial"/>
        </w:rPr>
        <w:t xml:space="preserve"> CFLAR –Long isoform </w:t>
      </w:r>
      <w:r w:rsidRPr="00C00EB8">
        <w:rPr>
          <w:rFonts w:ascii="Arial" w:hAnsi="Arial"/>
        </w:rPr>
        <w:t xml:space="preserve">reverse primers 5’-GAGCGCCAAGCTGTTCCTTA-3’ (exon 8), </w:t>
      </w:r>
    </w:p>
    <w:p w14:paraId="6BC2785D" w14:textId="77777777" w:rsidR="00BE704E" w:rsidRDefault="00BE704E" w:rsidP="00BE704E">
      <w:pPr>
        <w:spacing w:line="480" w:lineRule="auto"/>
        <w:contextualSpacing/>
        <w:rPr>
          <w:rFonts w:ascii="Arial" w:hAnsi="Arial"/>
        </w:rPr>
      </w:pPr>
      <w:r>
        <w:rPr>
          <w:rFonts w:ascii="Arial" w:hAnsi="Arial"/>
        </w:rPr>
        <w:t xml:space="preserve">CFLAR- Short isoform reverse primer </w:t>
      </w:r>
      <w:r w:rsidRPr="00C00EB8">
        <w:rPr>
          <w:rFonts w:ascii="Arial" w:hAnsi="Arial"/>
        </w:rPr>
        <w:t xml:space="preserve">5’-CATAGGGTGTTATCATCCTGAAGT-3’ (in exon 7) </w:t>
      </w:r>
    </w:p>
    <w:p w14:paraId="1E908A2A" w14:textId="77777777" w:rsidR="00BE704E" w:rsidRDefault="00BE704E" w:rsidP="00BE704E">
      <w:pPr>
        <w:spacing w:line="480" w:lineRule="auto"/>
        <w:contextualSpacing/>
        <w:rPr>
          <w:rFonts w:ascii="Arial" w:hAnsi="Arial"/>
        </w:rPr>
      </w:pPr>
      <w:r>
        <w:rPr>
          <w:rFonts w:ascii="Arial" w:hAnsi="Arial"/>
        </w:rPr>
        <w:t>CFLAR-</w:t>
      </w:r>
      <w:proofErr w:type="spellStart"/>
      <w:r>
        <w:rPr>
          <w:rFonts w:ascii="Arial" w:hAnsi="Arial"/>
        </w:rPr>
        <w:t>Raji</w:t>
      </w:r>
      <w:proofErr w:type="spellEnd"/>
      <w:r>
        <w:rPr>
          <w:rFonts w:ascii="Arial" w:hAnsi="Arial"/>
        </w:rPr>
        <w:t xml:space="preserve"> isoform reverse primer</w:t>
      </w:r>
      <w:r w:rsidRPr="00C00EB8">
        <w:rPr>
          <w:rFonts w:ascii="Arial" w:hAnsi="Arial"/>
        </w:rPr>
        <w:t xml:space="preserve"> 5’- TGGGATTCCATATGTTTTCTCCAG-3’ (intron6) </w:t>
      </w:r>
    </w:p>
    <w:p w14:paraId="2A1122D5" w14:textId="77777777" w:rsidR="00BE704E" w:rsidRDefault="00BE704E" w:rsidP="00BE704E">
      <w:pPr>
        <w:spacing w:line="480" w:lineRule="auto"/>
        <w:contextualSpacing/>
        <w:rPr>
          <w:rFonts w:ascii="Arial" w:hAnsi="Arial"/>
        </w:rPr>
      </w:pPr>
      <w:r w:rsidRPr="00C00EB8">
        <w:rPr>
          <w:rFonts w:ascii="Arial" w:hAnsi="Arial"/>
        </w:rPr>
        <w:t>GAPDH, forward primer 5’- AGGGCTGCTTTTAACTCTGGT-3’ and reverse primer 5’- CC</w:t>
      </w:r>
      <w:r>
        <w:rPr>
          <w:rFonts w:ascii="Arial" w:hAnsi="Arial"/>
        </w:rPr>
        <w:t>CCACTTGATTTTGGAGGGA-3’</w:t>
      </w:r>
      <w:r w:rsidRPr="00C00EB8">
        <w:rPr>
          <w:rFonts w:ascii="Arial" w:hAnsi="Arial"/>
        </w:rPr>
        <w:t>.</w:t>
      </w:r>
    </w:p>
    <w:p w14:paraId="6E721A58" w14:textId="77777777" w:rsidR="00BE704E" w:rsidRPr="00C00EB8" w:rsidRDefault="00BE704E" w:rsidP="00BE704E">
      <w:pPr>
        <w:spacing w:line="480" w:lineRule="auto"/>
        <w:contextualSpacing/>
        <w:rPr>
          <w:rFonts w:ascii="Arial" w:hAnsi="Arial"/>
        </w:rPr>
      </w:pPr>
      <w:r w:rsidRPr="00C00EB8">
        <w:rPr>
          <w:rFonts w:ascii="Arial" w:hAnsi="Arial"/>
        </w:rPr>
        <w:t>The relative levels of CFLAR isoforms was determined by 2</w:t>
      </w:r>
      <w:r>
        <w:rPr>
          <w:rFonts w:ascii="Arial" w:hAnsi="Arial"/>
        </w:rPr>
        <w:t>^</w:t>
      </w:r>
      <w:r w:rsidRPr="00C00EB8">
        <w:rPr>
          <w:rFonts w:ascii="Arial" w:hAnsi="Arial"/>
        </w:rPr>
        <w:t>-</w:t>
      </w:r>
      <w:r>
        <w:rPr>
          <w:rFonts w:ascii="Arial" w:hAnsi="Arial"/>
        </w:rPr>
        <w:t>ΔΔ</w:t>
      </w:r>
      <w:r w:rsidRPr="00C00EB8">
        <w:rPr>
          <w:rFonts w:ascii="Arial" w:hAnsi="Arial"/>
        </w:rPr>
        <w:t xml:space="preserve">CT method after normalization to GAPDH levels. </w:t>
      </w:r>
    </w:p>
    <w:p w14:paraId="2A69A16C" w14:textId="77777777" w:rsidR="008D0BBA" w:rsidRDefault="008D0BBA"/>
    <w:p w14:paraId="3C3AABF9" w14:textId="77777777" w:rsidR="007E7D54" w:rsidRPr="00C00EB8" w:rsidRDefault="007E7D54" w:rsidP="007E7D54">
      <w:pPr>
        <w:spacing w:line="480" w:lineRule="auto"/>
        <w:rPr>
          <w:rFonts w:ascii="Arial" w:hAnsi="Arial"/>
        </w:rPr>
      </w:pPr>
      <w:r w:rsidRPr="00E32A00">
        <w:rPr>
          <w:rFonts w:ascii="Arial" w:hAnsi="Arial"/>
          <w:b/>
          <w:i/>
          <w:u w:val="single"/>
        </w:rPr>
        <w:t>Association analysis of triptolide cytotoxicity with genetic variation</w:t>
      </w:r>
      <w:r>
        <w:rPr>
          <w:rFonts w:ascii="Arial" w:hAnsi="Arial"/>
          <w:b/>
          <w:i/>
        </w:rPr>
        <w:t>:</w:t>
      </w:r>
      <w:r w:rsidRPr="00C00EB8">
        <w:rPr>
          <w:rFonts w:ascii="Arial" w:hAnsi="Arial"/>
          <w:b/>
          <w:i/>
        </w:rPr>
        <w:t xml:space="preserve"> </w:t>
      </w:r>
      <w:r w:rsidRPr="00C00EB8">
        <w:rPr>
          <w:rFonts w:ascii="Arial" w:hAnsi="Arial"/>
        </w:rPr>
        <w:t xml:space="preserve">SNP genotype </w:t>
      </w:r>
      <w:r>
        <w:rPr>
          <w:rFonts w:ascii="Arial" w:hAnsi="Arial"/>
        </w:rPr>
        <w:t>(n= 4098136)</w:t>
      </w:r>
      <w:r w:rsidRPr="00C00EB8">
        <w:rPr>
          <w:rFonts w:ascii="Arial" w:hAnsi="Arial"/>
        </w:rPr>
        <w:t xml:space="preserve"> data was retrieved from the HapMap (release 23) for all 55 samples</w:t>
      </w:r>
      <w:r>
        <w:rPr>
          <w:rFonts w:ascii="Arial" w:hAnsi="Arial"/>
        </w:rPr>
        <w:t xml:space="preserve"> (</w:t>
      </w:r>
      <w:r w:rsidRPr="00C00EB8">
        <w:rPr>
          <w:rFonts w:ascii="Arial" w:hAnsi="Arial"/>
        </w:rPr>
        <w:t>29 f</w:t>
      </w:r>
      <w:r>
        <w:rPr>
          <w:rFonts w:ascii="Arial" w:hAnsi="Arial"/>
        </w:rPr>
        <w:t xml:space="preserve">emale and 26 male). </w:t>
      </w:r>
      <w:r w:rsidRPr="00C00EB8">
        <w:rPr>
          <w:rFonts w:ascii="Arial" w:hAnsi="Arial"/>
        </w:rPr>
        <w:t xml:space="preserve">The genomic position of these markers </w:t>
      </w:r>
      <w:r w:rsidRPr="00C00EB8">
        <w:rPr>
          <w:rFonts w:ascii="Arial" w:hAnsi="Arial"/>
        </w:rPr>
        <w:lastRenderedPageBreak/>
        <w:t>were updated from NCBI build 36 to NCBI build 37 patch 0, based on conversion data from NCBI (</w:t>
      </w:r>
      <w:hyperlink r:id="rId5" w:history="1">
        <w:r w:rsidRPr="00C00EB8">
          <w:rPr>
            <w:rStyle w:val="Hyperlink"/>
            <w:rFonts w:ascii="Arial" w:hAnsi="Arial"/>
          </w:rPr>
          <w:t>ftp://ftp.ncbi.nih.gov/snp/organisms/human_9606/database/organism_data/b131_SNPChrPosOnRef_37_1.bcp.gz</w:t>
        </w:r>
      </w:hyperlink>
      <w:r>
        <w:rPr>
          <w:rFonts w:ascii="Arial" w:hAnsi="Arial"/>
        </w:rPr>
        <w:t>).</w:t>
      </w:r>
      <w:r w:rsidRPr="00C00EB8">
        <w:rPr>
          <w:rFonts w:ascii="Arial" w:hAnsi="Arial"/>
        </w:rPr>
        <w:t xml:space="preserve"> In the process of build changes, several SNPs were lost </w:t>
      </w:r>
      <w:r>
        <w:rPr>
          <w:rFonts w:ascii="Arial" w:hAnsi="Arial"/>
        </w:rPr>
        <w:t>(n=11949).</w:t>
      </w:r>
      <w:r w:rsidRPr="00C00EB8">
        <w:rPr>
          <w:rFonts w:ascii="Arial" w:hAnsi="Arial"/>
        </w:rPr>
        <w:t xml:space="preserve"> The first quality control measure considered was per SNP call rate, SNPs with a call rate &lt;</w:t>
      </w:r>
      <w:r>
        <w:rPr>
          <w:rFonts w:ascii="Arial" w:hAnsi="Arial"/>
        </w:rPr>
        <w:t xml:space="preserve"> 0.95 were dropped (n= 599102).</w:t>
      </w:r>
      <w:r w:rsidRPr="00C00EB8">
        <w:rPr>
          <w:rFonts w:ascii="Arial" w:hAnsi="Arial"/>
        </w:rPr>
        <w:t xml:space="preserve"> Next, an exact test of HWE was conducted and no SNPs where found to have a p-value &lt; 10</w:t>
      </w:r>
      <w:r w:rsidRPr="00C00EB8">
        <w:rPr>
          <w:rFonts w:ascii="Arial" w:hAnsi="Arial"/>
          <w:vertAlign w:val="superscript"/>
        </w:rPr>
        <w:t>-6</w:t>
      </w:r>
      <w:r w:rsidRPr="00C00EB8">
        <w:rPr>
          <w:rFonts w:ascii="Arial" w:hAnsi="Arial"/>
        </w:rPr>
        <w:t>, so none were dropped</w:t>
      </w:r>
      <w:r>
        <w:rPr>
          <w:rFonts w:ascii="Arial" w:hAnsi="Arial"/>
        </w:rPr>
        <w:t xml:space="preserve"> </w:t>
      </w:r>
      <w:r w:rsidRPr="00C00EB8">
        <w:rPr>
          <w:rFonts w:ascii="Arial" w:hAnsi="Arial"/>
        </w:rPr>
        <w:fldChar w:fldCharType="begin"/>
      </w:r>
      <w:r>
        <w:rPr>
          <w:rFonts w:ascii="Arial" w:hAnsi="Arial"/>
        </w:rPr>
        <w:instrText xml:space="preserve"> ADDIN EN.CITE &lt;EndNote&gt;&lt;Cite&gt;&lt;Author&gt;Wigginton&lt;/Author&gt;&lt;Year&gt;2005&lt;/Year&gt;&lt;RecNum&gt;37&lt;/RecNum&gt;&lt;DisplayText&gt;[18]&lt;/DisplayText&gt;&lt;record&gt;&lt;rec-number&gt;37&lt;/rec-number&gt;&lt;foreign-keys&gt;&lt;key app="EN" db-id="00afds2xm50wvte09auxaff395aetd5xpvra"&gt;37&lt;/key&gt;&lt;/foreign-keys&gt;&lt;ref-type name="Journal Article"&gt;17&lt;/ref-type&gt;&lt;contributors&gt;&lt;authors&gt;&lt;author&gt;Wigginton, J. E.&lt;/author&gt;&lt;author&gt;Cutler, D. J.&lt;/author&gt;&lt;author&gt;Abecasis, G. R.&lt;/author&gt;&lt;/authors&gt;&lt;/contributors&gt;&lt;auth-address&gt;Center for Statistical Genetics, Department of Biostatistics, University of Michigan, Ann Arbor, MI 48109, USA.&lt;/auth-address&gt;&lt;titles&gt;&lt;title&gt;A note on exact tests of Hardy-Weinberg equilibrium&lt;/title&gt;&lt;secondary-title&gt;Am J Hum Genet&lt;/secondary-title&gt;&lt;alt-title&gt;American journal of human genetics&lt;/alt-title&gt;&lt;/titles&gt;&lt;periodical&gt;&lt;full-title&gt;Am J Hum Genet&lt;/full-title&gt;&lt;abbr-1&gt;American journal of human genetics&lt;/abbr-1&gt;&lt;/periodical&gt;&lt;alt-periodical&gt;&lt;full-title&gt;Am J Hum Genet&lt;/full-title&gt;&lt;abbr-1&gt;American journal of human genetics&lt;/abbr-1&gt;&lt;/alt-periodical&gt;&lt;pages&gt;887-93&lt;/pages&gt;&lt;volume&gt;76&lt;/volume&gt;&lt;number&gt;5&lt;/number&gt;&lt;edition&gt;2005/03/25&lt;/edition&gt;&lt;keywords&gt;&lt;keyword&gt;*Genetics, Population&lt;/keyword&gt;&lt;keyword&gt;Genotype&lt;/keyword&gt;&lt;keyword&gt;Humans&lt;/keyword&gt;&lt;keyword&gt;*Models, Genetic&lt;/keyword&gt;&lt;keyword&gt;*Statistics as Topic&lt;/keyword&gt;&lt;/keywords&gt;&lt;dates&gt;&lt;year&gt;2005&lt;/year&gt;&lt;pub-dates&gt;&lt;date&gt;May&lt;/date&gt;&lt;/pub-dates&gt;&lt;/dates&gt;&lt;isbn&gt;0002-9297 (Print)&amp;#xD;0002-9297 (Linking)&lt;/isbn&gt;&lt;accession-num&gt;15789306&lt;/accession-num&gt;&lt;work-type&gt;Research Support, U.S. Gov&amp;apos;t, P.H.S.&lt;/work-type&gt;&lt;urls&gt;&lt;related-urls&gt;&lt;url&gt;http://www.ncbi.nlm.nih.gov/pubmed/15789306&lt;/url&gt;&lt;/related-urls&gt;&lt;/urls&gt;&lt;custom2&gt;1199378&lt;/custom2&gt;&lt;electronic-resource-num&gt;10.1086/429864&lt;/electronic-resource-num&gt;&lt;language&gt;eng&lt;/language&gt;&lt;/record&gt;&lt;/Cite&gt;&lt;/EndNote&gt;</w:instrText>
      </w:r>
      <w:r w:rsidRPr="00C00EB8">
        <w:rPr>
          <w:rFonts w:ascii="Arial" w:hAnsi="Arial"/>
        </w:rPr>
        <w:fldChar w:fldCharType="separate"/>
      </w:r>
      <w:r>
        <w:rPr>
          <w:rFonts w:ascii="Arial" w:hAnsi="Arial"/>
          <w:noProof/>
        </w:rPr>
        <w:t>[</w:t>
      </w:r>
      <w:hyperlink w:anchor="_ENREF_18" w:tooltip="Wigginton, 2005 #37" w:history="1">
        <w:r>
          <w:rPr>
            <w:rFonts w:ascii="Arial" w:hAnsi="Arial"/>
            <w:noProof/>
          </w:rPr>
          <w:t>18</w:t>
        </w:r>
      </w:hyperlink>
      <w:r>
        <w:rPr>
          <w:rFonts w:ascii="Arial" w:hAnsi="Arial"/>
          <w:noProof/>
        </w:rPr>
        <w:t>]</w:t>
      </w:r>
      <w:r w:rsidRPr="00C00EB8">
        <w:rPr>
          <w:rFonts w:ascii="Arial" w:hAnsi="Arial"/>
        </w:rPr>
        <w:fldChar w:fldCharType="end"/>
      </w:r>
      <w:r w:rsidRPr="00C00EB8">
        <w:rPr>
          <w:rFonts w:ascii="Arial" w:hAnsi="Arial"/>
        </w:rPr>
        <w:t>.  Call rate per sample was calculated and all samples had a rate ≥ 0.95 indicati</w:t>
      </w:r>
      <w:r>
        <w:rPr>
          <w:rFonts w:ascii="Arial" w:hAnsi="Arial"/>
        </w:rPr>
        <w:t>ng fairly high quality samples.</w:t>
      </w:r>
      <w:r w:rsidRPr="00C00EB8">
        <w:rPr>
          <w:rFonts w:ascii="Arial" w:hAnsi="Arial"/>
        </w:rPr>
        <w:t xml:space="preserve"> Finally SNPs with MAF &lt; 0.05 were dropped (n= 1508282), as power would be non-existent to detect an a</w:t>
      </w:r>
      <w:r>
        <w:rPr>
          <w:rFonts w:ascii="Arial" w:hAnsi="Arial"/>
        </w:rPr>
        <w:t>ssociation with the phenotypes.</w:t>
      </w:r>
      <w:r w:rsidRPr="00C00EB8">
        <w:rPr>
          <w:rFonts w:ascii="Arial" w:hAnsi="Arial"/>
        </w:rPr>
        <w:t xml:space="preserve"> In total 1978803 SNPs in 55 individuals passed genotyping quality control measures. Genotype data for individuals in the 1000 genomes projec</w:t>
      </w:r>
      <w:r>
        <w:rPr>
          <w:rFonts w:ascii="Arial" w:hAnsi="Arial"/>
        </w:rPr>
        <w:t>t was retrieved for 29 samples.</w:t>
      </w:r>
      <w:r w:rsidRPr="00C00EB8">
        <w:rPr>
          <w:rFonts w:ascii="Arial" w:hAnsi="Arial"/>
        </w:rPr>
        <w:t xml:space="preserve"> Since there is no missing data due to the method for calling SNPs, only a MAF filter was used, dropping SNPs with MAF &lt; 0.05.  Several SNPs overlap between the 1000 genomes and HapMap data, data obtained from the 1000 genomes project was used preferentially over data obtained from the HapMap. Since not all of the samples used have been sequenced as part of the 1000 genomes project as of current, SNPs in the 1000 genomes project, but not in HapMap (release 23) were imputed for samples not included in the 1000 genomes project.</w:t>
      </w:r>
    </w:p>
    <w:p w14:paraId="31E4312C" w14:textId="40F23AE5" w:rsidR="007E7D54" w:rsidRPr="00C00EB8" w:rsidRDefault="007E7D54" w:rsidP="007E7D54">
      <w:pPr>
        <w:spacing w:before="100" w:beforeAutospacing="1" w:after="100" w:afterAutospacing="1" w:line="480" w:lineRule="auto"/>
        <w:ind w:firstLine="720"/>
        <w:rPr>
          <w:rFonts w:ascii="Arial" w:hAnsi="Arial"/>
          <w:b/>
        </w:rPr>
      </w:pPr>
      <w:r w:rsidRPr="00C00EB8">
        <w:rPr>
          <w:rFonts w:ascii="Arial" w:hAnsi="Arial"/>
        </w:rPr>
        <w:t xml:space="preserve">BEAGLE v3.3.1 </w:t>
      </w:r>
      <w:r w:rsidRPr="00C00EB8">
        <w:rPr>
          <w:rFonts w:ascii="Arial" w:hAnsi="Arial"/>
        </w:rPr>
        <w:fldChar w:fldCharType="begin"/>
      </w:r>
      <w:r>
        <w:rPr>
          <w:rFonts w:ascii="Arial" w:hAnsi="Arial"/>
        </w:rPr>
        <w:instrText xml:space="preserve"> ADDIN EN.CITE &lt;EndNote&gt;&lt;Cite&gt;&lt;Author&gt;Browning&lt;/Author&gt;&lt;Year&gt;2009&lt;/Year&gt;&lt;RecNum&gt;38&lt;/RecNum&gt;&lt;DisplayText&gt;[19]&lt;/DisplayText&gt;&lt;record&gt;&lt;rec-number&gt;38&lt;/rec-number&gt;&lt;foreign-keys&gt;&lt;key app="EN" db-id="00afds2xm50wvte09auxaff395aetd5xpvra"&gt;38&lt;/key&gt;&lt;/foreign-keys&gt;&lt;ref-type name="Journal Article"&gt;17&lt;/ref-type&gt;&lt;contributors&gt;&lt;authors&gt;&lt;author&gt;Browning, B. L.&lt;/author&gt;&lt;author&gt;Browning, S. R.&lt;/author&gt;&lt;/authors&gt;&lt;/contributors&gt;&lt;auth-address&gt;Department of Statistics, University of Auckland, Auckland 1142, New Zealand. b.browning@auckland.ac.nz&lt;/auth-address&gt;&lt;titles&gt;&lt;title&gt;A unified approach to genotype imputation and haplotype-phase inference for large data sets of trios and unrelated individuals&lt;/title&gt;&lt;secondary-title&gt;Am J Hum Genet&lt;/secondary-title&gt;&lt;alt-title&gt;American journal of human genetics&lt;/alt-title&gt;&lt;/titles&gt;&lt;periodical&gt;&lt;full-title&gt;Am J Hum Genet&lt;/full-title&gt;&lt;abbr-1&gt;American journal of human genetics&lt;/abbr-1&gt;&lt;/periodical&gt;&lt;alt-periodical&gt;&lt;full-title&gt;Am J Hum Genet&lt;/full-title&gt;&lt;abbr-1&gt;American journal of human genetics&lt;/abbr-1&gt;&lt;/alt-periodical&gt;&lt;pages&gt;210-23&lt;/pages&gt;&lt;volume&gt;84&lt;/volume&gt;&lt;number&gt;2&lt;/number&gt;&lt;edition&gt;2009/02/10&lt;/edition&gt;&lt;keywords&gt;&lt;keyword&gt;Computer Simulation&lt;/keyword&gt;&lt;keyword&gt;Female&lt;/keyword&gt;&lt;keyword&gt;Gene Frequency/genetics&lt;/keyword&gt;&lt;keyword&gt;*Genotype&lt;/keyword&gt;&lt;keyword&gt;Haplotypes/*genetics&lt;/keyword&gt;&lt;keyword&gt;Humans&lt;/keyword&gt;&lt;keyword&gt;Male&lt;/keyword&gt;&lt;keyword&gt;Markov Chains&lt;/keyword&gt;&lt;keyword&gt;Models, Genetic&lt;/keyword&gt;&lt;keyword&gt;Nuclear Family&lt;/keyword&gt;&lt;keyword&gt;Reproducibility of Results&lt;/keyword&gt;&lt;/keywords&gt;&lt;dates&gt;&lt;year&gt;2009&lt;/year&gt;&lt;pub-dates&gt;&lt;date&gt;Feb&lt;/date&gt;&lt;/pub-dates&gt;&lt;/dates&gt;&lt;isbn&gt;1537-6605 (Electronic)&amp;#xD;0002-9297 (Linking)&lt;/isbn&gt;&lt;accession-num&gt;19200528&lt;/accession-num&gt;&lt;work-type&gt;Research Support, N.I.H., Extramural&amp;#xD;Research Support, Non-U.S. Gov&amp;apos;t&lt;/work-type&gt;&lt;urls&gt;&lt;related-urls&gt;&lt;url&gt;http://www.ncbi.nlm.nih.gov/pubmed/19200528&lt;/url&gt;&lt;/related-urls&gt;&lt;/urls&gt;&lt;custom2&gt;2668004&lt;/custom2&gt;&lt;electronic-resource-num&gt;10.1016/j.ajhg.2009.01.005&lt;/electronic-resource-num&gt;&lt;language&gt;eng&lt;/language&gt;&lt;/record&gt;&lt;/Cite&gt;&lt;/EndNote&gt;</w:instrText>
      </w:r>
      <w:r w:rsidRPr="00C00EB8">
        <w:rPr>
          <w:rFonts w:ascii="Arial" w:hAnsi="Arial"/>
        </w:rPr>
        <w:fldChar w:fldCharType="separate"/>
      </w:r>
      <w:r>
        <w:rPr>
          <w:rFonts w:ascii="Arial" w:hAnsi="Arial"/>
          <w:noProof/>
        </w:rPr>
        <w:t>[</w:t>
      </w:r>
      <w:hyperlink w:anchor="_ENREF_19" w:tooltip="Browning, 2009 #38" w:history="1">
        <w:r>
          <w:rPr>
            <w:rFonts w:ascii="Arial" w:hAnsi="Arial"/>
            <w:noProof/>
          </w:rPr>
          <w:t>19</w:t>
        </w:r>
      </w:hyperlink>
      <w:r>
        <w:rPr>
          <w:rFonts w:ascii="Arial" w:hAnsi="Arial"/>
          <w:noProof/>
        </w:rPr>
        <w:t>]</w:t>
      </w:r>
      <w:r w:rsidRPr="00C00EB8">
        <w:rPr>
          <w:rFonts w:ascii="Arial" w:hAnsi="Arial"/>
        </w:rPr>
        <w:fldChar w:fldCharType="end"/>
      </w:r>
      <w:r w:rsidRPr="00C00EB8">
        <w:rPr>
          <w:rFonts w:ascii="Arial" w:hAnsi="Arial"/>
        </w:rPr>
        <w:t xml:space="preserve"> was used to impute SNPs with the reference of the 1000 genomes Caucasian population (n=87) with SNPs reduced to SNPs with minor allele frequency ≥ 0.01.  Due to computational reasons, the imputation was split up into 40 </w:t>
      </w:r>
      <w:r w:rsidR="005D7696">
        <w:rPr>
          <w:rFonts w:ascii="Arial" w:hAnsi="Arial"/>
        </w:rPr>
        <w:t>Mb</w:t>
      </w:r>
      <w:r w:rsidRPr="00C00EB8">
        <w:rPr>
          <w:rFonts w:ascii="Arial" w:hAnsi="Arial"/>
        </w:rPr>
        <w:t xml:space="preserve"> regions on chromosomes with 1 Mb overlap between regions to ensure quality imputation near the edges of the regions (1 Mb overlap region results discarded).  The option </w:t>
      </w:r>
      <w:proofErr w:type="spellStart"/>
      <w:r w:rsidRPr="00C00EB8">
        <w:rPr>
          <w:rFonts w:ascii="Arial" w:hAnsi="Arial"/>
          <w:i/>
        </w:rPr>
        <w:t>lowmem</w:t>
      </w:r>
      <w:proofErr w:type="spellEnd"/>
      <w:r w:rsidRPr="00C00EB8">
        <w:rPr>
          <w:rFonts w:ascii="Arial" w:hAnsi="Arial"/>
        </w:rPr>
        <w:t xml:space="preserve"> option was set to “true”, which should not affect results but changes performance characteristics of the BEAGLE program (see documentation). Imputed SNPs were then quality controlled using the dosage R</w:t>
      </w:r>
      <w:r w:rsidRPr="00C00EB8">
        <w:rPr>
          <w:rFonts w:ascii="Arial" w:hAnsi="Arial"/>
          <w:vertAlign w:val="superscript"/>
        </w:rPr>
        <w:t>2</w:t>
      </w:r>
      <w:r w:rsidRPr="00C00EB8">
        <w:rPr>
          <w:rFonts w:ascii="Arial" w:hAnsi="Arial"/>
        </w:rPr>
        <w:t xml:space="preserve"> measure of imputation quality (see BEAGLE documentation), with SNPs removed with a value &lt; 0.3.</w:t>
      </w:r>
    </w:p>
    <w:p w14:paraId="20C1184D" w14:textId="77777777" w:rsidR="007E7D54" w:rsidRDefault="007E7D54"/>
    <w:p w14:paraId="2ACDF3BA" w14:textId="07A79D2D" w:rsidR="007E7D54" w:rsidRDefault="007E7D54" w:rsidP="007E7D54"/>
    <w:sectPr w:rsidR="007E7D54" w:rsidSect="007766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04E"/>
    <w:rsid w:val="005D7696"/>
    <w:rsid w:val="007766C7"/>
    <w:rsid w:val="007E7D54"/>
    <w:rsid w:val="008D0BBA"/>
    <w:rsid w:val="00BE704E"/>
    <w:rsid w:val="00CF05D7"/>
    <w:rsid w:val="00EB7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961A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4E"/>
    <w:rPr>
      <w:rFonts w:ascii="Times New Roman" w:eastAsia="MS Mincho" w:hAnsi="Times New Roman"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D5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4E"/>
    <w:rPr>
      <w:rFonts w:ascii="Times New Roman" w:eastAsia="MS Mincho" w:hAnsi="Times New Roman"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D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ftp://ftp.ncbi.nih.gov/snp/organisms/human_9606/database/organism_data/b131_SNPChrPosOnRef_37_1.bcp.gz"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1115</Words>
  <Characters>6359</Characters>
  <Application>Microsoft Macintosh Word</Application>
  <DocSecurity>0</DocSecurity>
  <Lines>52</Lines>
  <Paragraphs>14</Paragraphs>
  <ScaleCrop>false</ScaleCrop>
  <Company/>
  <LinksUpToDate>false</LinksUpToDate>
  <CharactersWithSpaces>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Jatinder Lamba</dc:creator>
  <cp:keywords/>
  <dc:description/>
  <cp:lastModifiedBy>Jatinder Lamba</cp:lastModifiedBy>
  <cp:revision>6</cp:revision>
  <dcterms:created xsi:type="dcterms:W3CDTF">2014-07-04T23:54:00Z</dcterms:created>
  <dcterms:modified xsi:type="dcterms:W3CDTF">2015-04-06T18:10:00Z</dcterms:modified>
</cp:coreProperties>
</file>