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BFF" w:rsidRDefault="00F71D92" w:rsidP="000A5AF6">
      <w:pPr>
        <w:spacing w:after="0" w:line="480" w:lineRule="auto"/>
      </w:pPr>
      <w:r w:rsidRPr="00F71D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S4</w:t>
      </w:r>
      <w:r w:rsidRPr="00F71D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comparison of genome-wide association study (GWAS) loci identi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 w:rsidRPr="00F71D92">
        <w:rPr>
          <w:rFonts w:ascii="Times New Roman" w:eastAsia="Times New Roman" w:hAnsi="Times New Roman" w:cs="Times New Roman"/>
          <w:color w:val="000000"/>
          <w:sz w:val="24"/>
          <w:szCs w:val="24"/>
        </w:rPr>
        <w:t>ed in the present study and quantitative trait loci (QTL) previou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71D92">
        <w:rPr>
          <w:rFonts w:ascii="Times New Roman" w:eastAsia="Times New Roman" w:hAnsi="Times New Roman" w:cs="Times New Roman"/>
          <w:color w:val="000000"/>
          <w:sz w:val="24"/>
          <w:szCs w:val="24"/>
        </w:rPr>
        <w:t>ly reported for resistance to soybean cyst nematode (SCN) from dif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F71D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erent sources of resistance showing the consistency of genetic locations of GWAS and QTL analysis. </w:t>
      </w:r>
    </w:p>
    <w:tbl>
      <w:tblPr>
        <w:tblW w:w="11785" w:type="dxa"/>
        <w:tblLook w:val="04A0" w:firstRow="1" w:lastRow="0" w:firstColumn="1" w:lastColumn="0" w:noHBand="0" w:noVBand="1"/>
      </w:tblPr>
      <w:tblGrid>
        <w:gridCol w:w="994"/>
        <w:gridCol w:w="981"/>
        <w:gridCol w:w="3060"/>
        <w:gridCol w:w="1890"/>
        <w:gridCol w:w="4860"/>
      </w:tblGrid>
      <w:tr w:rsidR="00F02B3C" w:rsidRPr="00F02B3C" w:rsidTr="00D66474">
        <w:trPr>
          <w:trHeight w:val="57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Chromo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some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Linkage Group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Source of resistance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Tested Race </w:t>
            </w:r>
            <w:r w:rsidR="00D66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†</w:t>
            </w:r>
            <w:r w:rsidR="00D66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(HG Types) 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Publication 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D1a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89772, PI 438489B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1, 2, 3, 5, 14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Yue et al. (2001), Vuong et al. (2011)</w:t>
            </w:r>
          </w:p>
        </w:tc>
      </w:tr>
      <w:tr w:rsidR="00F02B3C" w:rsidRPr="00F02B3C" w:rsidTr="00D66474">
        <w:trPr>
          <w:trHeight w:val="624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437654, PI 438489B, PI 467312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1, 2, 3, 5, 14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Webb (2003), Vuong et al. (2011), Wu et al. (2009) Yue et al. (2001)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437654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1, 3, 5, 14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Webb (1995), Wu et al. (2009)</w:t>
            </w:r>
          </w:p>
        </w:tc>
      </w:tr>
      <w:tr w:rsidR="00F02B3C" w:rsidRPr="00F02B3C" w:rsidTr="00D66474">
        <w:trPr>
          <w:trHeight w:val="64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74" w:rsidRDefault="00D66474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Peking, PI 88788, PI 437654, </w:t>
            </w:r>
          </w:p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209332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Mekemse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(2001), </w:t>
            </w: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Concibido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(1994), Wu et al. (2009), Webb (2003) </w:t>
            </w:r>
          </w:p>
        </w:tc>
      </w:tr>
      <w:tr w:rsidR="00F02B3C" w:rsidRPr="00F02B3C" w:rsidTr="00D66474">
        <w:trPr>
          <w:trHeight w:val="39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567516C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5, 14, LY1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Vuong et al. (2010)</w:t>
            </w:r>
          </w:p>
        </w:tc>
      </w:tr>
      <w:tr w:rsidR="00F02B3C" w:rsidRPr="00F02B3C" w:rsidTr="00D66474">
        <w:trPr>
          <w:trHeight w:val="612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74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Peking, PI 437654, PI 89772, </w:t>
            </w:r>
          </w:p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PI 438489B,  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Vierling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(1996), Yue et al. (2001), Webb, (2003), Wu et al. (2009)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Peking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D66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Qui et al. (1999)</w:t>
            </w:r>
          </w:p>
        </w:tc>
      </w:tr>
      <w:tr w:rsidR="00F02B3C" w:rsidRPr="00F02B3C" w:rsidTr="00D66474">
        <w:trPr>
          <w:trHeight w:val="5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74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Peking, PI 437654, PI 88788, </w:t>
            </w:r>
          </w:p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90763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1, 3, 5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Mahalingam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Skorupska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(1995), </w:t>
            </w: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Vierling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(1996), </w:t>
            </w: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Heer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(1998) 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Peking, PI 438489B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Qui et al. (1999), Yue et al. (2001)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438489B, PI 468916, PI 89772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2, 3,</w:t>
            </w:r>
            <w:r w:rsidR="00D66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Yue et al. (2001), Wang et al. (2001)</w:t>
            </w:r>
          </w:p>
        </w:tc>
      </w:tr>
      <w:tr w:rsidR="00F02B3C" w:rsidRPr="00F02B3C" w:rsidTr="00D66474">
        <w:trPr>
          <w:trHeight w:val="83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74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Peking, PI 209332, PI 437654, </w:t>
            </w:r>
          </w:p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88788, PI 438489B, PI 90763, PI 209332, PI 468916, PI 89772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1, 2, 3, 5, 6, 14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Concibido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(1994, 1997, 1997, 2004), </w:t>
            </w: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Mekseme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(2001), Vuong et al. (2011),Webb (2003), Wang et al. (2001), Wu et al. (2009), Yue et al. 2001) 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 209332, PI 90763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1, 2, 3, 5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Concibido</w:t>
            </w:r>
            <w:proofErr w:type="spellEnd"/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 (1997), Guo et al. (2005) </w:t>
            </w:r>
          </w:p>
        </w:tc>
      </w:tr>
      <w:tr w:rsidR="00F02B3C" w:rsidRPr="00F02B3C" w:rsidTr="00D66474">
        <w:trPr>
          <w:trHeight w:val="288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Peking, PI 437654, PI 437655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 3, 5, 14, LY2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3C" w:rsidRPr="00F02B3C" w:rsidRDefault="00F02B3C" w:rsidP="00F02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2B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Qui et al. (1999), Jiao et al. (2014)</w:t>
            </w:r>
          </w:p>
        </w:tc>
      </w:tr>
    </w:tbl>
    <w:p w:rsidR="00F02B3C" w:rsidRDefault="00F02B3C" w:rsidP="00F02B3C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(†)</w:t>
      </w:r>
      <w:r w:rsidRPr="00F71D92">
        <w:rPr>
          <w:rFonts w:ascii="Times New Roman" w:eastAsia="Times New Roman" w:hAnsi="Times New Roman" w:cs="Times New Roman"/>
          <w:sz w:val="24"/>
          <w:szCs w:val="24"/>
        </w:rPr>
        <w:t xml:space="preserve">: Race classification system was commonly utilized to identify responses to specific nematode populations in many previous genetic analysis.     </w:t>
      </w:r>
    </w:p>
    <w:p w:rsidR="00F02B3C" w:rsidRDefault="00F02B3C"/>
    <w:sectPr w:rsidR="00F02B3C" w:rsidSect="00F71D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92"/>
    <w:rsid w:val="000A5AF6"/>
    <w:rsid w:val="00A60287"/>
    <w:rsid w:val="00D66474"/>
    <w:rsid w:val="00E53BFF"/>
    <w:rsid w:val="00E616F1"/>
    <w:rsid w:val="00F02B3C"/>
    <w:rsid w:val="00F7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40202-75F4-4B67-9F71-581BDD9D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3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Vuong, Tri D.</dc:creator>
  <cp:keywords/>
  <dc:description/>
  <cp:lastModifiedBy>Vuong, Tri D.</cp:lastModifiedBy>
  <cp:revision>5</cp:revision>
  <dcterms:created xsi:type="dcterms:W3CDTF">2015-05-20T15:38:00Z</dcterms:created>
  <dcterms:modified xsi:type="dcterms:W3CDTF">2015-05-21T02:30:00Z</dcterms:modified>
</cp:coreProperties>
</file>