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894" w:rsidRDefault="00FE7714" w:rsidP="00423894">
      <w:pPr>
        <w:adjustRightIn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Additional file 1</w:t>
      </w:r>
    </w:p>
    <w:p w:rsidR="00232116" w:rsidRDefault="00232116" w:rsidP="00232116">
      <w:pPr>
        <w:pStyle w:val="Default"/>
      </w:pPr>
    </w:p>
    <w:p w:rsidR="00232116" w:rsidRDefault="00232116" w:rsidP="00232116">
      <w:pPr>
        <w:pStyle w:val="Default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A gtf file of the annotation, fasta files of the protein and transcripts and genetic linkage map is available in: </w:t>
      </w:r>
    </w:p>
    <w:p w:rsidR="00423894" w:rsidRDefault="00C85BD5" w:rsidP="00232116">
      <w:pPr>
        <w:adjustRightInd w:val="0"/>
        <w:jc w:val="both"/>
        <w:rPr>
          <w:b/>
          <w:bCs/>
          <w:color w:val="0462C1"/>
          <w:sz w:val="20"/>
          <w:szCs w:val="20"/>
        </w:rPr>
      </w:pPr>
      <w:hyperlink r:id="rId7" w:history="1">
        <w:r w:rsidR="00232116" w:rsidRPr="00B62948">
          <w:rPr>
            <w:rStyle w:val="Hyperlink"/>
            <w:b/>
            <w:bCs/>
            <w:sz w:val="20"/>
            <w:szCs w:val="20"/>
          </w:rPr>
          <w:t>https://www.dropbox.com/sh/in3vtr4utlntjpo/AAAnD369B65hfAM93WUUTp63a?dl=0</w:t>
        </w:r>
      </w:hyperlink>
    </w:p>
    <w:p w:rsidR="00232116" w:rsidRDefault="00232116" w:rsidP="00232116">
      <w:pPr>
        <w:adjustRightInd w:val="0"/>
        <w:jc w:val="both"/>
        <w:rPr>
          <w:rFonts w:ascii="Calibri" w:hAnsi="Calibri" w:cs="Calibri"/>
          <w:b/>
          <w:sz w:val="20"/>
          <w:szCs w:val="20"/>
        </w:rPr>
      </w:pPr>
    </w:p>
    <w:p w:rsidR="00423894" w:rsidRDefault="00423894" w:rsidP="00423894">
      <w:pPr>
        <w:adjustRightInd w:val="0"/>
        <w:jc w:val="both"/>
        <w:rPr>
          <w:rFonts w:ascii="Calibri" w:hAnsi="Calibri" w:cs="Calibri"/>
          <w:b/>
          <w:sz w:val="20"/>
          <w:szCs w:val="20"/>
        </w:rPr>
      </w:pPr>
      <w:r>
        <w:rPr>
          <w:noProof/>
          <w:lang w:val="en-PH" w:eastAsia="en-PH"/>
        </w:rPr>
        <w:drawing>
          <wp:inline distT="0" distB="0" distL="0" distR="0">
            <wp:extent cx="5486400" cy="3114675"/>
            <wp:effectExtent l="0" t="0" r="0" b="952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894" w:rsidRDefault="00423894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72269C">
        <w:rPr>
          <w:rFonts w:ascii="Calibri" w:hAnsi="Calibri" w:cs="Calibri"/>
          <w:b/>
          <w:sz w:val="20"/>
          <w:szCs w:val="20"/>
        </w:rPr>
        <w:t xml:space="preserve">Figure </w:t>
      </w:r>
      <w:r>
        <w:rPr>
          <w:rFonts w:ascii="Calibri" w:hAnsi="Calibri" w:cs="Calibri" w:hint="eastAsia"/>
          <w:b/>
          <w:sz w:val="20"/>
          <w:szCs w:val="20"/>
        </w:rPr>
        <w:t>S1</w:t>
      </w:r>
      <w:r w:rsidRPr="0072269C">
        <w:rPr>
          <w:rFonts w:ascii="Calibri" w:hAnsi="Calibri" w:cs="Calibri"/>
          <w:b/>
          <w:sz w:val="20"/>
          <w:szCs w:val="20"/>
        </w:rPr>
        <w:t>.</w:t>
      </w:r>
      <w:r>
        <w:rPr>
          <w:rFonts w:ascii="Calibri" w:hAnsi="Calibri" w:cs="Calibri" w:hint="eastAsia"/>
          <w:sz w:val="20"/>
          <w:szCs w:val="20"/>
        </w:rPr>
        <w:t xml:space="preserve"> Illurstration of Structural Annotation of scaffold1282 </w:t>
      </w:r>
    </w:p>
    <w:p w:rsidR="00423894" w:rsidRDefault="00423894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</w:p>
    <w:p w:rsidR="00423894" w:rsidRDefault="00423894" w:rsidP="00423894">
      <w:pPr>
        <w:widowControl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:rsidR="00423894" w:rsidRPr="0098100E" w:rsidRDefault="00423894" w:rsidP="00423894">
      <w:pPr>
        <w:adjustRightInd w:val="0"/>
        <w:jc w:val="both"/>
        <w:rPr>
          <w:rFonts w:ascii="Calibri" w:hAnsi="Calibri" w:cs="Calibri"/>
          <w:b/>
          <w:sz w:val="20"/>
          <w:szCs w:val="20"/>
        </w:rPr>
      </w:pPr>
    </w:p>
    <w:p w:rsidR="00423894" w:rsidRDefault="00423894" w:rsidP="00423894">
      <w:pPr>
        <w:adjustRightInd w:val="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noProof/>
          <w:sz w:val="20"/>
          <w:szCs w:val="20"/>
          <w:lang w:val="en-PH" w:eastAsia="en-PH"/>
        </w:rPr>
        <w:drawing>
          <wp:inline distT="0" distB="0" distL="0" distR="0">
            <wp:extent cx="6191250" cy="4464050"/>
            <wp:effectExtent l="0" t="0" r="0" b="0"/>
            <wp:docPr id="3" name="圖片 3" descr="C:\Users\liu\Desktop\Figur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u\Desktop\Figure 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46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894" w:rsidRDefault="00423894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72269C">
        <w:rPr>
          <w:rFonts w:ascii="Calibri" w:hAnsi="Calibri" w:cs="Calibri"/>
          <w:b/>
          <w:sz w:val="20"/>
          <w:szCs w:val="20"/>
        </w:rPr>
        <w:t xml:space="preserve">Figure </w:t>
      </w:r>
      <w:r>
        <w:rPr>
          <w:rFonts w:ascii="Calibri" w:hAnsi="Calibri" w:cs="Calibri" w:hint="eastAsia"/>
          <w:b/>
          <w:sz w:val="20"/>
          <w:szCs w:val="20"/>
        </w:rPr>
        <w:t>S2</w:t>
      </w:r>
      <w:r w:rsidRPr="0072269C">
        <w:rPr>
          <w:rFonts w:ascii="Calibri" w:hAnsi="Calibri" w:cs="Calibri"/>
          <w:b/>
          <w:sz w:val="20"/>
          <w:szCs w:val="20"/>
        </w:rPr>
        <w:t>.</w:t>
      </w:r>
      <w:r w:rsidRPr="00940059">
        <w:rPr>
          <w:rFonts w:ascii="Calibri" w:hAnsi="Calibri" w:cs="Calibri"/>
          <w:sz w:val="20"/>
          <w:szCs w:val="20"/>
        </w:rPr>
        <w:t xml:space="preserve">Relationship between the length and abundance of assembled </w:t>
      </w:r>
      <w:r>
        <w:rPr>
          <w:rFonts w:ascii="Calibri" w:hAnsi="Calibri" w:cs="Calibri"/>
          <w:sz w:val="20"/>
          <w:szCs w:val="20"/>
        </w:rPr>
        <w:t>Unigenes</w:t>
      </w:r>
      <w:r>
        <w:rPr>
          <w:rFonts w:ascii="Calibri" w:hAnsi="Calibri" w:cs="Calibri" w:hint="eastAsia"/>
          <w:sz w:val="20"/>
          <w:szCs w:val="20"/>
        </w:rPr>
        <w:t>.</w:t>
      </w:r>
    </w:p>
    <w:p w:rsidR="0039358E" w:rsidRDefault="0039358E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</w:p>
    <w:p w:rsidR="00423894" w:rsidRPr="006350B2" w:rsidRDefault="00423894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 w:hint="eastAsia"/>
          <w:noProof/>
          <w:sz w:val="20"/>
          <w:szCs w:val="20"/>
          <w:lang w:val="en-PH" w:eastAsia="en-PH"/>
        </w:rPr>
        <w:lastRenderedPageBreak/>
        <w:drawing>
          <wp:inline distT="0" distB="0" distL="0" distR="0">
            <wp:extent cx="6191250" cy="4908550"/>
            <wp:effectExtent l="0" t="0" r="0" b="0"/>
            <wp:docPr id="1" name="圖片 1" descr="C:\Users\liu\Desktop\Figur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u\Desktop\Figure 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90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9FF" w:rsidRDefault="00423894" w:rsidP="00FE7714">
      <w:pPr>
        <w:spacing w:beforeLines="50" w:afterLines="50" w:line="480" w:lineRule="auto"/>
        <w:rPr>
          <w:rFonts w:ascii="Calibri" w:hAnsi="Calibri" w:cs="Calibri"/>
          <w:sz w:val="20"/>
          <w:szCs w:val="20"/>
        </w:rPr>
      </w:pPr>
      <w:r w:rsidRPr="0072269C">
        <w:rPr>
          <w:rFonts w:ascii="Calibri" w:hAnsi="Calibri" w:cs="Calibri"/>
          <w:b/>
          <w:sz w:val="20"/>
          <w:szCs w:val="20"/>
        </w:rPr>
        <w:t xml:space="preserve">Figure </w:t>
      </w:r>
      <w:r>
        <w:rPr>
          <w:rFonts w:ascii="Calibri" w:hAnsi="Calibri" w:cs="Calibri" w:hint="eastAsia"/>
          <w:b/>
          <w:sz w:val="20"/>
          <w:szCs w:val="20"/>
        </w:rPr>
        <w:t>S3</w:t>
      </w:r>
      <w:r w:rsidRPr="0072269C">
        <w:rPr>
          <w:rFonts w:ascii="Calibri" w:hAnsi="Calibri" w:cs="Calibri"/>
          <w:b/>
          <w:sz w:val="20"/>
          <w:szCs w:val="20"/>
        </w:rPr>
        <w:t>.</w:t>
      </w:r>
      <w:r w:rsidRPr="003A3384">
        <w:rPr>
          <w:rFonts w:ascii="Calibri" w:hAnsi="Calibri" w:cs="Calibri"/>
          <w:sz w:val="20"/>
          <w:szCs w:val="20"/>
        </w:rPr>
        <w:t>Species distribution of top BLASTx results</w:t>
      </w:r>
      <w:r>
        <w:rPr>
          <w:rFonts w:ascii="Calibri" w:hAnsi="Calibri" w:cs="Calibri" w:hint="eastAsia"/>
          <w:sz w:val="20"/>
          <w:szCs w:val="20"/>
        </w:rPr>
        <w:t>.</w:t>
      </w:r>
    </w:p>
    <w:p w:rsidR="0039358E" w:rsidRPr="0039358E" w:rsidRDefault="0039358E" w:rsidP="00FE7714">
      <w:pPr>
        <w:spacing w:beforeLines="50" w:afterLines="50" w:line="480" w:lineRule="auto"/>
        <w:rPr>
          <w:rFonts w:ascii="Calibri" w:hAnsi="Calibri" w:cs="Calibri"/>
          <w:sz w:val="20"/>
          <w:szCs w:val="20"/>
        </w:rPr>
      </w:pPr>
    </w:p>
    <w:p w:rsidR="00423894" w:rsidRPr="000D35C4" w:rsidRDefault="00423894" w:rsidP="00FE7714">
      <w:pPr>
        <w:spacing w:beforeLines="50" w:afterLines="50"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</w:rPr>
        <w:br w:type="page"/>
      </w:r>
    </w:p>
    <w:p w:rsidR="00423894" w:rsidRDefault="00423894" w:rsidP="00423894">
      <w:pPr>
        <w:adjustRightInd w:val="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 w:hint="eastAsia"/>
          <w:b/>
          <w:noProof/>
          <w:sz w:val="20"/>
          <w:szCs w:val="20"/>
          <w:lang w:val="en-PH" w:eastAsia="en-PH"/>
        </w:rPr>
        <w:lastRenderedPageBreak/>
        <w:drawing>
          <wp:inline distT="0" distB="0" distL="0" distR="0">
            <wp:extent cx="6193155" cy="4572000"/>
            <wp:effectExtent l="0" t="0" r="0" b="0"/>
            <wp:docPr id="11" name="圖片 11" descr="C:\Users\liu\Desktop\RNA-Seq Manuscript\Figures\Figure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iu\Desktop\RNA-Seq Manuscript\Figures\Figure 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116" w:rsidRDefault="00423894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72269C">
        <w:rPr>
          <w:rFonts w:ascii="Calibri" w:hAnsi="Calibri" w:cs="Calibri"/>
          <w:b/>
          <w:sz w:val="20"/>
          <w:szCs w:val="20"/>
        </w:rPr>
        <w:t>Fig</w:t>
      </w:r>
      <w:r>
        <w:rPr>
          <w:rFonts w:ascii="Calibri" w:hAnsi="Calibri" w:cs="Calibri" w:hint="eastAsia"/>
          <w:b/>
          <w:sz w:val="20"/>
          <w:szCs w:val="20"/>
        </w:rPr>
        <w:t>ure</w:t>
      </w:r>
      <w:r w:rsidRPr="0072269C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 w:hint="eastAsia"/>
          <w:b/>
          <w:sz w:val="20"/>
          <w:szCs w:val="20"/>
        </w:rPr>
        <w:t xml:space="preserve">S4. </w:t>
      </w:r>
      <w:r w:rsidRPr="00571015">
        <w:rPr>
          <w:rFonts w:ascii="Calibri" w:hAnsi="Calibri" w:cs="Calibri"/>
          <w:sz w:val="20"/>
          <w:szCs w:val="20"/>
        </w:rPr>
        <w:t xml:space="preserve">Gene ontology classifications of assembled </w:t>
      </w:r>
      <w:r>
        <w:rPr>
          <w:rFonts w:ascii="Calibri" w:hAnsi="Calibri" w:cs="Calibri"/>
          <w:sz w:val="20"/>
          <w:szCs w:val="20"/>
        </w:rPr>
        <w:t>Unigenes</w:t>
      </w:r>
      <w:r>
        <w:rPr>
          <w:rFonts w:ascii="Calibri" w:hAnsi="Calibri" w:cs="Calibri" w:hint="eastAsia"/>
          <w:sz w:val="20"/>
          <w:szCs w:val="20"/>
        </w:rPr>
        <w:t>.</w:t>
      </w:r>
    </w:p>
    <w:p w:rsidR="00232116" w:rsidRDefault="00232116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 w:hint="eastAsia"/>
          <w:sz w:val="20"/>
          <w:szCs w:val="20"/>
        </w:rPr>
        <w:t>In th</w:t>
      </w:r>
      <w:r>
        <w:rPr>
          <w:rFonts w:ascii="Calibri" w:hAnsi="Calibri" w:cs="Calibri"/>
          <w:sz w:val="20"/>
          <w:szCs w:val="20"/>
        </w:rPr>
        <w:t xml:space="preserve">is figure, amounts of unigenes associated with GO terms were illustrated in the value of y axis. The green line represent the average FPKM of the unigenes associated with the terms illustrated in x axis. </w:t>
      </w:r>
    </w:p>
    <w:p w:rsidR="00423894" w:rsidRPr="0098100E" w:rsidRDefault="00232116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</w:t>
      </w:r>
      <w:r w:rsidR="00423894" w:rsidRPr="0072269C">
        <w:rPr>
          <w:rFonts w:ascii="Calibri" w:hAnsi="Calibri" w:cs="Calibri"/>
          <w:b/>
        </w:rPr>
        <w:br w:type="page"/>
      </w:r>
    </w:p>
    <w:p w:rsidR="00423894" w:rsidRDefault="00423894" w:rsidP="00423894">
      <w:pPr>
        <w:adjustRightInd w:val="0"/>
        <w:snapToGrid w:val="0"/>
        <w:spacing w:line="480" w:lineRule="auto"/>
        <w:rPr>
          <w:rFonts w:ascii="Calibri" w:hAnsi="Calibri" w:cs="Calibri"/>
          <w:sz w:val="20"/>
          <w:szCs w:val="20"/>
        </w:rPr>
      </w:pPr>
      <w:r>
        <w:rPr>
          <w:noProof/>
          <w:lang w:val="en-PH" w:eastAsia="en-PH"/>
        </w:rPr>
        <w:lastRenderedPageBreak/>
        <w:drawing>
          <wp:inline distT="0" distB="0" distL="0" distR="0">
            <wp:extent cx="5486400" cy="3610610"/>
            <wp:effectExtent l="0" t="0" r="19050" b="27940"/>
            <wp:docPr id="2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23894" w:rsidRDefault="00423894" w:rsidP="00423894">
      <w:pPr>
        <w:adjustRightInd w:val="0"/>
        <w:snapToGrid w:val="0"/>
        <w:spacing w:line="480" w:lineRule="auto"/>
        <w:rPr>
          <w:rFonts w:ascii="Calibri" w:hAnsi="Calibri" w:cs="Calibri"/>
          <w:sz w:val="20"/>
          <w:szCs w:val="20"/>
        </w:rPr>
      </w:pPr>
      <w:r w:rsidRPr="0072269C">
        <w:rPr>
          <w:rFonts w:ascii="Calibri" w:hAnsi="Calibri" w:cs="Calibri"/>
          <w:b/>
          <w:sz w:val="20"/>
          <w:szCs w:val="20"/>
        </w:rPr>
        <w:t xml:space="preserve">Figure </w:t>
      </w:r>
      <w:r>
        <w:rPr>
          <w:rFonts w:ascii="Calibri" w:hAnsi="Calibri" w:cs="Calibri" w:hint="eastAsia"/>
          <w:b/>
          <w:sz w:val="20"/>
          <w:szCs w:val="20"/>
        </w:rPr>
        <w:t>S5</w:t>
      </w:r>
      <w:r w:rsidRPr="0072269C">
        <w:rPr>
          <w:rFonts w:ascii="Calibri" w:hAnsi="Calibri" w:cs="Calibri"/>
          <w:b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KEGG </w:t>
      </w:r>
      <w:r>
        <w:rPr>
          <w:rFonts w:ascii="Calibri" w:hAnsi="Calibri" w:cs="Calibri" w:hint="eastAsia"/>
          <w:sz w:val="20"/>
          <w:szCs w:val="20"/>
        </w:rPr>
        <w:t>O</w:t>
      </w:r>
      <w:r w:rsidRPr="00B962B4">
        <w:rPr>
          <w:rFonts w:ascii="Calibri" w:hAnsi="Calibri" w:cs="Calibri"/>
          <w:sz w:val="20"/>
          <w:szCs w:val="20"/>
        </w:rPr>
        <w:t xml:space="preserve">rthology (KO) classification of assembled </w:t>
      </w:r>
      <w:r>
        <w:rPr>
          <w:rFonts w:ascii="Calibri" w:hAnsi="Calibri" w:cs="Calibri" w:hint="eastAsia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nigenes</w:t>
      </w:r>
      <w:r w:rsidRPr="00B962B4">
        <w:rPr>
          <w:rFonts w:ascii="Calibri" w:hAnsi="Calibri" w:cs="Calibri" w:hint="eastAsia"/>
          <w:sz w:val="20"/>
          <w:szCs w:val="20"/>
        </w:rPr>
        <w:t>.</w:t>
      </w:r>
    </w:p>
    <w:p w:rsidR="00232116" w:rsidRDefault="00232116" w:rsidP="00232116">
      <w:pPr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 w:hint="eastAsia"/>
          <w:sz w:val="20"/>
          <w:szCs w:val="20"/>
        </w:rPr>
        <w:t>In th</w:t>
      </w:r>
      <w:r>
        <w:rPr>
          <w:rFonts w:ascii="Calibri" w:hAnsi="Calibri" w:cs="Calibri"/>
          <w:sz w:val="20"/>
          <w:szCs w:val="20"/>
        </w:rPr>
        <w:t xml:space="preserve">is figure, amounts of unigenes associated with KEGG </w:t>
      </w:r>
      <w:r>
        <w:rPr>
          <w:rFonts w:ascii="Calibri" w:hAnsi="Calibri" w:cs="Calibri" w:hint="eastAsia"/>
          <w:sz w:val="20"/>
          <w:szCs w:val="20"/>
        </w:rPr>
        <w:t>O</w:t>
      </w:r>
      <w:r w:rsidRPr="00B962B4">
        <w:rPr>
          <w:rFonts w:ascii="Calibri" w:hAnsi="Calibri" w:cs="Calibri"/>
          <w:sz w:val="20"/>
          <w:szCs w:val="20"/>
        </w:rPr>
        <w:t>rthology</w:t>
      </w:r>
      <w:r>
        <w:rPr>
          <w:rFonts w:ascii="Calibri" w:hAnsi="Calibri" w:cs="Calibri"/>
          <w:sz w:val="20"/>
          <w:szCs w:val="20"/>
        </w:rPr>
        <w:t xml:space="preserve"> terms were illustrated in the value of y axis. The orange line represent the average FPKM of the unigenes associated with the terms illustrated in x axis. </w:t>
      </w:r>
    </w:p>
    <w:p w:rsidR="00423894" w:rsidRPr="008525E5" w:rsidRDefault="00232116" w:rsidP="008525E5">
      <w:pPr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</w:t>
      </w:r>
      <w:r w:rsidRPr="0072269C">
        <w:rPr>
          <w:rFonts w:ascii="Calibri" w:hAnsi="Calibri" w:cs="Calibri"/>
          <w:b/>
        </w:rPr>
        <w:br w:type="page"/>
      </w:r>
    </w:p>
    <w:p w:rsidR="00423894" w:rsidRDefault="00423894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noProof/>
          <w:lang w:val="en-PH" w:eastAsia="en-PH"/>
        </w:rPr>
        <w:lastRenderedPageBreak/>
        <w:drawing>
          <wp:inline distT="0" distB="0" distL="0" distR="0">
            <wp:extent cx="4476750" cy="3638550"/>
            <wp:effectExtent l="0" t="0" r="19050" b="19050"/>
            <wp:docPr id="5" name="圖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23894" w:rsidRDefault="00423894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noProof/>
          <w:lang w:val="en-PH" w:eastAsia="en-PH"/>
        </w:rPr>
        <w:drawing>
          <wp:inline distT="0" distB="0" distL="0" distR="0">
            <wp:extent cx="5486400" cy="4519930"/>
            <wp:effectExtent l="0" t="0" r="19050" b="13970"/>
            <wp:docPr id="4" name="圖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23894" w:rsidRDefault="00423894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72269C">
        <w:rPr>
          <w:rFonts w:ascii="Calibri" w:hAnsi="Calibri" w:cs="Calibri"/>
          <w:b/>
          <w:sz w:val="20"/>
          <w:szCs w:val="20"/>
        </w:rPr>
        <w:t xml:space="preserve">Figure </w:t>
      </w:r>
      <w:r>
        <w:rPr>
          <w:rFonts w:ascii="Calibri" w:hAnsi="Calibri" w:cs="Calibri" w:hint="eastAsia"/>
          <w:b/>
          <w:sz w:val="20"/>
          <w:szCs w:val="20"/>
        </w:rPr>
        <w:t>S6</w:t>
      </w:r>
      <w:r w:rsidRPr="0072269C">
        <w:rPr>
          <w:rFonts w:ascii="Calibri" w:hAnsi="Calibri" w:cs="Calibri"/>
          <w:b/>
          <w:sz w:val="20"/>
          <w:szCs w:val="20"/>
        </w:rPr>
        <w:t>.</w:t>
      </w:r>
      <w:r>
        <w:rPr>
          <w:rFonts w:ascii="Calibri" w:hAnsi="Calibri" w:cs="Calibri" w:hint="eastAsia"/>
          <w:b/>
          <w:sz w:val="20"/>
          <w:szCs w:val="20"/>
        </w:rPr>
        <w:t xml:space="preserve"> </w:t>
      </w:r>
      <w:r w:rsidRPr="00A52B01">
        <w:rPr>
          <w:rFonts w:ascii="Calibri" w:hAnsi="Calibri" w:cs="Calibri" w:hint="eastAsia"/>
          <w:sz w:val="20"/>
          <w:szCs w:val="20"/>
        </w:rPr>
        <w:t xml:space="preserve">Distribution of transcripts on </w:t>
      </w:r>
      <w:r w:rsidRPr="00A52B01">
        <w:rPr>
          <w:rFonts w:ascii="Calibri" w:hAnsi="Calibri" w:cs="Calibri"/>
          <w:sz w:val="20"/>
          <w:szCs w:val="20"/>
        </w:rPr>
        <w:t xml:space="preserve">KEGG </w:t>
      </w:r>
      <w:r w:rsidRPr="00A52B01">
        <w:rPr>
          <w:rFonts w:ascii="Calibri" w:hAnsi="Calibri" w:cs="Calibri" w:hint="eastAsia"/>
          <w:sz w:val="20"/>
          <w:szCs w:val="20"/>
        </w:rPr>
        <w:t>O</w:t>
      </w:r>
      <w:r w:rsidRPr="00A52B01">
        <w:rPr>
          <w:rFonts w:ascii="Calibri" w:hAnsi="Calibri" w:cs="Calibri"/>
          <w:sz w:val="20"/>
          <w:szCs w:val="20"/>
        </w:rPr>
        <w:t>rthology (KO)</w:t>
      </w:r>
      <w:r w:rsidRPr="00A52B01">
        <w:rPr>
          <w:rFonts w:ascii="Calibri" w:hAnsi="Calibri" w:cs="Calibri" w:hint="eastAsia"/>
          <w:sz w:val="20"/>
          <w:szCs w:val="20"/>
        </w:rPr>
        <w:t xml:space="preserve"> pathways</w:t>
      </w:r>
      <w:r w:rsidRPr="00A52B01">
        <w:rPr>
          <w:rFonts w:ascii="Calibri" w:hAnsi="Calibri" w:cs="Calibri"/>
          <w:sz w:val="20"/>
          <w:szCs w:val="20"/>
        </w:rPr>
        <w:t xml:space="preserve"> </w:t>
      </w:r>
    </w:p>
    <w:p w:rsidR="00423894" w:rsidRDefault="0045154E" w:rsidP="00261907">
      <w:pPr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</w:t>
      </w:r>
      <w:r w:rsidRPr="0072269C">
        <w:rPr>
          <w:rFonts w:ascii="Calibri" w:hAnsi="Calibri" w:cs="Calibri"/>
          <w:b/>
        </w:rPr>
        <w:br w:type="page"/>
      </w:r>
      <w:bookmarkStart w:id="0" w:name="_GoBack"/>
      <w:bookmarkEnd w:id="0"/>
    </w:p>
    <w:p w:rsidR="00423894" w:rsidRDefault="00423894" w:rsidP="00423894">
      <w:pPr>
        <w:adjustRightInd w:val="0"/>
        <w:jc w:val="both"/>
        <w:rPr>
          <w:rFonts w:ascii="Calibri" w:hAnsi="Calibri" w:cs="Calibri"/>
          <w:b/>
          <w:sz w:val="20"/>
          <w:szCs w:val="20"/>
        </w:rPr>
      </w:pPr>
      <w:r>
        <w:rPr>
          <w:noProof/>
          <w:lang w:val="en-PH" w:eastAsia="en-PH"/>
        </w:rPr>
        <w:lastRenderedPageBreak/>
        <w:drawing>
          <wp:inline distT="0" distB="0" distL="0" distR="0">
            <wp:extent cx="6355404" cy="6614809"/>
            <wp:effectExtent l="0" t="0" r="7620" b="0"/>
            <wp:docPr id="6" name="圖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423894" w:rsidRDefault="00423894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72269C">
        <w:rPr>
          <w:rFonts w:ascii="Calibri" w:hAnsi="Calibri" w:cs="Calibri"/>
          <w:b/>
          <w:sz w:val="20"/>
          <w:szCs w:val="20"/>
        </w:rPr>
        <w:t xml:space="preserve">Fig </w:t>
      </w:r>
      <w:r>
        <w:rPr>
          <w:rFonts w:ascii="Calibri" w:hAnsi="Calibri" w:cs="Calibri" w:hint="eastAsia"/>
          <w:b/>
          <w:sz w:val="20"/>
          <w:szCs w:val="20"/>
        </w:rPr>
        <w:t>S7</w:t>
      </w:r>
      <w:r w:rsidRPr="0072269C">
        <w:rPr>
          <w:rFonts w:ascii="Calibri" w:hAnsi="Calibri" w:cs="Calibri"/>
          <w:b/>
          <w:sz w:val="20"/>
          <w:szCs w:val="20"/>
        </w:rPr>
        <w:t>.</w:t>
      </w:r>
      <w:r>
        <w:rPr>
          <w:rFonts w:ascii="Calibri" w:hAnsi="Calibri" w:cs="Calibri" w:hint="eastAsia"/>
          <w:b/>
          <w:sz w:val="20"/>
          <w:szCs w:val="20"/>
        </w:rPr>
        <w:t xml:space="preserve"> </w:t>
      </w:r>
      <w:r w:rsidRPr="008D7344">
        <w:rPr>
          <w:rFonts w:ascii="Calibri" w:hAnsi="Calibri" w:cs="Calibri"/>
          <w:sz w:val="20"/>
          <w:szCs w:val="20"/>
        </w:rPr>
        <w:t>Histogram presentation of clusters of orthologous groups (COG) classification</w:t>
      </w:r>
    </w:p>
    <w:p w:rsidR="0045154E" w:rsidRDefault="0045154E" w:rsidP="0045154E">
      <w:pPr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 w:hint="eastAsia"/>
          <w:sz w:val="20"/>
          <w:szCs w:val="20"/>
        </w:rPr>
        <w:t>n th</w:t>
      </w:r>
      <w:r>
        <w:rPr>
          <w:rFonts w:ascii="Calibri" w:hAnsi="Calibri" w:cs="Calibri"/>
          <w:sz w:val="20"/>
          <w:szCs w:val="20"/>
        </w:rPr>
        <w:t xml:space="preserve">is figure, amounts of unigenes associated with </w:t>
      </w:r>
      <w:r w:rsidRPr="008D7344">
        <w:rPr>
          <w:rFonts w:ascii="Calibri" w:hAnsi="Calibri" w:cs="Calibri"/>
          <w:sz w:val="20"/>
          <w:szCs w:val="20"/>
        </w:rPr>
        <w:t>clusters of orthologous groups (COG)</w:t>
      </w:r>
      <w:r>
        <w:rPr>
          <w:rFonts w:ascii="Calibri" w:hAnsi="Calibri" w:cs="Calibri"/>
          <w:sz w:val="20"/>
          <w:szCs w:val="20"/>
        </w:rPr>
        <w:t xml:space="preserve"> terms were illustrated in the value of y axis. The orange line represent the average FPKM of the unigenes associated with the terms illustrated in x axis. </w:t>
      </w:r>
    </w:p>
    <w:p w:rsidR="00423894" w:rsidRDefault="00423894" w:rsidP="00423894">
      <w:pPr>
        <w:widowControl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:rsidR="00423894" w:rsidRPr="00A52B01" w:rsidRDefault="00423894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noProof/>
          <w:lang w:val="en-PH" w:eastAsia="en-PH"/>
        </w:rPr>
        <w:lastRenderedPageBreak/>
        <w:drawing>
          <wp:inline distT="0" distB="0" distL="0" distR="0">
            <wp:extent cx="6277583" cy="6725056"/>
            <wp:effectExtent l="0" t="0" r="0" b="0"/>
            <wp:docPr id="8" name="圖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23894" w:rsidRDefault="00423894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72269C">
        <w:rPr>
          <w:rFonts w:ascii="Calibri" w:hAnsi="Calibri" w:cs="Calibri"/>
          <w:b/>
          <w:sz w:val="20"/>
          <w:szCs w:val="20"/>
        </w:rPr>
        <w:t xml:space="preserve">Fig </w:t>
      </w:r>
      <w:r>
        <w:rPr>
          <w:rFonts w:ascii="Calibri" w:hAnsi="Calibri" w:cs="Calibri" w:hint="eastAsia"/>
          <w:b/>
          <w:sz w:val="20"/>
          <w:szCs w:val="20"/>
        </w:rPr>
        <w:t>S8</w:t>
      </w:r>
      <w:r w:rsidRPr="0072269C">
        <w:rPr>
          <w:rFonts w:ascii="Calibri" w:hAnsi="Calibri" w:cs="Calibri"/>
          <w:b/>
          <w:sz w:val="20"/>
          <w:szCs w:val="20"/>
        </w:rPr>
        <w:t>.</w:t>
      </w:r>
      <w:r>
        <w:rPr>
          <w:rFonts w:ascii="Calibri" w:hAnsi="Calibri" w:cs="Calibri" w:hint="eastAsia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Histogram presentation of </w:t>
      </w:r>
      <w:r>
        <w:rPr>
          <w:rFonts w:ascii="Calibri" w:hAnsi="Calibri" w:cs="Calibri" w:hint="eastAsia"/>
          <w:sz w:val="20"/>
          <w:szCs w:val="20"/>
        </w:rPr>
        <w:t>Pfam</w:t>
      </w:r>
      <w:r w:rsidRPr="008D7344">
        <w:rPr>
          <w:rFonts w:ascii="Calibri" w:hAnsi="Calibri" w:cs="Calibri"/>
          <w:sz w:val="20"/>
          <w:szCs w:val="20"/>
        </w:rPr>
        <w:t xml:space="preserve"> classification</w:t>
      </w:r>
    </w:p>
    <w:p w:rsidR="0045154E" w:rsidRDefault="0045154E" w:rsidP="0045154E">
      <w:pPr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 w:hint="eastAsia"/>
          <w:sz w:val="20"/>
          <w:szCs w:val="20"/>
        </w:rPr>
        <w:t>n th</w:t>
      </w:r>
      <w:r>
        <w:rPr>
          <w:rFonts w:ascii="Calibri" w:hAnsi="Calibri" w:cs="Calibri"/>
          <w:sz w:val="20"/>
          <w:szCs w:val="20"/>
        </w:rPr>
        <w:t xml:space="preserve">is figure, amounts of unigenes associated with Pfam conserve domains were illustrated in the value of y axis. The orange line represent the average FPKM of the unigenes associated with the Pfam family illustrated in x axis. </w:t>
      </w:r>
    </w:p>
    <w:p w:rsidR="0045154E" w:rsidRPr="0045154E" w:rsidRDefault="0045154E" w:rsidP="00423894">
      <w:pPr>
        <w:adjustRightInd w:val="0"/>
        <w:jc w:val="both"/>
        <w:rPr>
          <w:rFonts w:ascii="Calibri" w:hAnsi="Calibri" w:cs="Calibri"/>
          <w:sz w:val="20"/>
          <w:szCs w:val="20"/>
        </w:rPr>
      </w:pPr>
    </w:p>
    <w:p w:rsidR="00423894" w:rsidRPr="0072269C" w:rsidRDefault="00423894" w:rsidP="00423894">
      <w:pPr>
        <w:adjustRightInd w:val="0"/>
        <w:jc w:val="both"/>
        <w:rPr>
          <w:rFonts w:ascii="Calibri" w:hAnsi="Calibri" w:cs="Calibri"/>
          <w:b/>
        </w:rPr>
      </w:pPr>
      <w:r w:rsidRPr="0072269C">
        <w:rPr>
          <w:rFonts w:ascii="Calibri" w:hAnsi="Calibri" w:cs="Calibri"/>
          <w:b/>
        </w:rPr>
        <w:br w:type="page"/>
      </w:r>
      <w:r w:rsidRPr="0072269C">
        <w:rPr>
          <w:rFonts w:ascii="Calibri" w:hAnsi="Calibri" w:cs="Calibri"/>
          <w:b/>
        </w:rPr>
        <w:lastRenderedPageBreak/>
        <w:t>TABLES</w:t>
      </w:r>
    </w:p>
    <w:p w:rsidR="00423894" w:rsidRPr="00524BA5" w:rsidRDefault="00423894" w:rsidP="00FE7714">
      <w:pPr>
        <w:spacing w:afterLines="50"/>
        <w:jc w:val="both"/>
        <w:rPr>
          <w:rFonts w:ascii="Calibri" w:eastAsia="GillSans-Bold" w:hAnsi="Calibri"/>
          <w:bCs/>
          <w:kern w:val="0"/>
          <w:sz w:val="20"/>
          <w:szCs w:val="20"/>
        </w:rPr>
      </w:pPr>
      <w:r w:rsidRPr="00975155">
        <w:rPr>
          <w:rFonts w:ascii="Calibri" w:eastAsia="GillSans-Bold" w:hAnsi="Calibri"/>
          <w:b/>
          <w:bCs/>
          <w:kern w:val="0"/>
          <w:sz w:val="20"/>
          <w:szCs w:val="20"/>
        </w:rPr>
        <w:t xml:space="preserve">Table </w:t>
      </w:r>
      <w:r>
        <w:rPr>
          <w:rFonts w:ascii="Calibri" w:eastAsia="GillSans-Bold" w:hAnsi="Calibri" w:hint="eastAsia"/>
          <w:b/>
          <w:bCs/>
          <w:kern w:val="0"/>
          <w:sz w:val="20"/>
          <w:szCs w:val="20"/>
        </w:rPr>
        <w:t>S1</w:t>
      </w:r>
      <w:r w:rsidRPr="00524BA5">
        <w:rPr>
          <w:rFonts w:ascii="Calibri" w:eastAsia="GillSans-Bold" w:hAnsi="Calibri" w:hint="eastAsia"/>
          <w:b/>
          <w:bCs/>
          <w:kern w:val="0"/>
          <w:sz w:val="20"/>
          <w:szCs w:val="20"/>
        </w:rPr>
        <w:t xml:space="preserve"> Summary of the </w:t>
      </w:r>
      <w:r w:rsidRPr="00524BA5">
        <w:rPr>
          <w:rFonts w:ascii="Calibri" w:hAnsi="Calibri" w:cs="Calibri"/>
          <w:b/>
          <w:sz w:val="20"/>
          <w:szCs w:val="20"/>
        </w:rPr>
        <w:t>Illumin</w:t>
      </w:r>
      <w:r w:rsidRPr="00524BA5">
        <w:rPr>
          <w:rFonts w:ascii="Calibri" w:hAnsi="Calibri" w:cs="Calibri" w:hint="eastAsia"/>
          <w:b/>
          <w:sz w:val="20"/>
          <w:szCs w:val="20"/>
        </w:rPr>
        <w:t>a HiSeq</w:t>
      </w:r>
      <w:r w:rsidRPr="00524BA5">
        <w:rPr>
          <w:rFonts w:ascii="Calibri" w:hAnsi="Calibri" w:cs="Calibri" w:hint="eastAsia"/>
          <w:b/>
          <w:sz w:val="20"/>
          <w:szCs w:val="20"/>
          <w:vertAlign w:val="superscript"/>
        </w:rPr>
        <w:t>TM</w:t>
      </w:r>
      <w:r w:rsidRPr="00524BA5">
        <w:rPr>
          <w:rFonts w:ascii="Calibri" w:hAnsi="Calibri" w:cs="Calibri" w:hint="eastAsia"/>
          <w:b/>
          <w:sz w:val="20"/>
          <w:szCs w:val="20"/>
        </w:rPr>
        <w:t xml:space="preserve"> 2000 sequencing result as well as quality control (QC)</w:t>
      </w:r>
    </w:p>
    <w:tbl>
      <w:tblPr>
        <w:tblStyle w:val="TableColumns1"/>
        <w:tblW w:w="0" w:type="auto"/>
        <w:tblLook w:val="04A0"/>
      </w:tblPr>
      <w:tblGrid>
        <w:gridCol w:w="2709"/>
        <w:gridCol w:w="2511"/>
      </w:tblGrid>
      <w:tr w:rsidR="00423894" w:rsidRPr="00524BA5" w:rsidTr="00A330E2">
        <w:trPr>
          <w:cnfStyle w:val="100000000000"/>
          <w:trHeight w:val="340"/>
        </w:trPr>
        <w:tc>
          <w:tcPr>
            <w:cnfStyle w:val="001000000000"/>
            <w:tcW w:w="0" w:type="auto"/>
            <w:tcBorders>
              <w:top w:val="single" w:sz="12" w:space="0" w:color="000000"/>
              <w:left w:val="nil"/>
            </w:tcBorders>
            <w:noWrap/>
          </w:tcPr>
          <w:p w:rsidR="00423894" w:rsidRPr="005153D9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  <w:right w:val="nil"/>
            </w:tcBorders>
            <w:noWrap/>
          </w:tcPr>
          <w:p w:rsidR="00423894" w:rsidRPr="00524BA5" w:rsidRDefault="00423894" w:rsidP="00A330E2">
            <w:pPr>
              <w:widowControl/>
              <w:wordWrap w:val="0"/>
              <w:ind w:right="100"/>
              <w:jc w:val="right"/>
              <w:cnfStyle w:val="100000000000"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>
              <w:rPr>
                <w:rFonts w:asciiTheme="minorHAnsi" w:hAnsiTheme="minorHAnsi" w:cs="PMingLiU" w:hint="eastAsia"/>
                <w:b/>
                <w:color w:val="000000"/>
                <w:szCs w:val="20"/>
              </w:rPr>
              <w:t>Read Amount</w:t>
            </w:r>
          </w:p>
        </w:tc>
      </w:tr>
      <w:tr w:rsidR="00423894" w:rsidRPr="00524BA5" w:rsidTr="00A330E2">
        <w:trPr>
          <w:trHeight w:val="340"/>
        </w:trPr>
        <w:tc>
          <w:tcPr>
            <w:cnfStyle w:val="001000000000"/>
            <w:tcW w:w="0" w:type="auto"/>
            <w:tcBorders>
              <w:left w:val="nil"/>
            </w:tcBorders>
            <w:noWrap/>
            <w:hideMark/>
          </w:tcPr>
          <w:p w:rsidR="00423894" w:rsidRPr="00524BA5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 w:rsidRPr="00524BA5">
              <w:rPr>
                <w:rFonts w:asciiTheme="minorHAnsi" w:hAnsiTheme="minorHAnsi" w:cs="PMingLiU"/>
                <w:b/>
                <w:color w:val="000000"/>
                <w:szCs w:val="20"/>
              </w:rPr>
              <w:t>Total read</w:t>
            </w:r>
          </w:p>
        </w:tc>
        <w:tc>
          <w:tcPr>
            <w:tcW w:w="0" w:type="auto"/>
            <w:tcBorders>
              <w:right w:val="nil"/>
            </w:tcBorders>
            <w:noWrap/>
            <w:hideMark/>
          </w:tcPr>
          <w:p w:rsidR="00423894" w:rsidRPr="00524BA5" w:rsidRDefault="00423894" w:rsidP="00A330E2">
            <w:pPr>
              <w:widowControl/>
              <w:jc w:val="right"/>
              <w:cnfStyle w:val="000000000000"/>
              <w:rPr>
                <w:rFonts w:asciiTheme="minorHAnsi" w:hAnsiTheme="minorHAnsi" w:cs="PMingLiU"/>
                <w:b w:val="0"/>
                <w:color w:val="000000"/>
                <w:szCs w:val="20"/>
              </w:rPr>
            </w:pPr>
            <w:r w:rsidRPr="00524BA5">
              <w:rPr>
                <w:rFonts w:asciiTheme="minorHAnsi" w:hAnsiTheme="minorHAnsi" w:cs="PMingLiU"/>
                <w:b w:val="0"/>
                <w:color w:val="000000"/>
                <w:szCs w:val="20"/>
              </w:rPr>
              <w:t>85,233,812.00</w:t>
            </w:r>
          </w:p>
        </w:tc>
      </w:tr>
      <w:tr w:rsidR="00423894" w:rsidRPr="00524BA5" w:rsidTr="00A330E2">
        <w:trPr>
          <w:trHeight w:val="340"/>
        </w:trPr>
        <w:tc>
          <w:tcPr>
            <w:cnfStyle w:val="001000000000"/>
            <w:tcW w:w="0" w:type="auto"/>
            <w:tcBorders>
              <w:left w:val="nil"/>
              <w:bottom w:val="single" w:sz="12" w:space="0" w:color="000000"/>
            </w:tcBorders>
            <w:noWrap/>
            <w:hideMark/>
          </w:tcPr>
          <w:p w:rsidR="00423894" w:rsidRPr="00524BA5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 w:rsidRPr="00524BA5">
              <w:rPr>
                <w:rFonts w:asciiTheme="minorHAnsi" w:hAnsiTheme="minorHAnsi" w:cs="PMingLiU"/>
                <w:b/>
                <w:color w:val="000000"/>
                <w:szCs w:val="20"/>
              </w:rPr>
              <w:t>Read after QC</w:t>
            </w:r>
          </w:p>
        </w:tc>
        <w:tc>
          <w:tcPr>
            <w:tcW w:w="0" w:type="auto"/>
            <w:tcBorders>
              <w:bottom w:val="single" w:sz="12" w:space="0" w:color="000000"/>
              <w:right w:val="nil"/>
            </w:tcBorders>
            <w:noWrap/>
            <w:hideMark/>
          </w:tcPr>
          <w:p w:rsidR="00423894" w:rsidRPr="00524BA5" w:rsidRDefault="00423894" w:rsidP="00A330E2">
            <w:pPr>
              <w:widowControl/>
              <w:jc w:val="right"/>
              <w:cnfStyle w:val="000000000000"/>
              <w:rPr>
                <w:rFonts w:asciiTheme="minorHAnsi" w:hAnsiTheme="minorHAnsi" w:cs="PMingLiU"/>
                <w:b w:val="0"/>
                <w:color w:val="000000"/>
                <w:szCs w:val="20"/>
              </w:rPr>
            </w:pPr>
            <w:r w:rsidRPr="00524BA5">
              <w:rPr>
                <w:rFonts w:asciiTheme="minorHAnsi" w:hAnsiTheme="minorHAnsi" w:cs="PMingLiU"/>
                <w:b w:val="0"/>
                <w:color w:val="000000"/>
                <w:szCs w:val="20"/>
              </w:rPr>
              <w:t>77,939,562</w:t>
            </w:r>
          </w:p>
        </w:tc>
      </w:tr>
      <w:tr w:rsidR="00423894" w:rsidRPr="00524BA5" w:rsidTr="00A330E2">
        <w:trPr>
          <w:trHeight w:val="340"/>
        </w:trPr>
        <w:tc>
          <w:tcPr>
            <w:cnfStyle w:val="001000000000"/>
            <w:tcW w:w="0" w:type="auto"/>
            <w:tcBorders>
              <w:top w:val="single" w:sz="12" w:space="0" w:color="000000"/>
              <w:left w:val="nil"/>
              <w:bottom w:val="single" w:sz="12" w:space="0" w:color="000000"/>
            </w:tcBorders>
            <w:noWrap/>
          </w:tcPr>
          <w:p w:rsidR="00423894" w:rsidRPr="00524BA5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  <w:right w:val="nil"/>
            </w:tcBorders>
            <w:noWrap/>
          </w:tcPr>
          <w:p w:rsidR="00423894" w:rsidRPr="00F97FC8" w:rsidRDefault="00423894" w:rsidP="00A330E2">
            <w:pPr>
              <w:widowControl/>
              <w:wordWrap w:val="0"/>
              <w:jc w:val="right"/>
              <w:cnfStyle w:val="000000000000"/>
              <w:rPr>
                <w:rFonts w:asciiTheme="minorHAnsi" w:hAnsiTheme="minorHAnsi" w:cs="PMingLiU"/>
                <w:color w:val="000000"/>
                <w:szCs w:val="20"/>
              </w:rPr>
            </w:pPr>
            <w:r w:rsidRPr="00F97FC8">
              <w:rPr>
                <w:rFonts w:asciiTheme="minorHAnsi" w:hAnsiTheme="minorHAnsi" w:cs="PMingLiU" w:hint="eastAsia"/>
                <w:color w:val="000000"/>
                <w:szCs w:val="20"/>
              </w:rPr>
              <w:t>Read Length (Nucleotides)</w:t>
            </w:r>
          </w:p>
        </w:tc>
      </w:tr>
      <w:tr w:rsidR="00423894" w:rsidRPr="00524BA5" w:rsidTr="00A330E2">
        <w:trPr>
          <w:trHeight w:val="340"/>
        </w:trPr>
        <w:tc>
          <w:tcPr>
            <w:cnfStyle w:val="001000000000"/>
            <w:tcW w:w="0" w:type="auto"/>
            <w:tcBorders>
              <w:top w:val="single" w:sz="12" w:space="0" w:color="000000"/>
              <w:left w:val="nil"/>
            </w:tcBorders>
            <w:noWrap/>
            <w:hideMark/>
          </w:tcPr>
          <w:p w:rsidR="00423894" w:rsidRPr="00524BA5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 w:rsidRPr="00524BA5">
              <w:rPr>
                <w:rFonts w:asciiTheme="minorHAnsi" w:hAnsiTheme="minorHAnsi" w:cs="PMingLiU"/>
                <w:b/>
                <w:color w:val="000000"/>
                <w:szCs w:val="20"/>
              </w:rPr>
              <w:t>Read Length</w:t>
            </w:r>
          </w:p>
        </w:tc>
        <w:tc>
          <w:tcPr>
            <w:tcW w:w="0" w:type="auto"/>
            <w:tcBorders>
              <w:top w:val="single" w:sz="12" w:space="0" w:color="000000"/>
              <w:right w:val="nil"/>
            </w:tcBorders>
            <w:noWrap/>
            <w:hideMark/>
          </w:tcPr>
          <w:p w:rsidR="00423894" w:rsidRPr="00524BA5" w:rsidRDefault="00423894" w:rsidP="00A330E2">
            <w:pPr>
              <w:widowControl/>
              <w:jc w:val="right"/>
              <w:cnfStyle w:val="000000000000"/>
              <w:rPr>
                <w:rFonts w:asciiTheme="minorHAnsi" w:hAnsiTheme="minorHAnsi" w:cs="PMingLiU"/>
                <w:b w:val="0"/>
                <w:color w:val="000000"/>
                <w:szCs w:val="20"/>
              </w:rPr>
            </w:pPr>
            <w:r w:rsidRPr="00524BA5">
              <w:rPr>
                <w:rFonts w:asciiTheme="minorHAnsi" w:hAnsiTheme="minorHAnsi" w:cs="PMingLiU"/>
                <w:b w:val="0"/>
                <w:color w:val="000000"/>
                <w:szCs w:val="20"/>
              </w:rPr>
              <w:t>101</w:t>
            </w:r>
          </w:p>
        </w:tc>
      </w:tr>
      <w:tr w:rsidR="00423894" w:rsidRPr="00524BA5" w:rsidTr="00A330E2">
        <w:trPr>
          <w:trHeight w:val="340"/>
        </w:trPr>
        <w:tc>
          <w:tcPr>
            <w:cnfStyle w:val="001000000000"/>
            <w:tcW w:w="0" w:type="auto"/>
            <w:tcBorders>
              <w:left w:val="nil"/>
              <w:bottom w:val="single" w:sz="12" w:space="0" w:color="000000"/>
            </w:tcBorders>
            <w:noWrap/>
            <w:hideMark/>
          </w:tcPr>
          <w:p w:rsidR="00423894" w:rsidRPr="00524BA5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 w:rsidRPr="00524BA5">
              <w:rPr>
                <w:rFonts w:asciiTheme="minorHAnsi" w:hAnsiTheme="minorHAnsi" w:cs="PMingLiU"/>
                <w:b/>
                <w:color w:val="000000"/>
                <w:szCs w:val="20"/>
              </w:rPr>
              <w:t>Average Read Length after QC</w:t>
            </w:r>
          </w:p>
        </w:tc>
        <w:tc>
          <w:tcPr>
            <w:tcW w:w="0" w:type="auto"/>
            <w:tcBorders>
              <w:bottom w:val="single" w:sz="12" w:space="0" w:color="000000"/>
              <w:right w:val="nil"/>
            </w:tcBorders>
            <w:noWrap/>
            <w:hideMark/>
          </w:tcPr>
          <w:p w:rsidR="00423894" w:rsidRPr="00524BA5" w:rsidRDefault="00423894" w:rsidP="00A330E2">
            <w:pPr>
              <w:widowControl/>
              <w:jc w:val="right"/>
              <w:cnfStyle w:val="000000000000"/>
              <w:rPr>
                <w:rFonts w:asciiTheme="minorHAnsi" w:hAnsiTheme="minorHAnsi" w:cs="PMingLiU"/>
                <w:b w:val="0"/>
                <w:color w:val="000000"/>
                <w:szCs w:val="20"/>
              </w:rPr>
            </w:pPr>
            <w:r w:rsidRPr="00524BA5">
              <w:rPr>
                <w:rFonts w:asciiTheme="minorHAnsi" w:hAnsiTheme="minorHAnsi" w:cs="PMingLiU"/>
                <w:b w:val="0"/>
                <w:color w:val="000000"/>
                <w:szCs w:val="20"/>
              </w:rPr>
              <w:t>99.575</w:t>
            </w:r>
          </w:p>
        </w:tc>
      </w:tr>
    </w:tbl>
    <w:p w:rsidR="00423894" w:rsidRDefault="00423894" w:rsidP="00FE7714">
      <w:pPr>
        <w:spacing w:afterLines="50"/>
        <w:jc w:val="both"/>
        <w:rPr>
          <w:rFonts w:ascii="Calibri" w:eastAsia="GillSans-Bold" w:hAnsi="Calibri"/>
          <w:b/>
          <w:bCs/>
          <w:kern w:val="0"/>
          <w:sz w:val="22"/>
          <w:szCs w:val="22"/>
        </w:rPr>
      </w:pPr>
    </w:p>
    <w:p w:rsidR="00423894" w:rsidRDefault="00423894" w:rsidP="00423894">
      <w:pPr>
        <w:widowControl/>
        <w:rPr>
          <w:rFonts w:ascii="Calibri" w:eastAsia="GillSans-Bold" w:hAnsi="Calibri"/>
          <w:b/>
          <w:bCs/>
          <w:kern w:val="0"/>
          <w:sz w:val="22"/>
          <w:szCs w:val="22"/>
        </w:rPr>
      </w:pPr>
      <w:r>
        <w:rPr>
          <w:rFonts w:ascii="Calibri" w:eastAsia="GillSans-Bold" w:hAnsi="Calibri"/>
          <w:b/>
          <w:bCs/>
          <w:kern w:val="0"/>
          <w:sz w:val="22"/>
          <w:szCs w:val="22"/>
        </w:rPr>
        <w:br w:type="page"/>
      </w:r>
    </w:p>
    <w:p w:rsidR="00423894" w:rsidRDefault="00423894" w:rsidP="00FE7714">
      <w:pPr>
        <w:spacing w:afterLines="50"/>
        <w:jc w:val="both"/>
        <w:rPr>
          <w:rFonts w:ascii="Calibri" w:eastAsia="GillSans-Bold" w:hAnsi="Calibri"/>
          <w:b/>
          <w:bCs/>
          <w:kern w:val="0"/>
          <w:sz w:val="22"/>
          <w:szCs w:val="22"/>
        </w:rPr>
      </w:pPr>
    </w:p>
    <w:p w:rsidR="00423894" w:rsidRDefault="00423894" w:rsidP="00FE7714">
      <w:pPr>
        <w:spacing w:afterLines="50"/>
        <w:jc w:val="both"/>
        <w:rPr>
          <w:rFonts w:ascii="Calibri" w:eastAsia="GillSans-Bold" w:hAnsi="Calibri"/>
          <w:b/>
          <w:bCs/>
          <w:kern w:val="0"/>
          <w:sz w:val="22"/>
          <w:szCs w:val="22"/>
        </w:rPr>
      </w:pPr>
      <w:r>
        <w:rPr>
          <w:rFonts w:ascii="Calibri" w:eastAsia="GillSans-Bold" w:hAnsi="Calibri" w:hint="eastAsia"/>
          <w:b/>
          <w:bCs/>
          <w:kern w:val="0"/>
          <w:sz w:val="22"/>
          <w:szCs w:val="22"/>
        </w:rPr>
        <w:t xml:space="preserve">Table S2 Length (nucleotides) of the de novo assembled transcripts </w:t>
      </w:r>
    </w:p>
    <w:tbl>
      <w:tblPr>
        <w:tblStyle w:val="TableColumns1"/>
        <w:tblW w:w="0" w:type="auto"/>
        <w:tblLayout w:type="fixed"/>
        <w:tblLook w:val="04A0"/>
      </w:tblPr>
      <w:tblGrid>
        <w:gridCol w:w="2092"/>
        <w:gridCol w:w="1777"/>
        <w:gridCol w:w="1673"/>
        <w:gridCol w:w="1673"/>
        <w:gridCol w:w="2593"/>
      </w:tblGrid>
      <w:tr w:rsidR="00423894" w:rsidRPr="00975155" w:rsidTr="00A330E2">
        <w:trPr>
          <w:cnfStyle w:val="100000000000"/>
          <w:trHeight w:val="349"/>
        </w:trPr>
        <w:tc>
          <w:tcPr>
            <w:cnfStyle w:val="001000000000"/>
            <w:tcW w:w="2092" w:type="dxa"/>
            <w:tcBorders>
              <w:top w:val="single" w:sz="12" w:space="0" w:color="000000"/>
              <w:left w:val="nil"/>
            </w:tcBorders>
            <w:hideMark/>
          </w:tcPr>
          <w:p w:rsidR="00423894" w:rsidRPr="00975155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975155">
              <w:rPr>
                <w:rFonts w:ascii="Calibri" w:eastAsia="GillSans-Bold" w:hAnsi="Calibri"/>
                <w:b/>
                <w:bCs/>
                <w:szCs w:val="20"/>
              </w:rPr>
              <w:t>Assembly Tool</w:t>
            </w:r>
          </w:p>
        </w:tc>
        <w:tc>
          <w:tcPr>
            <w:tcW w:w="1777" w:type="dxa"/>
            <w:tcBorders>
              <w:top w:val="single" w:sz="12" w:space="0" w:color="000000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100000000000"/>
              <w:rPr>
                <w:rFonts w:ascii="Calibri" w:eastAsia="GillSans-Bold" w:hAnsi="Calibri"/>
                <w:b/>
                <w:bCs/>
                <w:szCs w:val="20"/>
              </w:rPr>
            </w:pPr>
            <w:r w:rsidRPr="00975155">
              <w:rPr>
                <w:rFonts w:ascii="Calibri" w:eastAsia="GillSans-Bold" w:hAnsi="Calibri"/>
                <w:b/>
                <w:bCs/>
                <w:szCs w:val="20"/>
              </w:rPr>
              <w:t>SOAPdenovo</w:t>
            </w:r>
          </w:p>
        </w:tc>
        <w:tc>
          <w:tcPr>
            <w:tcW w:w="1673" w:type="dxa"/>
            <w:tcBorders>
              <w:top w:val="single" w:sz="12" w:space="0" w:color="000000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100000000000"/>
              <w:rPr>
                <w:rFonts w:ascii="Calibri" w:eastAsia="GillSans-Bold" w:hAnsi="Calibri"/>
                <w:b/>
                <w:bCs/>
                <w:szCs w:val="20"/>
              </w:rPr>
            </w:pPr>
            <w:r w:rsidRPr="00975155">
              <w:rPr>
                <w:rFonts w:ascii="Calibri" w:eastAsia="GillSans-Bold" w:hAnsi="Calibri"/>
                <w:b/>
                <w:bCs/>
                <w:szCs w:val="20"/>
              </w:rPr>
              <w:t>Trinity</w:t>
            </w:r>
          </w:p>
        </w:tc>
        <w:tc>
          <w:tcPr>
            <w:tcW w:w="1673" w:type="dxa"/>
            <w:tcBorders>
              <w:top w:val="single" w:sz="12" w:space="0" w:color="000000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100000000000"/>
              <w:rPr>
                <w:rFonts w:ascii="Calibri" w:eastAsia="GillSans-Bold" w:hAnsi="Calibri"/>
                <w:b/>
                <w:bCs/>
                <w:szCs w:val="20"/>
              </w:rPr>
            </w:pPr>
            <w:r w:rsidRPr="00975155">
              <w:rPr>
                <w:rFonts w:ascii="Calibri" w:eastAsia="GillSans-Bold" w:hAnsi="Calibri"/>
                <w:b/>
                <w:bCs/>
                <w:szCs w:val="20"/>
              </w:rPr>
              <w:t>Oases</w:t>
            </w:r>
          </w:p>
        </w:tc>
        <w:tc>
          <w:tcPr>
            <w:tcW w:w="2593" w:type="dxa"/>
            <w:tcBorders>
              <w:top w:val="single" w:sz="12" w:space="0" w:color="000000"/>
              <w:right w:val="nil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100000000000"/>
              <w:rPr>
                <w:rFonts w:ascii="Calibri" w:eastAsia="GillSans-Bold" w:hAnsi="Calibri"/>
                <w:b/>
                <w:bCs/>
                <w:szCs w:val="20"/>
              </w:rPr>
            </w:pPr>
            <w:r>
              <w:rPr>
                <w:rFonts w:ascii="Calibri" w:eastAsia="GillSans-Bold" w:hAnsi="Calibri"/>
                <w:b/>
                <w:bCs/>
                <w:szCs w:val="20"/>
              </w:rPr>
              <w:t>Clustered</w:t>
            </w:r>
            <w:r>
              <w:rPr>
                <w:rFonts w:ascii="Calibri" w:eastAsia="GillSans-Bold" w:hAnsi="Calibri" w:hint="eastAsia"/>
                <w:b/>
                <w:bCs/>
                <w:szCs w:val="20"/>
              </w:rPr>
              <w:t xml:space="preserve"> </w:t>
            </w:r>
            <w:r>
              <w:rPr>
                <w:rFonts w:ascii="Calibri" w:eastAsia="GillSans-Bold" w:hAnsi="Calibri"/>
                <w:b/>
                <w:bCs/>
                <w:szCs w:val="20"/>
              </w:rPr>
              <w:t>Unigenes</w:t>
            </w:r>
          </w:p>
        </w:tc>
      </w:tr>
      <w:tr w:rsidR="00423894" w:rsidRPr="00975155" w:rsidTr="00A330E2">
        <w:trPr>
          <w:trHeight w:val="349"/>
        </w:trPr>
        <w:tc>
          <w:tcPr>
            <w:cnfStyle w:val="001000000000"/>
            <w:tcW w:w="2092" w:type="dxa"/>
            <w:tcBorders>
              <w:left w:val="nil"/>
            </w:tcBorders>
            <w:hideMark/>
          </w:tcPr>
          <w:p w:rsidR="00423894" w:rsidRPr="00975155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975155">
              <w:rPr>
                <w:rFonts w:ascii="Calibri" w:eastAsia="GillSans-Bold" w:hAnsi="Calibri"/>
                <w:b/>
                <w:bCs/>
                <w:szCs w:val="20"/>
              </w:rPr>
              <w:t>Total Length</w:t>
            </w:r>
          </w:p>
        </w:tc>
        <w:tc>
          <w:tcPr>
            <w:tcW w:w="1777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167,769,859</w:t>
            </w:r>
          </w:p>
        </w:tc>
        <w:tc>
          <w:tcPr>
            <w:tcW w:w="1673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151,865,571</w:t>
            </w:r>
          </w:p>
        </w:tc>
        <w:tc>
          <w:tcPr>
            <w:tcW w:w="1673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201,936,793</w:t>
            </w:r>
          </w:p>
        </w:tc>
        <w:tc>
          <w:tcPr>
            <w:tcW w:w="2593" w:type="dxa"/>
            <w:tcBorders>
              <w:right w:val="nil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60,135,484</w:t>
            </w:r>
          </w:p>
        </w:tc>
      </w:tr>
      <w:tr w:rsidR="00423894" w:rsidRPr="00975155" w:rsidTr="00A330E2">
        <w:trPr>
          <w:trHeight w:val="349"/>
        </w:trPr>
        <w:tc>
          <w:tcPr>
            <w:cnfStyle w:val="001000000000"/>
            <w:tcW w:w="2092" w:type="dxa"/>
            <w:tcBorders>
              <w:left w:val="nil"/>
            </w:tcBorders>
            <w:hideMark/>
          </w:tcPr>
          <w:p w:rsidR="00423894" w:rsidRPr="00975155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975155">
              <w:rPr>
                <w:rFonts w:ascii="Calibri" w:eastAsia="GillSans-Bold" w:hAnsi="Calibri"/>
                <w:b/>
                <w:bCs/>
                <w:szCs w:val="20"/>
              </w:rPr>
              <w:t>N50</w:t>
            </w:r>
          </w:p>
        </w:tc>
        <w:tc>
          <w:tcPr>
            <w:tcW w:w="1777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150</w:t>
            </w:r>
          </w:p>
        </w:tc>
        <w:tc>
          <w:tcPr>
            <w:tcW w:w="1673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1294</w:t>
            </w:r>
          </w:p>
        </w:tc>
        <w:tc>
          <w:tcPr>
            <w:tcW w:w="1673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2,395</w:t>
            </w:r>
          </w:p>
        </w:tc>
        <w:tc>
          <w:tcPr>
            <w:tcW w:w="2593" w:type="dxa"/>
            <w:tcBorders>
              <w:right w:val="nil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3,734</w:t>
            </w:r>
          </w:p>
        </w:tc>
      </w:tr>
      <w:tr w:rsidR="00423894" w:rsidRPr="00975155" w:rsidTr="00A330E2">
        <w:trPr>
          <w:trHeight w:val="349"/>
        </w:trPr>
        <w:tc>
          <w:tcPr>
            <w:cnfStyle w:val="001000000000"/>
            <w:tcW w:w="2092" w:type="dxa"/>
            <w:tcBorders>
              <w:left w:val="nil"/>
            </w:tcBorders>
            <w:hideMark/>
          </w:tcPr>
          <w:p w:rsidR="00423894" w:rsidRPr="00975155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975155">
              <w:rPr>
                <w:rFonts w:ascii="Calibri" w:eastAsia="GillSans-Bold" w:hAnsi="Calibri"/>
                <w:b/>
                <w:bCs/>
                <w:szCs w:val="20"/>
              </w:rPr>
              <w:t>N90</w:t>
            </w:r>
          </w:p>
        </w:tc>
        <w:tc>
          <w:tcPr>
            <w:tcW w:w="1777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100</w:t>
            </w:r>
          </w:p>
        </w:tc>
        <w:tc>
          <w:tcPr>
            <w:tcW w:w="1673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296</w:t>
            </w:r>
          </w:p>
        </w:tc>
        <w:tc>
          <w:tcPr>
            <w:tcW w:w="1673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510</w:t>
            </w:r>
          </w:p>
        </w:tc>
        <w:tc>
          <w:tcPr>
            <w:tcW w:w="2593" w:type="dxa"/>
            <w:tcBorders>
              <w:right w:val="nil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1,024</w:t>
            </w:r>
          </w:p>
        </w:tc>
      </w:tr>
      <w:tr w:rsidR="00423894" w:rsidRPr="00975155" w:rsidTr="00A330E2">
        <w:trPr>
          <w:trHeight w:val="349"/>
        </w:trPr>
        <w:tc>
          <w:tcPr>
            <w:cnfStyle w:val="001000000000"/>
            <w:tcW w:w="2092" w:type="dxa"/>
            <w:tcBorders>
              <w:left w:val="nil"/>
            </w:tcBorders>
            <w:hideMark/>
          </w:tcPr>
          <w:p w:rsidR="00423894" w:rsidRPr="00975155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975155">
              <w:rPr>
                <w:rFonts w:ascii="Calibri" w:eastAsia="GillSans-Bold" w:hAnsi="Calibri"/>
                <w:b/>
                <w:bCs/>
                <w:szCs w:val="20"/>
              </w:rPr>
              <w:t>Mean</w:t>
            </w:r>
          </w:p>
        </w:tc>
        <w:tc>
          <w:tcPr>
            <w:tcW w:w="1777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150</w:t>
            </w:r>
          </w:p>
        </w:tc>
        <w:tc>
          <w:tcPr>
            <w:tcW w:w="1673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766</w:t>
            </w:r>
          </w:p>
        </w:tc>
        <w:tc>
          <w:tcPr>
            <w:tcW w:w="1673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1,212</w:t>
            </w:r>
          </w:p>
        </w:tc>
        <w:tc>
          <w:tcPr>
            <w:tcW w:w="2593" w:type="dxa"/>
            <w:tcBorders>
              <w:right w:val="nil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1,867</w:t>
            </w:r>
          </w:p>
        </w:tc>
      </w:tr>
      <w:tr w:rsidR="00423894" w:rsidRPr="00975155" w:rsidTr="00A330E2">
        <w:trPr>
          <w:trHeight w:val="349"/>
        </w:trPr>
        <w:tc>
          <w:tcPr>
            <w:cnfStyle w:val="001000000000"/>
            <w:tcW w:w="2092" w:type="dxa"/>
            <w:tcBorders>
              <w:left w:val="nil"/>
            </w:tcBorders>
            <w:hideMark/>
          </w:tcPr>
          <w:p w:rsidR="00423894" w:rsidRPr="00975155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975155">
              <w:rPr>
                <w:rFonts w:ascii="Calibri" w:eastAsia="GillSans-Bold" w:hAnsi="Calibri"/>
                <w:b/>
                <w:bCs/>
                <w:szCs w:val="20"/>
              </w:rPr>
              <w:t>Max</w:t>
            </w:r>
          </w:p>
        </w:tc>
        <w:tc>
          <w:tcPr>
            <w:tcW w:w="1777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3,196</w:t>
            </w:r>
          </w:p>
        </w:tc>
        <w:tc>
          <w:tcPr>
            <w:tcW w:w="1673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16,604</w:t>
            </w:r>
          </w:p>
        </w:tc>
        <w:tc>
          <w:tcPr>
            <w:tcW w:w="1673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22,550</w:t>
            </w:r>
          </w:p>
        </w:tc>
        <w:tc>
          <w:tcPr>
            <w:tcW w:w="2593" w:type="dxa"/>
            <w:tcBorders>
              <w:right w:val="nil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22,064</w:t>
            </w:r>
          </w:p>
        </w:tc>
      </w:tr>
      <w:tr w:rsidR="00423894" w:rsidRPr="00975155" w:rsidTr="00A330E2">
        <w:trPr>
          <w:trHeight w:val="349"/>
        </w:trPr>
        <w:tc>
          <w:tcPr>
            <w:cnfStyle w:val="001000000000"/>
            <w:tcW w:w="2092" w:type="dxa"/>
            <w:tcBorders>
              <w:left w:val="nil"/>
            </w:tcBorders>
            <w:hideMark/>
          </w:tcPr>
          <w:p w:rsidR="00423894" w:rsidRPr="00975155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975155">
              <w:rPr>
                <w:rFonts w:ascii="Calibri" w:eastAsia="GillSans-Bold" w:hAnsi="Calibri"/>
                <w:b/>
                <w:bCs/>
                <w:szCs w:val="20"/>
              </w:rPr>
              <w:t>Min</w:t>
            </w:r>
          </w:p>
        </w:tc>
        <w:tc>
          <w:tcPr>
            <w:tcW w:w="1777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100</w:t>
            </w:r>
          </w:p>
        </w:tc>
        <w:tc>
          <w:tcPr>
            <w:tcW w:w="1673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201</w:t>
            </w:r>
          </w:p>
        </w:tc>
        <w:tc>
          <w:tcPr>
            <w:tcW w:w="1673" w:type="dxa"/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100</w:t>
            </w:r>
          </w:p>
        </w:tc>
        <w:tc>
          <w:tcPr>
            <w:tcW w:w="2593" w:type="dxa"/>
            <w:tcBorders>
              <w:right w:val="nil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100</w:t>
            </w:r>
          </w:p>
        </w:tc>
      </w:tr>
      <w:tr w:rsidR="00423894" w:rsidRPr="00975155" w:rsidTr="00A330E2">
        <w:trPr>
          <w:trHeight w:val="349"/>
        </w:trPr>
        <w:tc>
          <w:tcPr>
            <w:cnfStyle w:val="001000000000"/>
            <w:tcW w:w="2092" w:type="dxa"/>
            <w:tcBorders>
              <w:left w:val="nil"/>
              <w:bottom w:val="single" w:sz="12" w:space="0" w:color="000000"/>
            </w:tcBorders>
            <w:hideMark/>
          </w:tcPr>
          <w:p w:rsidR="00423894" w:rsidRPr="00975155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975155">
              <w:rPr>
                <w:rFonts w:ascii="Calibri" w:eastAsia="GillSans-Bold" w:hAnsi="Calibri"/>
                <w:b/>
                <w:bCs/>
                <w:szCs w:val="20"/>
              </w:rPr>
              <w:t>Median</w:t>
            </w:r>
          </w:p>
        </w:tc>
        <w:tc>
          <w:tcPr>
            <w:tcW w:w="1777" w:type="dxa"/>
            <w:tcBorders>
              <w:bottom w:val="single" w:sz="12" w:space="0" w:color="000000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105</w:t>
            </w:r>
          </w:p>
        </w:tc>
        <w:tc>
          <w:tcPr>
            <w:tcW w:w="1673" w:type="dxa"/>
            <w:tcBorders>
              <w:bottom w:val="single" w:sz="12" w:space="0" w:color="000000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414</w:t>
            </w:r>
          </w:p>
        </w:tc>
        <w:tc>
          <w:tcPr>
            <w:tcW w:w="1673" w:type="dxa"/>
            <w:tcBorders>
              <w:bottom w:val="single" w:sz="12" w:space="0" w:color="000000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619</w:t>
            </w:r>
          </w:p>
        </w:tc>
        <w:tc>
          <w:tcPr>
            <w:tcW w:w="2593" w:type="dxa"/>
            <w:tcBorders>
              <w:bottom w:val="single" w:sz="12" w:space="0" w:color="000000"/>
              <w:right w:val="nil"/>
            </w:tcBorders>
            <w:hideMark/>
          </w:tcPr>
          <w:p w:rsidR="00423894" w:rsidRPr="00975155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975155">
              <w:rPr>
                <w:rFonts w:ascii="Calibri" w:eastAsia="GillSans-Bold" w:hAnsi="Calibri"/>
                <w:szCs w:val="20"/>
              </w:rPr>
              <w:t>931</w:t>
            </w:r>
          </w:p>
        </w:tc>
      </w:tr>
    </w:tbl>
    <w:p w:rsidR="00423894" w:rsidRDefault="00423894" w:rsidP="00FE7714">
      <w:pPr>
        <w:spacing w:afterLines="50"/>
        <w:jc w:val="both"/>
        <w:rPr>
          <w:rFonts w:ascii="Calibri" w:eastAsia="GillSans-Bold" w:hAnsi="Calibri"/>
          <w:b/>
          <w:bCs/>
          <w:kern w:val="0"/>
          <w:sz w:val="22"/>
          <w:szCs w:val="22"/>
        </w:rPr>
      </w:pPr>
    </w:p>
    <w:p w:rsidR="00423894" w:rsidRDefault="00423894" w:rsidP="00423894">
      <w:pPr>
        <w:widowControl/>
        <w:rPr>
          <w:rFonts w:ascii="Calibri" w:eastAsia="GillSans-Bold" w:hAnsi="Calibri"/>
          <w:b/>
          <w:bCs/>
          <w:kern w:val="0"/>
          <w:sz w:val="22"/>
          <w:szCs w:val="22"/>
        </w:rPr>
      </w:pPr>
      <w:r>
        <w:rPr>
          <w:rFonts w:ascii="Calibri" w:eastAsia="GillSans-Bold" w:hAnsi="Calibri"/>
          <w:b/>
          <w:bCs/>
          <w:kern w:val="0"/>
          <w:sz w:val="22"/>
          <w:szCs w:val="22"/>
        </w:rPr>
        <w:br w:type="page"/>
      </w:r>
    </w:p>
    <w:p w:rsidR="00423894" w:rsidRDefault="00423894" w:rsidP="00FE7714">
      <w:pPr>
        <w:spacing w:afterLines="50"/>
        <w:jc w:val="both"/>
        <w:rPr>
          <w:rFonts w:ascii="Calibri" w:eastAsia="GillSans-Bold" w:hAnsi="Calibri"/>
          <w:b/>
          <w:bCs/>
          <w:kern w:val="0"/>
          <w:sz w:val="22"/>
          <w:szCs w:val="22"/>
        </w:rPr>
      </w:pPr>
      <w:r>
        <w:rPr>
          <w:rFonts w:ascii="Calibri" w:eastAsia="GillSans-Bold" w:hAnsi="Calibri" w:hint="eastAsia"/>
          <w:b/>
          <w:bCs/>
          <w:kern w:val="0"/>
          <w:sz w:val="22"/>
          <w:szCs w:val="22"/>
        </w:rPr>
        <w:lastRenderedPageBreak/>
        <w:t xml:space="preserve">Table S3 Composition of the assembled Unigenes in length </w:t>
      </w:r>
    </w:p>
    <w:tbl>
      <w:tblPr>
        <w:tblStyle w:val="TableColumns1"/>
        <w:tblW w:w="5000" w:type="pct"/>
        <w:tblLook w:val="04A0"/>
      </w:tblPr>
      <w:tblGrid>
        <w:gridCol w:w="2718"/>
        <w:gridCol w:w="1896"/>
        <w:gridCol w:w="1718"/>
        <w:gridCol w:w="1718"/>
        <w:gridCol w:w="1918"/>
      </w:tblGrid>
      <w:tr w:rsidR="00423894" w:rsidRPr="007E3D47" w:rsidTr="00A330E2">
        <w:trPr>
          <w:cnfStyle w:val="100000000000"/>
          <w:trHeight w:val="340"/>
        </w:trPr>
        <w:tc>
          <w:tcPr>
            <w:cnfStyle w:val="001000000000"/>
            <w:tcW w:w="1363" w:type="pct"/>
            <w:tcBorders>
              <w:top w:val="single" w:sz="12" w:space="0" w:color="000000"/>
              <w:left w:val="nil"/>
            </w:tcBorders>
            <w:hideMark/>
          </w:tcPr>
          <w:p w:rsidR="00423894" w:rsidRPr="007E3D47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>Assembly Tool</w:t>
            </w:r>
          </w:p>
        </w:tc>
        <w:tc>
          <w:tcPr>
            <w:tcW w:w="951" w:type="pct"/>
            <w:tcBorders>
              <w:top w:val="single" w:sz="12" w:space="0" w:color="000000"/>
            </w:tcBorders>
            <w:hideMark/>
          </w:tcPr>
          <w:p w:rsidR="00423894" w:rsidRPr="007E3D47" w:rsidRDefault="00423894" w:rsidP="00FE7714">
            <w:pPr>
              <w:spacing w:afterLines="50"/>
              <w:cnfStyle w:val="100000000000"/>
              <w:rPr>
                <w:rFonts w:ascii="Calibri" w:eastAsia="GillSans-Bold" w:hAnsi="Calibri"/>
                <w:b/>
                <w:bCs/>
                <w:szCs w:val="20"/>
              </w:rPr>
            </w:pP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>SOAPdenovo</w:t>
            </w:r>
          </w:p>
        </w:tc>
        <w:tc>
          <w:tcPr>
            <w:tcW w:w="862" w:type="pct"/>
            <w:tcBorders>
              <w:top w:val="single" w:sz="12" w:space="0" w:color="000000"/>
            </w:tcBorders>
            <w:hideMark/>
          </w:tcPr>
          <w:p w:rsidR="00423894" w:rsidRPr="007E3D47" w:rsidRDefault="00423894" w:rsidP="00FE7714">
            <w:pPr>
              <w:spacing w:afterLines="50"/>
              <w:cnfStyle w:val="100000000000"/>
              <w:rPr>
                <w:rFonts w:ascii="Calibri" w:eastAsia="GillSans-Bold" w:hAnsi="Calibri"/>
                <w:b/>
                <w:bCs/>
                <w:szCs w:val="20"/>
              </w:rPr>
            </w:pP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>Trinity</w:t>
            </w:r>
          </w:p>
        </w:tc>
        <w:tc>
          <w:tcPr>
            <w:tcW w:w="862" w:type="pct"/>
            <w:tcBorders>
              <w:top w:val="single" w:sz="12" w:space="0" w:color="000000"/>
            </w:tcBorders>
            <w:hideMark/>
          </w:tcPr>
          <w:p w:rsidR="00423894" w:rsidRPr="007E3D47" w:rsidRDefault="00423894" w:rsidP="00FE7714">
            <w:pPr>
              <w:spacing w:afterLines="50"/>
              <w:cnfStyle w:val="100000000000"/>
              <w:rPr>
                <w:rFonts w:ascii="Calibri" w:eastAsia="GillSans-Bold" w:hAnsi="Calibri"/>
                <w:b/>
                <w:bCs/>
                <w:szCs w:val="20"/>
              </w:rPr>
            </w:pP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>Oases</w:t>
            </w:r>
          </w:p>
        </w:tc>
        <w:tc>
          <w:tcPr>
            <w:tcW w:w="962" w:type="pct"/>
            <w:tcBorders>
              <w:top w:val="single" w:sz="12" w:space="0" w:color="000000"/>
              <w:right w:val="nil"/>
            </w:tcBorders>
            <w:hideMark/>
          </w:tcPr>
          <w:p w:rsidR="00423894" w:rsidRPr="007E3D47" w:rsidRDefault="00423894" w:rsidP="00FE7714">
            <w:pPr>
              <w:spacing w:afterLines="50"/>
              <w:cnfStyle w:val="100000000000"/>
              <w:rPr>
                <w:rFonts w:ascii="Calibri" w:eastAsia="GillSans-Bold" w:hAnsi="Calibri"/>
                <w:b/>
                <w:bCs/>
                <w:szCs w:val="20"/>
              </w:rPr>
            </w:pP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 xml:space="preserve">Clustered </w:t>
            </w:r>
            <w:r>
              <w:rPr>
                <w:rFonts w:ascii="Calibri" w:eastAsia="GillSans-Bold" w:hAnsi="Calibri"/>
                <w:b/>
                <w:bCs/>
                <w:szCs w:val="20"/>
              </w:rPr>
              <w:t>Unigenes</w:t>
            </w:r>
          </w:p>
        </w:tc>
      </w:tr>
      <w:tr w:rsidR="00423894" w:rsidRPr="007E3D47" w:rsidTr="00A330E2">
        <w:trPr>
          <w:trHeight w:val="340"/>
        </w:trPr>
        <w:tc>
          <w:tcPr>
            <w:cnfStyle w:val="001000000000"/>
            <w:tcW w:w="1363" w:type="pct"/>
            <w:tcBorders>
              <w:left w:val="nil"/>
            </w:tcBorders>
            <w:hideMark/>
          </w:tcPr>
          <w:p w:rsidR="00423894" w:rsidRPr="007E3D47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 xml:space="preserve">Number of </w:t>
            </w:r>
            <w:r>
              <w:rPr>
                <w:rFonts w:ascii="Calibri" w:eastAsia="GillSans-Bold" w:hAnsi="Calibri"/>
                <w:b/>
                <w:bCs/>
                <w:szCs w:val="20"/>
              </w:rPr>
              <w:t>Unigenes</w:t>
            </w: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>&lt;300b</w:t>
            </w:r>
          </w:p>
        </w:tc>
        <w:tc>
          <w:tcPr>
            <w:tcW w:w="951" w:type="pct"/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93.68%</w:t>
            </w:r>
          </w:p>
        </w:tc>
        <w:tc>
          <w:tcPr>
            <w:tcW w:w="862" w:type="pct"/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32.52%</w:t>
            </w:r>
          </w:p>
        </w:tc>
        <w:tc>
          <w:tcPr>
            <w:tcW w:w="862" w:type="pct"/>
            <w:hideMark/>
          </w:tcPr>
          <w:p w:rsidR="00423894" w:rsidRPr="007E3D47" w:rsidRDefault="00423894" w:rsidP="00FE7714">
            <w:pPr>
              <w:spacing w:afterLines="50"/>
              <w:ind w:right="10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28.22%</w:t>
            </w:r>
          </w:p>
        </w:tc>
        <w:tc>
          <w:tcPr>
            <w:tcW w:w="962" w:type="pct"/>
            <w:tcBorders>
              <w:right w:val="nil"/>
            </w:tcBorders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25.50%)</w:t>
            </w:r>
          </w:p>
        </w:tc>
      </w:tr>
      <w:tr w:rsidR="00423894" w:rsidRPr="007E3D47" w:rsidTr="00A330E2">
        <w:trPr>
          <w:trHeight w:val="340"/>
        </w:trPr>
        <w:tc>
          <w:tcPr>
            <w:cnfStyle w:val="001000000000"/>
            <w:tcW w:w="1363" w:type="pct"/>
            <w:tcBorders>
              <w:left w:val="nil"/>
            </w:tcBorders>
            <w:hideMark/>
          </w:tcPr>
          <w:p w:rsidR="00423894" w:rsidRPr="007E3D47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 xml:space="preserve">Number of </w:t>
            </w:r>
            <w:r>
              <w:rPr>
                <w:rFonts w:ascii="Calibri" w:eastAsia="GillSans-Bold" w:hAnsi="Calibri"/>
                <w:b/>
                <w:bCs/>
                <w:szCs w:val="20"/>
              </w:rPr>
              <w:t>Unigenes</w:t>
            </w: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>&gt;=300b</w:t>
            </w:r>
          </w:p>
        </w:tc>
        <w:tc>
          <w:tcPr>
            <w:tcW w:w="951" w:type="pct"/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6.32%</w:t>
            </w:r>
          </w:p>
        </w:tc>
        <w:tc>
          <w:tcPr>
            <w:tcW w:w="862" w:type="pct"/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67.48%</w:t>
            </w:r>
          </w:p>
        </w:tc>
        <w:tc>
          <w:tcPr>
            <w:tcW w:w="862" w:type="pct"/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71.78%</w:t>
            </w:r>
          </w:p>
        </w:tc>
        <w:tc>
          <w:tcPr>
            <w:tcW w:w="962" w:type="pct"/>
            <w:tcBorders>
              <w:right w:val="nil"/>
            </w:tcBorders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>
              <w:rPr>
                <w:rFonts w:ascii="Calibri" w:eastAsia="GillSans-Bold" w:hAnsi="Calibri" w:hint="eastAsia"/>
                <w:szCs w:val="20"/>
              </w:rPr>
              <w:t xml:space="preserve"> </w:t>
            </w:r>
            <w:r w:rsidRPr="007E3D47">
              <w:rPr>
                <w:rFonts w:ascii="Calibri" w:eastAsia="GillSans-Bold" w:hAnsi="Calibri"/>
                <w:szCs w:val="20"/>
              </w:rPr>
              <w:t>74.50%</w:t>
            </w:r>
          </w:p>
        </w:tc>
      </w:tr>
      <w:tr w:rsidR="00423894" w:rsidRPr="007E3D47" w:rsidTr="00A330E2">
        <w:trPr>
          <w:trHeight w:val="340"/>
        </w:trPr>
        <w:tc>
          <w:tcPr>
            <w:cnfStyle w:val="001000000000"/>
            <w:tcW w:w="1363" w:type="pct"/>
            <w:tcBorders>
              <w:left w:val="nil"/>
            </w:tcBorders>
            <w:hideMark/>
          </w:tcPr>
          <w:p w:rsidR="00423894" w:rsidRPr="007E3D47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 xml:space="preserve">Number of </w:t>
            </w:r>
            <w:r>
              <w:rPr>
                <w:rFonts w:ascii="Calibri" w:eastAsia="GillSans-Bold" w:hAnsi="Calibri"/>
                <w:b/>
                <w:bCs/>
                <w:szCs w:val="20"/>
              </w:rPr>
              <w:t>Unigenes</w:t>
            </w: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>&gt;=1kb</w:t>
            </w:r>
          </w:p>
        </w:tc>
        <w:tc>
          <w:tcPr>
            <w:tcW w:w="951" w:type="pct"/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0.14%</w:t>
            </w:r>
          </w:p>
        </w:tc>
        <w:tc>
          <w:tcPr>
            <w:tcW w:w="862" w:type="pct"/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21.76%</w:t>
            </w:r>
          </w:p>
        </w:tc>
        <w:tc>
          <w:tcPr>
            <w:tcW w:w="862" w:type="pct"/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37.58%</w:t>
            </w:r>
          </w:p>
        </w:tc>
        <w:tc>
          <w:tcPr>
            <w:tcW w:w="962" w:type="pct"/>
            <w:tcBorders>
              <w:right w:val="nil"/>
            </w:tcBorders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49.12%</w:t>
            </w:r>
          </w:p>
        </w:tc>
      </w:tr>
      <w:tr w:rsidR="00423894" w:rsidRPr="007E3D47" w:rsidTr="00A330E2">
        <w:trPr>
          <w:trHeight w:val="340"/>
        </w:trPr>
        <w:tc>
          <w:tcPr>
            <w:cnfStyle w:val="001000000000"/>
            <w:tcW w:w="1363" w:type="pct"/>
            <w:tcBorders>
              <w:left w:val="nil"/>
              <w:bottom w:val="single" w:sz="12" w:space="0" w:color="000000"/>
            </w:tcBorders>
            <w:hideMark/>
          </w:tcPr>
          <w:p w:rsidR="00423894" w:rsidRPr="007E3D47" w:rsidRDefault="00423894" w:rsidP="00FE7714">
            <w:pPr>
              <w:spacing w:afterLines="50"/>
              <w:rPr>
                <w:rFonts w:ascii="Calibri" w:eastAsia="GillSans-Bold" w:hAnsi="Calibri"/>
                <w:b/>
                <w:bCs/>
                <w:szCs w:val="20"/>
              </w:rPr>
            </w:pP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 xml:space="preserve">Number of </w:t>
            </w:r>
            <w:r>
              <w:rPr>
                <w:rFonts w:ascii="Calibri" w:eastAsia="GillSans-Bold" w:hAnsi="Calibri"/>
                <w:b/>
                <w:bCs/>
                <w:szCs w:val="20"/>
              </w:rPr>
              <w:t>Unigenes</w:t>
            </w:r>
            <w:r w:rsidRPr="007E3D47">
              <w:rPr>
                <w:rFonts w:ascii="Calibri" w:eastAsia="GillSans-Bold" w:hAnsi="Calibri"/>
                <w:b/>
                <w:bCs/>
                <w:szCs w:val="20"/>
              </w:rPr>
              <w:t>&gt;=2kb</w:t>
            </w:r>
          </w:p>
        </w:tc>
        <w:tc>
          <w:tcPr>
            <w:tcW w:w="951" w:type="pct"/>
            <w:tcBorders>
              <w:bottom w:val="single" w:sz="12" w:space="0" w:color="000000"/>
            </w:tcBorders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0.01%</w:t>
            </w:r>
          </w:p>
        </w:tc>
        <w:tc>
          <w:tcPr>
            <w:tcW w:w="862" w:type="pct"/>
            <w:tcBorders>
              <w:bottom w:val="single" w:sz="12" w:space="0" w:color="000000"/>
            </w:tcBorders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8.28</w:t>
            </w:r>
            <w:r>
              <w:rPr>
                <w:rFonts w:ascii="Calibri" w:eastAsia="GillSans-Bold" w:hAnsi="Calibri" w:hint="eastAsia"/>
                <w:szCs w:val="20"/>
              </w:rPr>
              <w:t>%</w:t>
            </w:r>
          </w:p>
        </w:tc>
        <w:tc>
          <w:tcPr>
            <w:tcW w:w="862" w:type="pct"/>
            <w:tcBorders>
              <w:bottom w:val="single" w:sz="12" w:space="0" w:color="000000"/>
            </w:tcBorders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19.56%</w:t>
            </w:r>
          </w:p>
        </w:tc>
        <w:tc>
          <w:tcPr>
            <w:tcW w:w="962" w:type="pct"/>
            <w:tcBorders>
              <w:bottom w:val="single" w:sz="12" w:space="0" w:color="000000"/>
              <w:right w:val="nil"/>
            </w:tcBorders>
            <w:hideMark/>
          </w:tcPr>
          <w:p w:rsidR="00423894" w:rsidRPr="007E3D47" w:rsidRDefault="00423894" w:rsidP="00FE7714">
            <w:pPr>
              <w:spacing w:afterLines="50"/>
              <w:jc w:val="right"/>
              <w:cnfStyle w:val="000000000000"/>
              <w:rPr>
                <w:rFonts w:ascii="Calibri" w:eastAsia="GillSans-Bold" w:hAnsi="Calibri"/>
                <w:szCs w:val="20"/>
              </w:rPr>
            </w:pPr>
            <w:r w:rsidRPr="007E3D47">
              <w:rPr>
                <w:rFonts w:ascii="Calibri" w:eastAsia="GillSans-Bold" w:hAnsi="Calibri"/>
                <w:szCs w:val="20"/>
              </w:rPr>
              <w:t>36.91%</w:t>
            </w:r>
          </w:p>
        </w:tc>
      </w:tr>
    </w:tbl>
    <w:p w:rsidR="00423894" w:rsidRDefault="00423894" w:rsidP="00423894">
      <w:pPr>
        <w:adjustRightInd w:val="0"/>
        <w:snapToGrid w:val="0"/>
        <w:spacing w:line="480" w:lineRule="auto"/>
        <w:jc w:val="both"/>
        <w:rPr>
          <w:rFonts w:ascii="Calibri" w:hAnsi="Calibri" w:cs="Calibri"/>
        </w:rPr>
      </w:pPr>
    </w:p>
    <w:p w:rsidR="00423894" w:rsidRDefault="00423894" w:rsidP="00423894">
      <w:pPr>
        <w:widowControl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423894" w:rsidRPr="00BB3243" w:rsidRDefault="00423894" w:rsidP="00423894">
      <w:pPr>
        <w:adjustRightInd w:val="0"/>
        <w:snapToGrid w:val="0"/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 w:hint="eastAsia"/>
          <w:b/>
          <w:sz w:val="20"/>
          <w:szCs w:val="20"/>
        </w:rPr>
        <w:lastRenderedPageBreak/>
        <w:t xml:space="preserve">Table S4 </w:t>
      </w:r>
      <w:r w:rsidRPr="00BB3243">
        <w:rPr>
          <w:rFonts w:ascii="Calibri" w:hAnsi="Calibri" w:cs="Calibri" w:hint="eastAsia"/>
          <w:b/>
          <w:sz w:val="20"/>
          <w:szCs w:val="20"/>
        </w:rPr>
        <w:t>Summary of annotation</w:t>
      </w:r>
      <w:r>
        <w:rPr>
          <w:rFonts w:ascii="Calibri" w:hAnsi="Calibri" w:cs="Calibri" w:hint="eastAsia"/>
          <w:b/>
          <w:sz w:val="20"/>
          <w:szCs w:val="20"/>
        </w:rPr>
        <w:t xml:space="preserve">, amount of </w:t>
      </w:r>
      <w:r>
        <w:rPr>
          <w:rFonts w:ascii="Calibri" w:hAnsi="Calibri" w:cs="Calibri"/>
          <w:b/>
          <w:sz w:val="20"/>
          <w:szCs w:val="20"/>
        </w:rPr>
        <w:t>assemble</w:t>
      </w:r>
      <w:r>
        <w:rPr>
          <w:rFonts w:ascii="Calibri" w:hAnsi="Calibri" w:cs="Calibri" w:hint="eastAsia"/>
          <w:b/>
          <w:sz w:val="20"/>
          <w:szCs w:val="20"/>
        </w:rPr>
        <w:t>d Unigenes</w:t>
      </w:r>
    </w:p>
    <w:tbl>
      <w:tblPr>
        <w:tblStyle w:val="TableColumns1"/>
        <w:tblW w:w="0" w:type="auto"/>
        <w:tblLook w:val="04A0"/>
      </w:tblPr>
      <w:tblGrid>
        <w:gridCol w:w="2316"/>
        <w:gridCol w:w="1923"/>
      </w:tblGrid>
      <w:tr w:rsidR="00423894" w:rsidRPr="00BB3243" w:rsidTr="00A330E2">
        <w:trPr>
          <w:cnfStyle w:val="100000000000"/>
          <w:trHeight w:val="340"/>
        </w:trPr>
        <w:tc>
          <w:tcPr>
            <w:cnfStyle w:val="001000000000"/>
            <w:tcW w:w="0" w:type="auto"/>
            <w:tcBorders>
              <w:top w:val="single" w:sz="12" w:space="0" w:color="000000"/>
              <w:left w:val="nil"/>
            </w:tcBorders>
            <w:noWrap/>
          </w:tcPr>
          <w:p w:rsidR="00423894" w:rsidRPr="00BB3243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>
              <w:rPr>
                <w:rFonts w:asciiTheme="minorHAnsi" w:hAnsiTheme="minorHAnsi" w:cs="PMingLiU" w:hint="eastAsia"/>
                <w:b/>
                <w:color w:val="000000"/>
                <w:szCs w:val="20"/>
              </w:rPr>
              <w:t>Annotation</w:t>
            </w:r>
          </w:p>
        </w:tc>
        <w:tc>
          <w:tcPr>
            <w:tcW w:w="0" w:type="auto"/>
            <w:tcBorders>
              <w:top w:val="single" w:sz="12" w:space="0" w:color="000000"/>
              <w:right w:val="nil"/>
            </w:tcBorders>
            <w:noWrap/>
          </w:tcPr>
          <w:p w:rsidR="00423894" w:rsidRPr="00BB3243" w:rsidRDefault="00423894" w:rsidP="00A330E2">
            <w:pPr>
              <w:widowControl/>
              <w:jc w:val="right"/>
              <w:cnfStyle w:val="100000000000"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>
              <w:rPr>
                <w:rFonts w:asciiTheme="minorHAnsi" w:hAnsiTheme="minorHAnsi" w:cs="PMingLiU" w:hint="eastAsia"/>
                <w:b/>
                <w:color w:val="000000"/>
                <w:szCs w:val="20"/>
              </w:rPr>
              <w:t xml:space="preserve">Amount of </w:t>
            </w:r>
            <w:r w:rsidRPr="00BB3243">
              <w:rPr>
                <w:rFonts w:asciiTheme="minorHAnsi" w:hAnsiTheme="minorHAnsi" w:cs="PMingLiU"/>
                <w:b/>
                <w:color w:val="000000"/>
                <w:szCs w:val="20"/>
              </w:rPr>
              <w:t>Unigenes</w:t>
            </w:r>
          </w:p>
        </w:tc>
      </w:tr>
      <w:tr w:rsidR="00423894" w:rsidRPr="00BB3243" w:rsidTr="00A330E2">
        <w:trPr>
          <w:trHeight w:val="340"/>
        </w:trPr>
        <w:tc>
          <w:tcPr>
            <w:cnfStyle w:val="001000000000"/>
            <w:tcW w:w="0" w:type="auto"/>
            <w:tcBorders>
              <w:lef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/>
                <w:color w:val="000000"/>
                <w:szCs w:val="20"/>
              </w:rPr>
              <w:t xml:space="preserve">BLASTx </w:t>
            </w:r>
            <w:r>
              <w:rPr>
                <w:rFonts w:asciiTheme="minorHAnsi" w:hAnsiTheme="minorHAnsi" w:cs="PMingLiU" w:hint="eastAsia"/>
                <w:b/>
                <w:color w:val="000000"/>
                <w:szCs w:val="20"/>
              </w:rPr>
              <w:t xml:space="preserve">against </w:t>
            </w:r>
            <w:r w:rsidRPr="00BB3243">
              <w:rPr>
                <w:rFonts w:asciiTheme="minorHAnsi" w:hAnsiTheme="minorHAnsi" w:cs="PMingLiU"/>
                <w:b/>
                <w:color w:val="000000"/>
                <w:szCs w:val="20"/>
              </w:rPr>
              <w:t xml:space="preserve">NR </w:t>
            </w:r>
          </w:p>
        </w:tc>
        <w:tc>
          <w:tcPr>
            <w:tcW w:w="0" w:type="auto"/>
            <w:tcBorders>
              <w:righ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jc w:val="right"/>
              <w:cnfStyle w:val="000000000000"/>
              <w:rPr>
                <w:rFonts w:asciiTheme="minorHAnsi" w:hAnsiTheme="minorHAnsi" w:cs="PMingLiU"/>
                <w:b w:val="0"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 w:val="0"/>
                <w:color w:val="000000"/>
                <w:szCs w:val="20"/>
              </w:rPr>
              <w:t>16106</w:t>
            </w:r>
          </w:p>
        </w:tc>
      </w:tr>
      <w:tr w:rsidR="00423894" w:rsidRPr="00BB3243" w:rsidTr="00A330E2">
        <w:trPr>
          <w:trHeight w:val="340"/>
        </w:trPr>
        <w:tc>
          <w:tcPr>
            <w:cnfStyle w:val="001000000000"/>
            <w:tcW w:w="0" w:type="auto"/>
            <w:tcBorders>
              <w:lef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/>
                <w:color w:val="000000"/>
                <w:szCs w:val="20"/>
              </w:rPr>
              <w:t>BLASTx</w:t>
            </w:r>
            <w:r>
              <w:rPr>
                <w:rFonts w:asciiTheme="minorHAnsi" w:hAnsiTheme="minorHAnsi" w:cs="PMingLiU" w:hint="eastAsia"/>
                <w:b/>
                <w:color w:val="000000"/>
                <w:szCs w:val="20"/>
              </w:rPr>
              <w:t xml:space="preserve"> against</w:t>
            </w:r>
            <w:r>
              <w:rPr>
                <w:rFonts w:asciiTheme="minorHAnsi" w:hAnsiTheme="minorHAnsi" w:cs="PMingLiU"/>
                <w:b/>
                <w:color w:val="000000"/>
                <w:szCs w:val="20"/>
              </w:rPr>
              <w:t xml:space="preserve"> Swissprot</w:t>
            </w:r>
          </w:p>
        </w:tc>
        <w:tc>
          <w:tcPr>
            <w:tcW w:w="0" w:type="auto"/>
            <w:tcBorders>
              <w:righ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jc w:val="right"/>
              <w:cnfStyle w:val="000000000000"/>
              <w:rPr>
                <w:rFonts w:asciiTheme="minorHAnsi" w:hAnsiTheme="minorHAnsi" w:cs="PMingLiU"/>
                <w:b w:val="0"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 w:val="0"/>
                <w:color w:val="000000"/>
                <w:szCs w:val="20"/>
              </w:rPr>
              <w:t>15,263</w:t>
            </w:r>
          </w:p>
        </w:tc>
      </w:tr>
      <w:tr w:rsidR="00423894" w:rsidRPr="00BB3243" w:rsidTr="00A330E2">
        <w:trPr>
          <w:trHeight w:val="340"/>
        </w:trPr>
        <w:tc>
          <w:tcPr>
            <w:cnfStyle w:val="001000000000"/>
            <w:tcW w:w="0" w:type="auto"/>
            <w:tcBorders>
              <w:lef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/>
                <w:color w:val="000000"/>
                <w:szCs w:val="20"/>
              </w:rPr>
              <w:t xml:space="preserve">GO terms </w:t>
            </w:r>
          </w:p>
        </w:tc>
        <w:tc>
          <w:tcPr>
            <w:tcW w:w="0" w:type="auto"/>
            <w:tcBorders>
              <w:righ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jc w:val="right"/>
              <w:cnfStyle w:val="000000000000"/>
              <w:rPr>
                <w:rFonts w:asciiTheme="minorHAnsi" w:hAnsiTheme="minorHAnsi" w:cs="PMingLiU"/>
                <w:b w:val="0"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 w:val="0"/>
                <w:color w:val="000000"/>
                <w:szCs w:val="20"/>
              </w:rPr>
              <w:t>13,434</w:t>
            </w:r>
          </w:p>
        </w:tc>
      </w:tr>
      <w:tr w:rsidR="00423894" w:rsidRPr="00BB3243" w:rsidTr="00A330E2">
        <w:trPr>
          <w:trHeight w:val="340"/>
        </w:trPr>
        <w:tc>
          <w:tcPr>
            <w:cnfStyle w:val="001000000000"/>
            <w:tcW w:w="0" w:type="auto"/>
            <w:tcBorders>
              <w:lef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>
              <w:rPr>
                <w:rFonts w:asciiTheme="minorHAnsi" w:hAnsiTheme="minorHAnsi" w:cs="PMingLiU" w:hint="eastAsia"/>
                <w:b/>
                <w:color w:val="000000"/>
                <w:szCs w:val="20"/>
              </w:rPr>
              <w:t xml:space="preserve">RPSBLAST against CDD </w:t>
            </w:r>
            <w:r w:rsidRPr="00BB3243">
              <w:rPr>
                <w:rFonts w:asciiTheme="minorHAnsi" w:hAnsiTheme="minorHAnsi" w:cs="PMingLiU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righ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jc w:val="right"/>
              <w:cnfStyle w:val="000000000000"/>
              <w:rPr>
                <w:rFonts w:asciiTheme="minorHAnsi" w:hAnsiTheme="minorHAnsi" w:cs="PMingLiU"/>
                <w:b w:val="0"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 w:val="0"/>
                <w:color w:val="000000"/>
                <w:szCs w:val="20"/>
              </w:rPr>
              <w:t>10,848</w:t>
            </w:r>
          </w:p>
        </w:tc>
      </w:tr>
      <w:tr w:rsidR="00423894" w:rsidRPr="00BB3243" w:rsidTr="00A330E2">
        <w:trPr>
          <w:trHeight w:val="340"/>
        </w:trPr>
        <w:tc>
          <w:tcPr>
            <w:cnfStyle w:val="001000000000"/>
            <w:tcW w:w="0" w:type="auto"/>
            <w:tcBorders>
              <w:lef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/>
                <w:color w:val="000000"/>
                <w:szCs w:val="20"/>
              </w:rPr>
              <w:t xml:space="preserve">COG domains  </w:t>
            </w:r>
          </w:p>
        </w:tc>
        <w:tc>
          <w:tcPr>
            <w:tcW w:w="0" w:type="auto"/>
            <w:tcBorders>
              <w:righ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jc w:val="right"/>
              <w:cnfStyle w:val="000000000000"/>
              <w:rPr>
                <w:rFonts w:asciiTheme="minorHAnsi" w:hAnsiTheme="minorHAnsi" w:cs="PMingLiU"/>
                <w:b w:val="0"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 w:val="0"/>
                <w:color w:val="000000"/>
                <w:szCs w:val="20"/>
              </w:rPr>
              <w:t>3,594</w:t>
            </w:r>
          </w:p>
        </w:tc>
      </w:tr>
      <w:tr w:rsidR="00423894" w:rsidRPr="00BB3243" w:rsidTr="00A330E2">
        <w:trPr>
          <w:trHeight w:val="340"/>
        </w:trPr>
        <w:tc>
          <w:tcPr>
            <w:cnfStyle w:val="001000000000"/>
            <w:tcW w:w="0" w:type="auto"/>
            <w:tcBorders>
              <w:lef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/>
                <w:color w:val="000000"/>
                <w:szCs w:val="20"/>
              </w:rPr>
              <w:t xml:space="preserve">Pfam domains  </w:t>
            </w:r>
          </w:p>
        </w:tc>
        <w:tc>
          <w:tcPr>
            <w:tcW w:w="0" w:type="auto"/>
            <w:tcBorders>
              <w:righ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jc w:val="right"/>
              <w:cnfStyle w:val="000000000000"/>
              <w:rPr>
                <w:rFonts w:asciiTheme="minorHAnsi" w:hAnsiTheme="minorHAnsi" w:cs="PMingLiU"/>
                <w:b w:val="0"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 w:val="0"/>
                <w:color w:val="000000"/>
                <w:szCs w:val="20"/>
              </w:rPr>
              <w:t>9,600</w:t>
            </w:r>
          </w:p>
        </w:tc>
      </w:tr>
      <w:tr w:rsidR="00423894" w:rsidRPr="00BB3243" w:rsidTr="00A330E2">
        <w:trPr>
          <w:trHeight w:val="340"/>
        </w:trPr>
        <w:tc>
          <w:tcPr>
            <w:cnfStyle w:val="001000000000"/>
            <w:tcW w:w="0" w:type="auto"/>
            <w:tcBorders>
              <w:left w:val="nil"/>
              <w:bottom w:val="single" w:sz="12" w:space="0" w:color="000000"/>
            </w:tcBorders>
            <w:noWrap/>
            <w:hideMark/>
          </w:tcPr>
          <w:p w:rsidR="00423894" w:rsidRPr="00BB3243" w:rsidRDefault="00423894" w:rsidP="00A330E2">
            <w:pPr>
              <w:widowControl/>
              <w:rPr>
                <w:rFonts w:asciiTheme="minorHAnsi" w:hAnsiTheme="minorHAnsi" w:cs="PMingLiU"/>
                <w:b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/>
                <w:color w:val="000000"/>
                <w:szCs w:val="20"/>
              </w:rPr>
              <w:t xml:space="preserve">KEGG ORTHOLOGY  </w:t>
            </w:r>
          </w:p>
        </w:tc>
        <w:tc>
          <w:tcPr>
            <w:tcW w:w="0" w:type="auto"/>
            <w:tcBorders>
              <w:bottom w:val="single" w:sz="12" w:space="0" w:color="000000"/>
              <w:right w:val="nil"/>
            </w:tcBorders>
            <w:noWrap/>
            <w:hideMark/>
          </w:tcPr>
          <w:p w:rsidR="00423894" w:rsidRPr="00BB3243" w:rsidRDefault="00423894" w:rsidP="00A330E2">
            <w:pPr>
              <w:widowControl/>
              <w:jc w:val="right"/>
              <w:cnfStyle w:val="000000000000"/>
              <w:rPr>
                <w:rFonts w:asciiTheme="minorHAnsi" w:hAnsiTheme="minorHAnsi" w:cs="PMingLiU"/>
                <w:b w:val="0"/>
                <w:color w:val="000000"/>
                <w:szCs w:val="20"/>
              </w:rPr>
            </w:pPr>
            <w:r w:rsidRPr="00BB3243">
              <w:rPr>
                <w:rFonts w:asciiTheme="minorHAnsi" w:hAnsiTheme="minorHAnsi" w:cs="PMingLiU"/>
                <w:b w:val="0"/>
                <w:color w:val="000000"/>
                <w:szCs w:val="20"/>
              </w:rPr>
              <w:t>5,641</w:t>
            </w:r>
          </w:p>
        </w:tc>
      </w:tr>
    </w:tbl>
    <w:p w:rsidR="00423894" w:rsidRPr="005153D9" w:rsidRDefault="00423894" w:rsidP="00423894">
      <w:pPr>
        <w:widowControl/>
        <w:rPr>
          <w:rFonts w:ascii="Calibri" w:hAnsi="Calibri" w:cs="Calibri"/>
        </w:rPr>
      </w:pPr>
    </w:p>
    <w:p w:rsidR="00D21546" w:rsidRDefault="00D21546"/>
    <w:sectPr w:rsidR="00D21546" w:rsidSect="000C71A5">
      <w:footerReference w:type="even" r:id="rId17"/>
      <w:footerReference w:type="default" r:id="rId18"/>
      <w:pgSz w:w="11906" w:h="16838"/>
      <w:pgMar w:top="1077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C45" w:rsidRDefault="00704C45" w:rsidP="00423894">
      <w:r>
        <w:separator/>
      </w:r>
    </w:p>
  </w:endnote>
  <w:endnote w:type="continuationSeparator" w:id="0">
    <w:p w:rsidR="00704C45" w:rsidRDefault="00704C45" w:rsidP="004238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5C" w:rsidRDefault="00C85B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5121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335C" w:rsidRDefault="00704C4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5C" w:rsidRDefault="00C85B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5121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E7714">
      <w:rPr>
        <w:rStyle w:val="PageNumber"/>
        <w:noProof/>
      </w:rPr>
      <w:t>1</w:t>
    </w:r>
    <w:r>
      <w:rPr>
        <w:rStyle w:val="PageNumber"/>
      </w:rPr>
      <w:fldChar w:fldCharType="end"/>
    </w:r>
  </w:p>
  <w:p w:rsidR="00B4335C" w:rsidRDefault="00704C45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C45" w:rsidRDefault="00704C45" w:rsidP="00423894">
      <w:r>
        <w:separator/>
      </w:r>
    </w:p>
  </w:footnote>
  <w:footnote w:type="continuationSeparator" w:id="0">
    <w:p w:rsidR="00704C45" w:rsidRDefault="00704C45" w:rsidP="004238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15F3"/>
    <w:rsid w:val="0002076D"/>
    <w:rsid w:val="000F4776"/>
    <w:rsid w:val="001E09FF"/>
    <w:rsid w:val="00232116"/>
    <w:rsid w:val="00261907"/>
    <w:rsid w:val="0039358E"/>
    <w:rsid w:val="00423894"/>
    <w:rsid w:val="0045154E"/>
    <w:rsid w:val="006F15F3"/>
    <w:rsid w:val="006F3BBF"/>
    <w:rsid w:val="00704C45"/>
    <w:rsid w:val="008525E5"/>
    <w:rsid w:val="00951212"/>
    <w:rsid w:val="00C80BA1"/>
    <w:rsid w:val="00C85BD5"/>
    <w:rsid w:val="00D11416"/>
    <w:rsid w:val="00D21546"/>
    <w:rsid w:val="00FE7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olumns 1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894"/>
    <w:pPr>
      <w:widowControl w:val="0"/>
    </w:pPr>
    <w:rPr>
      <w:rFonts w:ascii="Times New Roman" w:eastAsia="PMingLiU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89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23894"/>
    <w:rPr>
      <w:sz w:val="20"/>
      <w:szCs w:val="20"/>
    </w:rPr>
  </w:style>
  <w:style w:type="paragraph" w:styleId="Footer">
    <w:name w:val="footer"/>
    <w:basedOn w:val="Normal"/>
    <w:link w:val="FooterChar"/>
    <w:unhideWhenUsed/>
    <w:rsid w:val="0042389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23894"/>
    <w:rPr>
      <w:sz w:val="20"/>
      <w:szCs w:val="20"/>
    </w:rPr>
  </w:style>
  <w:style w:type="character" w:styleId="PageNumber">
    <w:name w:val="page number"/>
    <w:basedOn w:val="DefaultParagraphFont"/>
    <w:rsid w:val="00423894"/>
  </w:style>
  <w:style w:type="table" w:styleId="TableColumns1">
    <w:name w:val="Table Columns 1"/>
    <w:basedOn w:val="TableNormal"/>
    <w:rsid w:val="00423894"/>
    <w:pPr>
      <w:widowControl w:val="0"/>
    </w:pPr>
    <w:rPr>
      <w:rFonts w:ascii="Times New Roman" w:eastAsia="PMingLiU" w:hAnsi="Times New Roman" w:cs="Times New Roman"/>
      <w:b/>
      <w:bCs/>
      <w:kern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23211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</w:rPr>
  </w:style>
  <w:style w:type="character" w:styleId="Hyperlink">
    <w:name w:val="Hyperlink"/>
    <w:basedOn w:val="DefaultParagraphFont"/>
    <w:uiPriority w:val="99"/>
    <w:unhideWhenUsed/>
    <w:rsid w:val="0023211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2116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714"/>
    <w:rPr>
      <w:rFonts w:ascii="Tahoma" w:eastAsia="PMingLiU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dropbox.com/sh/in3vtr4utlntjpo/AAAnD369B65hfAM93WUUTp63a?dl=0" TargetMode="External"/><Relationship Id="rId12" Type="http://schemas.openxmlformats.org/officeDocument/2006/relationships/chart" Target="charts/chart1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chart" Target="charts/chart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chart" Target="charts/chart4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u\Desktop\aja_charts\aja_kegg_fpkm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u\Desktop\aja_charts\aja_kegg_fpkm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u\Desktop\aja_charts\aja_kegg_fpkm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u\Desktop\aja_charts\aja_cog_fpkm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u\Desktop\aja_charts\aja_pfam_fpkm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PH"/>
  <c:chart>
    <c:plotArea>
      <c:layout/>
      <c:barChart>
        <c:barDir val="col"/>
        <c:grouping val="stacked"/>
        <c:ser>
          <c:idx val="0"/>
          <c:order val="0"/>
          <c:tx>
            <c:strRef>
              <c:f>aja_kegg_fpkm!$B$1</c:f>
              <c:strCache>
                <c:ptCount val="1"/>
                <c:pt idx="0">
                  <c:v>Num</c:v>
                </c:pt>
              </c:strCache>
            </c:strRef>
          </c:tx>
          <c:cat>
            <c:strRef>
              <c:f>aja_kegg_fpkm!$A$2:$A$44</c:f>
              <c:strCache>
                <c:ptCount val="43"/>
                <c:pt idx="0">
                  <c:v>Amino acid metabolism</c:v>
                </c:pt>
                <c:pt idx="1">
                  <c:v>Biosynthesis of other secondary metabolites</c:v>
                </c:pt>
                <c:pt idx="2">
                  <c:v>Cancers: Overview</c:v>
                </c:pt>
                <c:pt idx="3">
                  <c:v>Cancers: Specific types</c:v>
                </c:pt>
                <c:pt idx="4">
                  <c:v>Carbohydrate metabolism</c:v>
                </c:pt>
                <c:pt idx="5">
                  <c:v>Cardiovascular diseases</c:v>
                </c:pt>
                <c:pt idx="6">
                  <c:v>Cell communication</c:v>
                </c:pt>
                <c:pt idx="7">
                  <c:v>Cell growth and death</c:v>
                </c:pt>
                <c:pt idx="8">
                  <c:v>Cell motility</c:v>
                </c:pt>
                <c:pt idx="9">
                  <c:v>Circulatory system</c:v>
                </c:pt>
                <c:pt idx="10">
                  <c:v>Development</c:v>
                </c:pt>
                <c:pt idx="11">
                  <c:v>Digestive system</c:v>
                </c:pt>
                <c:pt idx="12">
                  <c:v>Endocrine and metabolic diseases</c:v>
                </c:pt>
                <c:pt idx="13">
                  <c:v>Endocrine system</c:v>
                </c:pt>
                <c:pt idx="14">
                  <c:v>Energy metabolism</c:v>
                </c:pt>
                <c:pt idx="15">
                  <c:v>Environmental adaptation</c:v>
                </c:pt>
                <c:pt idx="16">
                  <c:v>Excretory system</c:v>
                </c:pt>
                <c:pt idx="17">
                  <c:v>Folding, sorting and degradation</c:v>
                </c:pt>
                <c:pt idx="18">
                  <c:v>Global map</c:v>
                </c:pt>
                <c:pt idx="19">
                  <c:v>Glycan biosynthesis and metabolism</c:v>
                </c:pt>
                <c:pt idx="20">
                  <c:v>Immune diseases</c:v>
                </c:pt>
                <c:pt idx="21">
                  <c:v>Immune system</c:v>
                </c:pt>
                <c:pt idx="22">
                  <c:v>Infectious diseases: Bacterial</c:v>
                </c:pt>
                <c:pt idx="23">
                  <c:v>Infectious diseases: Parasitic</c:v>
                </c:pt>
                <c:pt idx="24">
                  <c:v>Infectious diseases: Viral</c:v>
                </c:pt>
                <c:pt idx="25">
                  <c:v>Lipid metabolism</c:v>
                </c:pt>
                <c:pt idx="26">
                  <c:v>Membrane transport</c:v>
                </c:pt>
                <c:pt idx="27">
                  <c:v>Metabolism of cofactors and vitamins</c:v>
                </c:pt>
                <c:pt idx="28">
                  <c:v>Metabolism of other amino acids</c:v>
                </c:pt>
                <c:pt idx="29">
                  <c:v>Metabolism of terpenoids and polyketides</c:v>
                </c:pt>
                <c:pt idx="30">
                  <c:v>Nervous system</c:v>
                </c:pt>
                <c:pt idx="31">
                  <c:v>Neurodegenerative diseases</c:v>
                </c:pt>
                <c:pt idx="32">
                  <c:v>Nucleotide metabolism</c:v>
                </c:pt>
                <c:pt idx="33">
                  <c:v>Reaction module maps</c:v>
                </c:pt>
                <c:pt idx="34">
                  <c:v>Replication and repair</c:v>
                </c:pt>
                <c:pt idx="35">
                  <c:v>Sensory system</c:v>
                </c:pt>
                <c:pt idx="36">
                  <c:v>Signal transduction</c:v>
                </c:pt>
                <c:pt idx="37">
                  <c:v>Signaling molecules and interaction</c:v>
                </c:pt>
                <c:pt idx="38">
                  <c:v>Substance dependence</c:v>
                </c:pt>
                <c:pt idx="39">
                  <c:v>Transcription</c:v>
                </c:pt>
                <c:pt idx="40">
                  <c:v>Translation</c:v>
                </c:pt>
                <c:pt idx="41">
                  <c:v>Transport and catabolism</c:v>
                </c:pt>
                <c:pt idx="42">
                  <c:v>Xenobiotics biodegradation and metabolism</c:v>
                </c:pt>
              </c:strCache>
            </c:strRef>
          </c:cat>
          <c:val>
            <c:numRef>
              <c:f>aja_kegg_fpkm!$B$2:$B$44</c:f>
              <c:numCache>
                <c:formatCode>General</c:formatCode>
                <c:ptCount val="43"/>
                <c:pt idx="0">
                  <c:v>187</c:v>
                </c:pt>
                <c:pt idx="1">
                  <c:v>16</c:v>
                </c:pt>
                <c:pt idx="2">
                  <c:v>369</c:v>
                </c:pt>
                <c:pt idx="3">
                  <c:v>228</c:v>
                </c:pt>
                <c:pt idx="4">
                  <c:v>243</c:v>
                </c:pt>
                <c:pt idx="5">
                  <c:v>100</c:v>
                </c:pt>
                <c:pt idx="6">
                  <c:v>311</c:v>
                </c:pt>
                <c:pt idx="7">
                  <c:v>198</c:v>
                </c:pt>
                <c:pt idx="8">
                  <c:v>155</c:v>
                </c:pt>
                <c:pt idx="9">
                  <c:v>110</c:v>
                </c:pt>
                <c:pt idx="10">
                  <c:v>167</c:v>
                </c:pt>
                <c:pt idx="11">
                  <c:v>206</c:v>
                </c:pt>
                <c:pt idx="12">
                  <c:v>42</c:v>
                </c:pt>
                <c:pt idx="13">
                  <c:v>324</c:v>
                </c:pt>
                <c:pt idx="14">
                  <c:v>118</c:v>
                </c:pt>
                <c:pt idx="15">
                  <c:v>102</c:v>
                </c:pt>
                <c:pt idx="16">
                  <c:v>105</c:v>
                </c:pt>
                <c:pt idx="17">
                  <c:v>295</c:v>
                </c:pt>
                <c:pt idx="18">
                  <c:v>794</c:v>
                </c:pt>
                <c:pt idx="19">
                  <c:v>158</c:v>
                </c:pt>
                <c:pt idx="20">
                  <c:v>60</c:v>
                </c:pt>
                <c:pt idx="21">
                  <c:v>344</c:v>
                </c:pt>
                <c:pt idx="22">
                  <c:v>247</c:v>
                </c:pt>
                <c:pt idx="23">
                  <c:v>172</c:v>
                </c:pt>
                <c:pt idx="24">
                  <c:v>363</c:v>
                </c:pt>
                <c:pt idx="25">
                  <c:v>242</c:v>
                </c:pt>
                <c:pt idx="26">
                  <c:v>27</c:v>
                </c:pt>
                <c:pt idx="27">
                  <c:v>122</c:v>
                </c:pt>
                <c:pt idx="28">
                  <c:v>69</c:v>
                </c:pt>
                <c:pt idx="29">
                  <c:v>20</c:v>
                </c:pt>
                <c:pt idx="30">
                  <c:v>301</c:v>
                </c:pt>
                <c:pt idx="31">
                  <c:v>176</c:v>
                </c:pt>
                <c:pt idx="32">
                  <c:v>141</c:v>
                </c:pt>
                <c:pt idx="33">
                  <c:v>8</c:v>
                </c:pt>
                <c:pt idx="34">
                  <c:v>77</c:v>
                </c:pt>
                <c:pt idx="35">
                  <c:v>53</c:v>
                </c:pt>
                <c:pt idx="36">
                  <c:v>804</c:v>
                </c:pt>
                <c:pt idx="37">
                  <c:v>272</c:v>
                </c:pt>
                <c:pt idx="38">
                  <c:v>123</c:v>
                </c:pt>
                <c:pt idx="39">
                  <c:v>128</c:v>
                </c:pt>
                <c:pt idx="40">
                  <c:v>265</c:v>
                </c:pt>
                <c:pt idx="41">
                  <c:v>389</c:v>
                </c:pt>
                <c:pt idx="42">
                  <c:v>58</c:v>
                </c:pt>
              </c:numCache>
            </c:numRef>
          </c:val>
        </c:ser>
        <c:overlap val="100"/>
        <c:axId val="207133696"/>
        <c:axId val="207135488"/>
      </c:barChart>
      <c:lineChart>
        <c:grouping val="standard"/>
        <c:ser>
          <c:idx val="1"/>
          <c:order val="1"/>
          <c:tx>
            <c:strRef>
              <c:f>aja_kegg_fpkm!$C$1</c:f>
              <c:strCache>
                <c:ptCount val="1"/>
                <c:pt idx="0">
                  <c:v>Avg_fpkm</c:v>
                </c:pt>
              </c:strCache>
            </c:strRef>
          </c:tx>
          <c:marker>
            <c:symbol val="none"/>
          </c:marker>
          <c:cat>
            <c:strRef>
              <c:f>aja_kegg_fpkm!$A$2:$A$44</c:f>
              <c:strCache>
                <c:ptCount val="43"/>
                <c:pt idx="0">
                  <c:v>Amino acid metabolism</c:v>
                </c:pt>
                <c:pt idx="1">
                  <c:v>Biosynthesis of other secondary metabolites</c:v>
                </c:pt>
                <c:pt idx="2">
                  <c:v>Cancers: Overview</c:v>
                </c:pt>
                <c:pt idx="3">
                  <c:v>Cancers: Specific types</c:v>
                </c:pt>
                <c:pt idx="4">
                  <c:v>Carbohydrate metabolism</c:v>
                </c:pt>
                <c:pt idx="5">
                  <c:v>Cardiovascular diseases</c:v>
                </c:pt>
                <c:pt idx="6">
                  <c:v>Cell communication</c:v>
                </c:pt>
                <c:pt idx="7">
                  <c:v>Cell growth and death</c:v>
                </c:pt>
                <c:pt idx="8">
                  <c:v>Cell motility</c:v>
                </c:pt>
                <c:pt idx="9">
                  <c:v>Circulatory system</c:v>
                </c:pt>
                <c:pt idx="10">
                  <c:v>Development</c:v>
                </c:pt>
                <c:pt idx="11">
                  <c:v>Digestive system</c:v>
                </c:pt>
                <c:pt idx="12">
                  <c:v>Endocrine and metabolic diseases</c:v>
                </c:pt>
                <c:pt idx="13">
                  <c:v>Endocrine system</c:v>
                </c:pt>
                <c:pt idx="14">
                  <c:v>Energy metabolism</c:v>
                </c:pt>
                <c:pt idx="15">
                  <c:v>Environmental adaptation</c:v>
                </c:pt>
                <c:pt idx="16">
                  <c:v>Excretory system</c:v>
                </c:pt>
                <c:pt idx="17">
                  <c:v>Folding, sorting and degradation</c:v>
                </c:pt>
                <c:pt idx="18">
                  <c:v>Global map</c:v>
                </c:pt>
                <c:pt idx="19">
                  <c:v>Glycan biosynthesis and metabolism</c:v>
                </c:pt>
                <c:pt idx="20">
                  <c:v>Immune diseases</c:v>
                </c:pt>
                <c:pt idx="21">
                  <c:v>Immune system</c:v>
                </c:pt>
                <c:pt idx="22">
                  <c:v>Infectious diseases: Bacterial</c:v>
                </c:pt>
                <c:pt idx="23">
                  <c:v>Infectious diseases: Parasitic</c:v>
                </c:pt>
                <c:pt idx="24">
                  <c:v>Infectious diseases: Viral</c:v>
                </c:pt>
                <c:pt idx="25">
                  <c:v>Lipid metabolism</c:v>
                </c:pt>
                <c:pt idx="26">
                  <c:v>Membrane transport</c:v>
                </c:pt>
                <c:pt idx="27">
                  <c:v>Metabolism of cofactors and vitamins</c:v>
                </c:pt>
                <c:pt idx="28">
                  <c:v>Metabolism of other amino acids</c:v>
                </c:pt>
                <c:pt idx="29">
                  <c:v>Metabolism of terpenoids and polyketides</c:v>
                </c:pt>
                <c:pt idx="30">
                  <c:v>Nervous system</c:v>
                </c:pt>
                <c:pt idx="31">
                  <c:v>Neurodegenerative diseases</c:v>
                </c:pt>
                <c:pt idx="32">
                  <c:v>Nucleotide metabolism</c:v>
                </c:pt>
                <c:pt idx="33">
                  <c:v>Reaction module maps</c:v>
                </c:pt>
                <c:pt idx="34">
                  <c:v>Replication and repair</c:v>
                </c:pt>
                <c:pt idx="35">
                  <c:v>Sensory system</c:v>
                </c:pt>
                <c:pt idx="36">
                  <c:v>Signal transduction</c:v>
                </c:pt>
                <c:pt idx="37">
                  <c:v>Signaling molecules and interaction</c:v>
                </c:pt>
                <c:pt idx="38">
                  <c:v>Substance dependence</c:v>
                </c:pt>
                <c:pt idx="39">
                  <c:v>Transcription</c:v>
                </c:pt>
                <c:pt idx="40">
                  <c:v>Translation</c:v>
                </c:pt>
                <c:pt idx="41">
                  <c:v>Transport and catabolism</c:v>
                </c:pt>
                <c:pt idx="42">
                  <c:v>Xenobiotics biodegradation and metabolism</c:v>
                </c:pt>
              </c:strCache>
            </c:strRef>
          </c:cat>
          <c:val>
            <c:numRef>
              <c:f>aja_kegg_fpkm!$C$2:$C$44</c:f>
              <c:numCache>
                <c:formatCode>General</c:formatCode>
                <c:ptCount val="43"/>
                <c:pt idx="0">
                  <c:v>31.77</c:v>
                </c:pt>
                <c:pt idx="1">
                  <c:v>37.4</c:v>
                </c:pt>
                <c:pt idx="2">
                  <c:v>23.6</c:v>
                </c:pt>
                <c:pt idx="3">
                  <c:v>21.71</c:v>
                </c:pt>
                <c:pt idx="4">
                  <c:v>35.28</c:v>
                </c:pt>
                <c:pt idx="5">
                  <c:v>53.05</c:v>
                </c:pt>
                <c:pt idx="6">
                  <c:v>30.05</c:v>
                </c:pt>
                <c:pt idx="7">
                  <c:v>20.85</c:v>
                </c:pt>
                <c:pt idx="8">
                  <c:v>28.05</c:v>
                </c:pt>
                <c:pt idx="9">
                  <c:v>65.2</c:v>
                </c:pt>
                <c:pt idx="10">
                  <c:v>16.690000000000001</c:v>
                </c:pt>
                <c:pt idx="11">
                  <c:v>32.5</c:v>
                </c:pt>
                <c:pt idx="12">
                  <c:v>22.630000000000006</c:v>
                </c:pt>
                <c:pt idx="13">
                  <c:v>23.75</c:v>
                </c:pt>
                <c:pt idx="14">
                  <c:v>80.599999999999994</c:v>
                </c:pt>
                <c:pt idx="15">
                  <c:v>18.010000000000005</c:v>
                </c:pt>
                <c:pt idx="16">
                  <c:v>22.330000000000005</c:v>
                </c:pt>
                <c:pt idx="17">
                  <c:v>25.5</c:v>
                </c:pt>
                <c:pt idx="18">
                  <c:v>31.439999999999994</c:v>
                </c:pt>
                <c:pt idx="19">
                  <c:v>14.82</c:v>
                </c:pt>
                <c:pt idx="20">
                  <c:v>35.160000000000011</c:v>
                </c:pt>
                <c:pt idx="21">
                  <c:v>31.99</c:v>
                </c:pt>
                <c:pt idx="22">
                  <c:v>37.74</c:v>
                </c:pt>
                <c:pt idx="23">
                  <c:v>30.55</c:v>
                </c:pt>
                <c:pt idx="24">
                  <c:v>28.18</c:v>
                </c:pt>
                <c:pt idx="25">
                  <c:v>23.43</c:v>
                </c:pt>
                <c:pt idx="26">
                  <c:v>13.34</c:v>
                </c:pt>
                <c:pt idx="27">
                  <c:v>23.110000000000007</c:v>
                </c:pt>
                <c:pt idx="28">
                  <c:v>27.47</c:v>
                </c:pt>
                <c:pt idx="29">
                  <c:v>33.25</c:v>
                </c:pt>
                <c:pt idx="30">
                  <c:v>21.610000000000007</c:v>
                </c:pt>
                <c:pt idx="31">
                  <c:v>52.3</c:v>
                </c:pt>
                <c:pt idx="32">
                  <c:v>18.760000000000002</c:v>
                </c:pt>
                <c:pt idx="33">
                  <c:v>76.459999999999994</c:v>
                </c:pt>
                <c:pt idx="34">
                  <c:v>25.03</c:v>
                </c:pt>
                <c:pt idx="35">
                  <c:v>29.67</c:v>
                </c:pt>
                <c:pt idx="36">
                  <c:v>26.09</c:v>
                </c:pt>
                <c:pt idx="37">
                  <c:v>21.610000000000007</c:v>
                </c:pt>
                <c:pt idx="38">
                  <c:v>14.23</c:v>
                </c:pt>
                <c:pt idx="39">
                  <c:v>23.2</c:v>
                </c:pt>
                <c:pt idx="40">
                  <c:v>69.2</c:v>
                </c:pt>
                <c:pt idx="41">
                  <c:v>24.979999999999993</c:v>
                </c:pt>
                <c:pt idx="42">
                  <c:v>31.1</c:v>
                </c:pt>
              </c:numCache>
            </c:numRef>
          </c:val>
        </c:ser>
        <c:marker val="1"/>
        <c:axId val="207138816"/>
        <c:axId val="207137024"/>
      </c:lineChart>
      <c:catAx>
        <c:axId val="207133696"/>
        <c:scaling>
          <c:orientation val="minMax"/>
        </c:scaling>
        <c:axPos val="b"/>
        <c:numFmt formatCode="General" sourceLinked="0"/>
        <c:tickLblPos val="nextTo"/>
        <c:crossAx val="207135488"/>
        <c:crosses val="autoZero"/>
        <c:auto val="1"/>
        <c:lblAlgn val="ctr"/>
        <c:lblOffset val="100"/>
      </c:catAx>
      <c:valAx>
        <c:axId val="207135488"/>
        <c:scaling>
          <c:orientation val="minMax"/>
        </c:scaling>
        <c:axPos val="l"/>
        <c:majorGridlines/>
        <c:numFmt formatCode="General" sourceLinked="1"/>
        <c:tickLblPos val="nextTo"/>
        <c:crossAx val="207133696"/>
        <c:crosses val="autoZero"/>
        <c:crossBetween val="between"/>
      </c:valAx>
      <c:valAx>
        <c:axId val="207137024"/>
        <c:scaling>
          <c:orientation val="minMax"/>
        </c:scaling>
        <c:axPos val="r"/>
        <c:numFmt formatCode="General" sourceLinked="1"/>
        <c:tickLblPos val="nextTo"/>
        <c:crossAx val="207138816"/>
        <c:crosses val="max"/>
        <c:crossBetween val="between"/>
      </c:valAx>
      <c:catAx>
        <c:axId val="207138816"/>
        <c:scaling>
          <c:orientation val="minMax"/>
        </c:scaling>
        <c:delete val="1"/>
        <c:axPos val="b"/>
        <c:numFmt formatCode="General" sourceLinked="1"/>
        <c:tickLblPos val="none"/>
        <c:crossAx val="207137024"/>
        <c:crosses val="autoZero"/>
        <c:auto val="1"/>
        <c:lblAlgn val="ctr"/>
        <c:lblOffset val="100"/>
      </c:cat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chart>
    <c:plotArea>
      <c:layout/>
      <c:pieChart>
        <c:varyColors val="1"/>
        <c:ser>
          <c:idx val="0"/>
          <c:order val="0"/>
          <c:dPt>
            <c:idx val="0"/>
            <c:spPr>
              <a:solidFill>
                <a:srgbClr val="00B0F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chemeClr val="accent1"/>
              </a:solidFill>
            </c:spPr>
          </c:dPt>
          <c:dPt>
            <c:idx val="3"/>
            <c:spPr>
              <a:solidFill>
                <a:srgbClr val="92D050"/>
              </a:solidFill>
            </c:spPr>
          </c:dPt>
          <c:dPt>
            <c:idx val="4"/>
            <c:spPr>
              <a:solidFill>
                <a:srgbClr val="FFC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Sheet1!$G$4:$G$8</c:f>
              <c:strCache>
                <c:ptCount val="5"/>
                <c:pt idx="0">
                  <c:v>Cellular Processes</c:v>
                </c:pt>
                <c:pt idx="1">
                  <c:v>Environmental Information Processing</c:v>
                </c:pt>
                <c:pt idx="2">
                  <c:v>Genetic Information Processing</c:v>
                </c:pt>
                <c:pt idx="3">
                  <c:v>Organismal Systems</c:v>
                </c:pt>
                <c:pt idx="4">
                  <c:v>Metabolism</c:v>
                </c:pt>
              </c:strCache>
            </c:strRef>
          </c:cat>
          <c:val>
            <c:numRef>
              <c:f>Sheet1!$H$4:$H$8</c:f>
              <c:numCache>
                <c:formatCode>General</c:formatCode>
                <c:ptCount val="5"/>
                <c:pt idx="0">
                  <c:v>1053</c:v>
                </c:pt>
                <c:pt idx="1">
                  <c:v>1103</c:v>
                </c:pt>
                <c:pt idx="2">
                  <c:v>765</c:v>
                </c:pt>
                <c:pt idx="3">
                  <c:v>1712</c:v>
                </c:pt>
                <c:pt idx="4">
                  <c:v>1382</c:v>
                </c:pt>
              </c:numCache>
            </c:numRef>
          </c:val>
        </c:ser>
        <c:firstSliceAng val="0"/>
      </c:pieChart>
      <c:spPr>
        <a:noFill/>
        <a:ln w="25400">
          <a:noFill/>
        </a:ln>
      </c:spPr>
    </c:plotArea>
    <c:plotVisOnly val="1"/>
    <c:dispBlanksAs val="zero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PH"/>
  <c:chart>
    <c:autoTitleDeleted val="1"/>
    <c:plotArea>
      <c:layout>
        <c:manualLayout>
          <c:layoutTarget val="inner"/>
          <c:xMode val="edge"/>
          <c:yMode val="edge"/>
          <c:x val="0.27562041428060141"/>
          <c:y val="1.897369298147206E-2"/>
          <c:w val="0.69511117573371506"/>
          <c:h val="0.9378151812904445"/>
        </c:manualLayout>
      </c:layout>
      <c:barChart>
        <c:barDir val="bar"/>
        <c:grouping val="clustered"/>
        <c:ser>
          <c:idx val="0"/>
          <c:order val="0"/>
          <c:tx>
            <c:strRef>
              <c:f>[aja_kegg_fpkm.xls]Sheet1!$C$1</c:f>
              <c:strCache>
                <c:ptCount val="1"/>
                <c:pt idx="0">
                  <c:v>num</c:v>
                </c:pt>
              </c:strCache>
            </c:strRef>
          </c:tx>
          <c:dPt>
            <c:idx val="0"/>
            <c:spPr>
              <a:solidFill>
                <a:srgbClr val="00B0F0"/>
              </a:solidFill>
            </c:spPr>
          </c:dPt>
          <c:dPt>
            <c:idx val="1"/>
            <c:spPr>
              <a:solidFill>
                <a:srgbClr val="00B0F0"/>
              </a:solidFill>
            </c:spPr>
          </c:dPt>
          <c:dPt>
            <c:idx val="2"/>
            <c:spPr>
              <a:solidFill>
                <a:srgbClr val="00B0F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FF0000"/>
              </a:solidFill>
            </c:spPr>
          </c:dPt>
          <c:dPt>
            <c:idx val="5"/>
            <c:spPr>
              <a:solidFill>
                <a:srgbClr val="FF0000"/>
              </a:solidFill>
            </c:spPr>
          </c:dPt>
          <c:dPt>
            <c:idx val="6"/>
            <c:spPr>
              <a:solidFill>
                <a:srgbClr val="FF0000"/>
              </a:solidFill>
            </c:spPr>
          </c:dPt>
          <c:dPt>
            <c:idx val="11"/>
            <c:spPr>
              <a:solidFill>
                <a:srgbClr val="FFC000"/>
              </a:solidFill>
            </c:spPr>
          </c:dPt>
          <c:dPt>
            <c:idx val="12"/>
            <c:spPr>
              <a:solidFill>
                <a:srgbClr val="FFC000"/>
              </a:solidFill>
            </c:spPr>
          </c:dPt>
          <c:dPt>
            <c:idx val="13"/>
            <c:spPr>
              <a:solidFill>
                <a:srgbClr val="FFC000"/>
              </a:solidFill>
            </c:spPr>
          </c:dPt>
          <c:dPt>
            <c:idx val="14"/>
            <c:spPr>
              <a:solidFill>
                <a:srgbClr val="FFC000"/>
              </a:solidFill>
            </c:spPr>
          </c:dPt>
          <c:dPt>
            <c:idx val="15"/>
            <c:spPr>
              <a:solidFill>
                <a:srgbClr val="FFC000"/>
              </a:solidFill>
            </c:spPr>
          </c:dPt>
          <c:dPt>
            <c:idx val="16"/>
            <c:spPr>
              <a:solidFill>
                <a:srgbClr val="FFC000"/>
              </a:solidFill>
            </c:spPr>
          </c:dPt>
          <c:dPt>
            <c:idx val="17"/>
            <c:spPr>
              <a:solidFill>
                <a:srgbClr val="FFC000"/>
              </a:solidFill>
            </c:spPr>
          </c:dPt>
          <c:dPt>
            <c:idx val="18"/>
            <c:spPr>
              <a:solidFill>
                <a:srgbClr val="FFC000"/>
              </a:solidFill>
            </c:spPr>
          </c:dPt>
          <c:dPt>
            <c:idx val="19"/>
            <c:spPr>
              <a:solidFill>
                <a:srgbClr val="FFC000"/>
              </a:solidFill>
            </c:spPr>
          </c:dPt>
          <c:dPt>
            <c:idx val="20"/>
            <c:spPr>
              <a:solidFill>
                <a:srgbClr val="FFC000"/>
              </a:solidFill>
            </c:spPr>
          </c:dPt>
          <c:dPt>
            <c:idx val="21"/>
            <c:spPr>
              <a:solidFill>
                <a:srgbClr val="FFC000"/>
              </a:solidFill>
            </c:spPr>
          </c:dPt>
          <c:dPt>
            <c:idx val="22"/>
            <c:spPr>
              <a:solidFill>
                <a:srgbClr val="FFC000"/>
              </a:solidFill>
            </c:spPr>
          </c:dPt>
          <c:dPt>
            <c:idx val="23"/>
            <c:spPr>
              <a:solidFill>
                <a:srgbClr val="92D050"/>
              </a:solidFill>
            </c:spPr>
          </c:dPt>
          <c:dPt>
            <c:idx val="24"/>
            <c:spPr>
              <a:solidFill>
                <a:srgbClr val="92D050"/>
              </a:solidFill>
            </c:spPr>
          </c:dPt>
          <c:dPt>
            <c:idx val="25"/>
            <c:spPr>
              <a:solidFill>
                <a:srgbClr val="92D050"/>
              </a:solidFill>
            </c:spPr>
          </c:dPt>
          <c:dPt>
            <c:idx val="26"/>
            <c:spPr>
              <a:solidFill>
                <a:srgbClr val="92D050"/>
              </a:solidFill>
            </c:spPr>
          </c:dPt>
          <c:dPt>
            <c:idx val="27"/>
            <c:spPr>
              <a:solidFill>
                <a:srgbClr val="92D050"/>
              </a:solidFill>
            </c:spPr>
          </c:dPt>
          <c:dPt>
            <c:idx val="28"/>
            <c:spPr>
              <a:solidFill>
                <a:srgbClr val="92D050"/>
              </a:solidFill>
            </c:spPr>
          </c:dPt>
          <c:dPt>
            <c:idx val="29"/>
            <c:spPr>
              <a:solidFill>
                <a:srgbClr val="92D050"/>
              </a:solidFill>
            </c:spPr>
          </c:dPt>
          <c:dPt>
            <c:idx val="30"/>
            <c:spPr>
              <a:solidFill>
                <a:srgbClr val="92D050"/>
              </a:solidFill>
            </c:spPr>
          </c:dPt>
          <c:dPt>
            <c:idx val="31"/>
            <c:spPr>
              <a:solidFill>
                <a:srgbClr val="92D050"/>
              </a:solidFill>
            </c:spPr>
          </c:dPt>
          <c:cat>
            <c:strRef>
              <c:f>[aja_kegg_fpkm.xls]Sheet1!$B$2:$B$33</c:f>
              <c:strCache>
                <c:ptCount val="32"/>
                <c:pt idx="0">
                  <c:v>Transport and catabolism</c:v>
                </c:pt>
                <c:pt idx="1">
                  <c:v>Cell communication</c:v>
                </c:pt>
                <c:pt idx="2">
                  <c:v>Cell growth and death</c:v>
                </c:pt>
                <c:pt idx="3">
                  <c:v>Cell motility</c:v>
                </c:pt>
                <c:pt idx="4">
                  <c:v>Signal transduction</c:v>
                </c:pt>
                <c:pt idx="5">
                  <c:v>Signaling molecules and interaction</c:v>
                </c:pt>
                <c:pt idx="6">
                  <c:v>Membrane transport</c:v>
                </c:pt>
                <c:pt idx="7">
                  <c:v>Folding, sorting and degradation</c:v>
                </c:pt>
                <c:pt idx="8">
                  <c:v>Translation</c:v>
                </c:pt>
                <c:pt idx="9">
                  <c:v>Transcription</c:v>
                </c:pt>
                <c:pt idx="10">
                  <c:v>Replication and repair</c:v>
                </c:pt>
                <c:pt idx="11">
                  <c:v>Carbohydrate metabolism</c:v>
                </c:pt>
                <c:pt idx="12">
                  <c:v>Lipid metabolism</c:v>
                </c:pt>
                <c:pt idx="13">
                  <c:v>Amino acid metabolism</c:v>
                </c:pt>
                <c:pt idx="14">
                  <c:v>Glycan biosynthesis and metabolism</c:v>
                </c:pt>
                <c:pt idx="15">
                  <c:v>Nucleotide metabolism</c:v>
                </c:pt>
                <c:pt idx="16">
                  <c:v>Metabolism of cofactors and vitamins</c:v>
                </c:pt>
                <c:pt idx="17">
                  <c:v>Energy metabolism</c:v>
                </c:pt>
                <c:pt idx="18">
                  <c:v>Metabolism of other amino acids</c:v>
                </c:pt>
                <c:pt idx="19">
                  <c:v>Xenobiotics biodegradation and metabolism</c:v>
                </c:pt>
                <c:pt idx="20">
                  <c:v>Metabolism of terpenoids and polyketides</c:v>
                </c:pt>
                <c:pt idx="21">
                  <c:v>Biosynthesis of other secondary metabolites</c:v>
                </c:pt>
                <c:pt idx="22">
                  <c:v>Reaction module maps</c:v>
                </c:pt>
                <c:pt idx="23">
                  <c:v>Immune system</c:v>
                </c:pt>
                <c:pt idx="24">
                  <c:v>Endocrine system</c:v>
                </c:pt>
                <c:pt idx="25">
                  <c:v>Nervous system</c:v>
                </c:pt>
                <c:pt idx="26">
                  <c:v>Digestive system</c:v>
                </c:pt>
                <c:pt idx="27">
                  <c:v>Development</c:v>
                </c:pt>
                <c:pt idx="28">
                  <c:v>Circulatory system</c:v>
                </c:pt>
                <c:pt idx="29">
                  <c:v>Excretory system</c:v>
                </c:pt>
                <c:pt idx="30">
                  <c:v>Environmental adaptation</c:v>
                </c:pt>
                <c:pt idx="31">
                  <c:v>Sensory system</c:v>
                </c:pt>
              </c:strCache>
            </c:strRef>
          </c:cat>
          <c:val>
            <c:numRef>
              <c:f>[aja_kegg_fpkm.xls]Sheet1!$C$2:$C$33</c:f>
              <c:numCache>
                <c:formatCode>General</c:formatCode>
                <c:ptCount val="32"/>
                <c:pt idx="0">
                  <c:v>389</c:v>
                </c:pt>
                <c:pt idx="1">
                  <c:v>311</c:v>
                </c:pt>
                <c:pt idx="2">
                  <c:v>198</c:v>
                </c:pt>
                <c:pt idx="3">
                  <c:v>155</c:v>
                </c:pt>
                <c:pt idx="4">
                  <c:v>804</c:v>
                </c:pt>
                <c:pt idx="5">
                  <c:v>272</c:v>
                </c:pt>
                <c:pt idx="6">
                  <c:v>27</c:v>
                </c:pt>
                <c:pt idx="7">
                  <c:v>295</c:v>
                </c:pt>
                <c:pt idx="8">
                  <c:v>265</c:v>
                </c:pt>
                <c:pt idx="9">
                  <c:v>128</c:v>
                </c:pt>
                <c:pt idx="10">
                  <c:v>77</c:v>
                </c:pt>
                <c:pt idx="11">
                  <c:v>243</c:v>
                </c:pt>
                <c:pt idx="12">
                  <c:v>242</c:v>
                </c:pt>
                <c:pt idx="13">
                  <c:v>187</c:v>
                </c:pt>
                <c:pt idx="14">
                  <c:v>158</c:v>
                </c:pt>
                <c:pt idx="15">
                  <c:v>141</c:v>
                </c:pt>
                <c:pt idx="16">
                  <c:v>122</c:v>
                </c:pt>
                <c:pt idx="17">
                  <c:v>118</c:v>
                </c:pt>
                <c:pt idx="18">
                  <c:v>69</c:v>
                </c:pt>
                <c:pt idx="19">
                  <c:v>58</c:v>
                </c:pt>
                <c:pt idx="20">
                  <c:v>20</c:v>
                </c:pt>
                <c:pt idx="21">
                  <c:v>16</c:v>
                </c:pt>
                <c:pt idx="22">
                  <c:v>8</c:v>
                </c:pt>
                <c:pt idx="23">
                  <c:v>344</c:v>
                </c:pt>
                <c:pt idx="24">
                  <c:v>324</c:v>
                </c:pt>
                <c:pt idx="25">
                  <c:v>301</c:v>
                </c:pt>
                <c:pt idx="26">
                  <c:v>206</c:v>
                </c:pt>
                <c:pt idx="27">
                  <c:v>167</c:v>
                </c:pt>
                <c:pt idx="28">
                  <c:v>110</c:v>
                </c:pt>
                <c:pt idx="29">
                  <c:v>105</c:v>
                </c:pt>
                <c:pt idx="30">
                  <c:v>102</c:v>
                </c:pt>
                <c:pt idx="31">
                  <c:v>53</c:v>
                </c:pt>
              </c:numCache>
            </c:numRef>
          </c:val>
        </c:ser>
        <c:axId val="240699648"/>
        <c:axId val="240705536"/>
      </c:barChart>
      <c:catAx>
        <c:axId val="240699648"/>
        <c:scaling>
          <c:orientation val="minMax"/>
        </c:scaling>
        <c:axPos val="l"/>
        <c:numFmt formatCode="General" sourceLinked="1"/>
        <c:tickLblPos val="nextTo"/>
        <c:crossAx val="240705536"/>
        <c:crosses val="autoZero"/>
        <c:auto val="1"/>
        <c:lblAlgn val="ctr"/>
        <c:lblOffset val="100"/>
      </c:catAx>
      <c:valAx>
        <c:axId val="240705536"/>
        <c:scaling>
          <c:orientation val="minMax"/>
        </c:scaling>
        <c:axPos val="b"/>
        <c:majorGridlines/>
        <c:numFmt formatCode="General" sourceLinked="1"/>
        <c:tickLblPos val="nextTo"/>
        <c:crossAx val="240699648"/>
        <c:crosses val="autoZero"/>
        <c:crossBetween val="between"/>
      </c:valAx>
    </c:plotArea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chart>
    <c:plotArea>
      <c:layout/>
      <c:barChart>
        <c:barDir val="col"/>
        <c:grouping val="stacked"/>
        <c:ser>
          <c:idx val="0"/>
          <c:order val="0"/>
          <c:tx>
            <c:strRef>
              <c:f>aja_cog_fpkm!$B$1</c:f>
              <c:strCache>
                <c:ptCount val="1"/>
                <c:pt idx="0">
                  <c:v>Num</c:v>
                </c:pt>
              </c:strCache>
            </c:strRef>
          </c:tx>
          <c:cat>
            <c:strRef>
              <c:f>aja_cog_fpkm!$A$2:$A$26</c:f>
              <c:strCache>
                <c:ptCount val="25"/>
                <c:pt idx="0">
                  <c:v>General function prediction only</c:v>
                </c:pt>
                <c:pt idx="1">
                  <c:v>Posttranslational modification, protein turnover, chaperones</c:v>
                </c:pt>
                <c:pt idx="2">
                  <c:v>Signal transduction mechanisms</c:v>
                </c:pt>
                <c:pt idx="3">
                  <c:v>DNA replication, recombination, and repair</c:v>
                </c:pt>
                <c:pt idx="4">
                  <c:v>Transcription</c:v>
                </c:pt>
                <c:pt idx="5">
                  <c:v>Cell division and chromosome partitioning</c:v>
                </c:pt>
                <c:pt idx="6">
                  <c:v>Amino acid transport and metabolism</c:v>
                </c:pt>
                <c:pt idx="7">
                  <c:v>Carbohydrate transport and metabolism</c:v>
                </c:pt>
                <c:pt idx="8">
                  <c:v>Translation, ribosomal structure and biogenesis</c:v>
                </c:pt>
                <c:pt idx="9">
                  <c:v>Lipid metabolism</c:v>
                </c:pt>
                <c:pt idx="10">
                  <c:v>Inorganic ion transport and metabolism</c:v>
                </c:pt>
                <c:pt idx="11">
                  <c:v>Intracellular trafficking and secretion</c:v>
                </c:pt>
                <c:pt idx="12">
                  <c:v>Cytoskeleton</c:v>
                </c:pt>
                <c:pt idx="13">
                  <c:v>Function unknown</c:v>
                </c:pt>
                <c:pt idx="14">
                  <c:v>Energy production and conversion</c:v>
                </c:pt>
                <c:pt idx="15">
                  <c:v>Secondary metabolites biosynthesis, transport, and catabolism</c:v>
                </c:pt>
                <c:pt idx="16">
                  <c:v>Coenzyme metabolism</c:v>
                </c:pt>
                <c:pt idx="17">
                  <c:v>Cell envelope biogenesis, outer membrane</c:v>
                </c:pt>
                <c:pt idx="18">
                  <c:v>Nucleotide transport and metabolism</c:v>
                </c:pt>
                <c:pt idx="19">
                  <c:v>Chromatin structure and dynamics</c:v>
                </c:pt>
                <c:pt idx="20">
                  <c:v>Defense mechanisms</c:v>
                </c:pt>
                <c:pt idx="21">
                  <c:v>RNA processing and modification</c:v>
                </c:pt>
                <c:pt idx="22">
                  <c:v>Cell motility and secretion</c:v>
                </c:pt>
                <c:pt idx="23">
                  <c:v>Nuclear structure</c:v>
                </c:pt>
                <c:pt idx="24">
                  <c:v>Translation</c:v>
                </c:pt>
              </c:strCache>
            </c:strRef>
          </c:cat>
          <c:val>
            <c:numRef>
              <c:f>aja_cog_fpkm!$B$2:$B$26</c:f>
              <c:numCache>
                <c:formatCode>General</c:formatCode>
                <c:ptCount val="25"/>
                <c:pt idx="0">
                  <c:v>905</c:v>
                </c:pt>
                <c:pt idx="1">
                  <c:v>397</c:v>
                </c:pt>
                <c:pt idx="2">
                  <c:v>286</c:v>
                </c:pt>
                <c:pt idx="3">
                  <c:v>276</c:v>
                </c:pt>
                <c:pt idx="4">
                  <c:v>259</c:v>
                </c:pt>
                <c:pt idx="5">
                  <c:v>256</c:v>
                </c:pt>
                <c:pt idx="6">
                  <c:v>248</c:v>
                </c:pt>
                <c:pt idx="7">
                  <c:v>208</c:v>
                </c:pt>
                <c:pt idx="8">
                  <c:v>193</c:v>
                </c:pt>
                <c:pt idx="9">
                  <c:v>183</c:v>
                </c:pt>
                <c:pt idx="10">
                  <c:v>181</c:v>
                </c:pt>
                <c:pt idx="11">
                  <c:v>180</c:v>
                </c:pt>
                <c:pt idx="12">
                  <c:v>176</c:v>
                </c:pt>
                <c:pt idx="13">
                  <c:v>154</c:v>
                </c:pt>
                <c:pt idx="14">
                  <c:v>141</c:v>
                </c:pt>
                <c:pt idx="15">
                  <c:v>103</c:v>
                </c:pt>
                <c:pt idx="16">
                  <c:v>95</c:v>
                </c:pt>
                <c:pt idx="17">
                  <c:v>94</c:v>
                </c:pt>
                <c:pt idx="18">
                  <c:v>90</c:v>
                </c:pt>
                <c:pt idx="19">
                  <c:v>58</c:v>
                </c:pt>
                <c:pt idx="20">
                  <c:v>49</c:v>
                </c:pt>
                <c:pt idx="21">
                  <c:v>39</c:v>
                </c:pt>
                <c:pt idx="22">
                  <c:v>16</c:v>
                </c:pt>
                <c:pt idx="23">
                  <c:v>9</c:v>
                </c:pt>
                <c:pt idx="24">
                  <c:v>4</c:v>
                </c:pt>
              </c:numCache>
            </c:numRef>
          </c:val>
        </c:ser>
        <c:overlap val="100"/>
        <c:axId val="240731264"/>
        <c:axId val="240732800"/>
      </c:barChart>
      <c:lineChart>
        <c:grouping val="standard"/>
        <c:ser>
          <c:idx val="1"/>
          <c:order val="1"/>
          <c:tx>
            <c:strRef>
              <c:f>aja_cog_fpkm!$C$1</c:f>
              <c:strCache>
                <c:ptCount val="1"/>
                <c:pt idx="0">
                  <c:v>Avg_fpkm</c:v>
                </c:pt>
              </c:strCache>
            </c:strRef>
          </c:tx>
          <c:marker>
            <c:symbol val="none"/>
          </c:marker>
          <c:cat>
            <c:strRef>
              <c:f>aja_cog_fpkm!$A$2:$A$26</c:f>
              <c:strCache>
                <c:ptCount val="25"/>
                <c:pt idx="0">
                  <c:v>General function prediction only</c:v>
                </c:pt>
                <c:pt idx="1">
                  <c:v>Posttranslational modification, protein turnover, chaperones</c:v>
                </c:pt>
                <c:pt idx="2">
                  <c:v>Signal transduction mechanisms</c:v>
                </c:pt>
                <c:pt idx="3">
                  <c:v>DNA replication, recombination, and repair</c:v>
                </c:pt>
                <c:pt idx="4">
                  <c:v>Transcription</c:v>
                </c:pt>
                <c:pt idx="5">
                  <c:v>Cell division and chromosome partitioning</c:v>
                </c:pt>
                <c:pt idx="6">
                  <c:v>Amino acid transport and metabolism</c:v>
                </c:pt>
                <c:pt idx="7">
                  <c:v>Carbohydrate transport and metabolism</c:v>
                </c:pt>
                <c:pt idx="8">
                  <c:v>Translation, ribosomal structure and biogenesis</c:v>
                </c:pt>
                <c:pt idx="9">
                  <c:v>Lipid metabolism</c:v>
                </c:pt>
                <c:pt idx="10">
                  <c:v>Inorganic ion transport and metabolism</c:v>
                </c:pt>
                <c:pt idx="11">
                  <c:v>Intracellular trafficking and secretion</c:v>
                </c:pt>
                <c:pt idx="12">
                  <c:v>Cytoskeleton</c:v>
                </c:pt>
                <c:pt idx="13">
                  <c:v>Function unknown</c:v>
                </c:pt>
                <c:pt idx="14">
                  <c:v>Energy production and conversion</c:v>
                </c:pt>
                <c:pt idx="15">
                  <c:v>Secondary metabolites biosynthesis, transport, and catabolism</c:v>
                </c:pt>
                <c:pt idx="16">
                  <c:v>Coenzyme metabolism</c:v>
                </c:pt>
                <c:pt idx="17">
                  <c:v>Cell envelope biogenesis, outer membrane</c:v>
                </c:pt>
                <c:pt idx="18">
                  <c:v>Nucleotide transport and metabolism</c:v>
                </c:pt>
                <c:pt idx="19">
                  <c:v>Chromatin structure and dynamics</c:v>
                </c:pt>
                <c:pt idx="20">
                  <c:v>Defense mechanisms</c:v>
                </c:pt>
                <c:pt idx="21">
                  <c:v>RNA processing and modification</c:v>
                </c:pt>
                <c:pt idx="22">
                  <c:v>Cell motility and secretion</c:v>
                </c:pt>
                <c:pt idx="23">
                  <c:v>Nuclear structure</c:v>
                </c:pt>
                <c:pt idx="24">
                  <c:v>Translation</c:v>
                </c:pt>
              </c:strCache>
            </c:strRef>
          </c:cat>
          <c:val>
            <c:numRef>
              <c:f>aja_cog_fpkm!$C$2:$C$26</c:f>
              <c:numCache>
                <c:formatCode>General</c:formatCode>
                <c:ptCount val="25"/>
                <c:pt idx="0">
                  <c:v>20.650000000000006</c:v>
                </c:pt>
                <c:pt idx="1">
                  <c:v>23.71</c:v>
                </c:pt>
                <c:pt idx="2">
                  <c:v>18.309999999999999</c:v>
                </c:pt>
                <c:pt idx="3">
                  <c:v>17.350000000000001</c:v>
                </c:pt>
                <c:pt idx="4">
                  <c:v>17.57</c:v>
                </c:pt>
                <c:pt idx="5">
                  <c:v>26.41</c:v>
                </c:pt>
                <c:pt idx="6">
                  <c:v>26.310000000000006</c:v>
                </c:pt>
                <c:pt idx="7">
                  <c:v>23.57</c:v>
                </c:pt>
                <c:pt idx="8">
                  <c:v>50.09</c:v>
                </c:pt>
                <c:pt idx="9">
                  <c:v>18.77</c:v>
                </c:pt>
                <c:pt idx="10">
                  <c:v>46.32</c:v>
                </c:pt>
                <c:pt idx="11">
                  <c:v>16.850000000000001</c:v>
                </c:pt>
                <c:pt idx="12">
                  <c:v>46.98</c:v>
                </c:pt>
                <c:pt idx="13">
                  <c:v>15.5</c:v>
                </c:pt>
                <c:pt idx="14">
                  <c:v>26.64</c:v>
                </c:pt>
                <c:pt idx="15">
                  <c:v>12.15</c:v>
                </c:pt>
                <c:pt idx="16">
                  <c:v>18.579999999999991</c:v>
                </c:pt>
                <c:pt idx="17">
                  <c:v>13.98</c:v>
                </c:pt>
                <c:pt idx="18">
                  <c:v>15.5</c:v>
                </c:pt>
                <c:pt idx="19">
                  <c:v>19.91</c:v>
                </c:pt>
                <c:pt idx="20">
                  <c:v>10.93</c:v>
                </c:pt>
                <c:pt idx="21">
                  <c:v>16.62</c:v>
                </c:pt>
                <c:pt idx="22">
                  <c:v>14.3</c:v>
                </c:pt>
                <c:pt idx="23">
                  <c:v>9.620000000000001</c:v>
                </c:pt>
                <c:pt idx="24">
                  <c:v>7.96</c:v>
                </c:pt>
              </c:numCache>
            </c:numRef>
          </c:val>
        </c:ser>
        <c:marker val="1"/>
        <c:axId val="240748416"/>
        <c:axId val="240746880"/>
      </c:lineChart>
      <c:catAx>
        <c:axId val="240731264"/>
        <c:scaling>
          <c:orientation val="minMax"/>
        </c:scaling>
        <c:axPos val="b"/>
        <c:numFmt formatCode="General" sourceLinked="0"/>
        <c:tickLblPos val="nextTo"/>
        <c:crossAx val="240732800"/>
        <c:crosses val="autoZero"/>
        <c:auto val="1"/>
        <c:lblAlgn val="ctr"/>
        <c:lblOffset val="100"/>
      </c:catAx>
      <c:valAx>
        <c:axId val="240732800"/>
        <c:scaling>
          <c:orientation val="minMax"/>
        </c:scaling>
        <c:axPos val="l"/>
        <c:majorGridlines/>
        <c:numFmt formatCode="General" sourceLinked="1"/>
        <c:tickLblPos val="nextTo"/>
        <c:crossAx val="240731264"/>
        <c:crosses val="autoZero"/>
        <c:crossBetween val="between"/>
      </c:valAx>
      <c:valAx>
        <c:axId val="240746880"/>
        <c:scaling>
          <c:orientation val="minMax"/>
        </c:scaling>
        <c:axPos val="r"/>
        <c:numFmt formatCode="General" sourceLinked="1"/>
        <c:tickLblPos val="nextTo"/>
        <c:crossAx val="240748416"/>
        <c:crosses val="max"/>
        <c:crossBetween val="between"/>
      </c:valAx>
      <c:catAx>
        <c:axId val="240748416"/>
        <c:scaling>
          <c:orientation val="minMax"/>
        </c:scaling>
        <c:delete val="1"/>
        <c:axPos val="b"/>
        <c:numFmt formatCode="General" sourceLinked="1"/>
        <c:tickLblPos val="none"/>
        <c:crossAx val="240746880"/>
        <c:crosses val="autoZero"/>
        <c:auto val="1"/>
        <c:lblAlgn val="ctr"/>
        <c:lblOffset val="100"/>
      </c:catAx>
    </c:plotArea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chart>
    <c:plotArea>
      <c:layout/>
      <c:barChart>
        <c:barDir val="col"/>
        <c:grouping val="stacked"/>
        <c:ser>
          <c:idx val="0"/>
          <c:order val="0"/>
          <c:tx>
            <c:strRef>
              <c:f>aja_pfam_fpkm!$B$1</c:f>
              <c:strCache>
                <c:ptCount val="1"/>
                <c:pt idx="0">
                  <c:v>Num</c:v>
                </c:pt>
              </c:strCache>
            </c:strRef>
          </c:tx>
          <c:cat>
            <c:strRef>
              <c:f>aja_pfam_fpkm!$A$2:$A$26</c:f>
              <c:strCache>
                <c:ptCount val="25"/>
                <c:pt idx="0">
                  <c:v>Protein kinase domain</c:v>
                </c:pt>
                <c:pt idx="1">
                  <c:v>RNA recognition motif</c:v>
                </c:pt>
                <c:pt idx="2">
                  <c:v>Immunoglobulin I-set domain</c:v>
                </c:pt>
                <c:pt idx="3">
                  <c:v>Protein tyrosine kinase</c:v>
                </c:pt>
                <c:pt idx="4">
                  <c:v>Ankyrin repeats (3 copies)</c:v>
                </c:pt>
                <c:pt idx="5">
                  <c:v>RNA recognition motif (a</c:v>
                </c:pt>
                <c:pt idx="6">
                  <c:v>PH domain</c:v>
                </c:pt>
                <c:pt idx="7">
                  <c:v>Zinc finger, C3HC4 type (RING finger)</c:v>
                </c:pt>
                <c:pt idx="8">
                  <c:v>PDZ domain (Also known as DHR or GLGF)</c:v>
                </c:pt>
                <c:pt idx="9">
                  <c:v>RhoGEF domain</c:v>
                </c:pt>
                <c:pt idx="10">
                  <c:v>Ras family</c:v>
                </c:pt>
                <c:pt idx="11">
                  <c:v>RhoGAP domain</c:v>
                </c:pt>
                <c:pt idx="12">
                  <c:v>von Willebrand factor type A domain</c:v>
                </c:pt>
                <c:pt idx="13">
                  <c:v>BTB/POZ domain</c:v>
                </c:pt>
                <c:pt idx="14">
                  <c:v>Fibronectin type III domain</c:v>
                </c:pt>
                <c:pt idx="15">
                  <c:v>C2 domain</c:v>
                </c:pt>
                <c:pt idx="16">
                  <c:v>Cadherin domain</c:v>
                </c:pt>
                <c:pt idx="17">
                  <c:v>Ring finger domain</c:v>
                </c:pt>
                <c:pt idx="18">
                  <c:v>7 transmembrane receptor (rhodopsin family)</c:v>
                </c:pt>
                <c:pt idx="19">
                  <c:v>Calponin homology (CH) domain</c:v>
                </c:pt>
                <c:pt idx="20">
                  <c:v>Leucine rich repeat</c:v>
                </c:pt>
                <c:pt idx="21">
                  <c:v>WD domain, G-beta repeat</c:v>
                </c:pt>
                <c:pt idx="22">
                  <c:v>Major Facilitator Superfamily</c:v>
                </c:pt>
                <c:pt idx="23">
                  <c:v>Ankyrin repeats (many copies)</c:v>
                </c:pt>
                <c:pt idx="24">
                  <c:v>TPR repeat</c:v>
                </c:pt>
              </c:strCache>
            </c:strRef>
          </c:cat>
          <c:val>
            <c:numRef>
              <c:f>aja_pfam_fpkm!$B$2:$B$26</c:f>
              <c:numCache>
                <c:formatCode>General</c:formatCode>
                <c:ptCount val="25"/>
                <c:pt idx="0">
                  <c:v>225</c:v>
                </c:pt>
                <c:pt idx="1">
                  <c:v>144</c:v>
                </c:pt>
                <c:pt idx="2">
                  <c:v>141</c:v>
                </c:pt>
                <c:pt idx="3">
                  <c:v>132</c:v>
                </c:pt>
                <c:pt idx="4">
                  <c:v>126</c:v>
                </c:pt>
                <c:pt idx="5">
                  <c:v>121</c:v>
                </c:pt>
                <c:pt idx="6">
                  <c:v>116</c:v>
                </c:pt>
                <c:pt idx="7">
                  <c:v>88</c:v>
                </c:pt>
                <c:pt idx="8">
                  <c:v>85</c:v>
                </c:pt>
                <c:pt idx="9">
                  <c:v>79</c:v>
                </c:pt>
                <c:pt idx="10">
                  <c:v>77</c:v>
                </c:pt>
                <c:pt idx="11">
                  <c:v>70</c:v>
                </c:pt>
                <c:pt idx="12">
                  <c:v>70</c:v>
                </c:pt>
                <c:pt idx="13">
                  <c:v>69</c:v>
                </c:pt>
                <c:pt idx="14">
                  <c:v>69</c:v>
                </c:pt>
                <c:pt idx="15">
                  <c:v>67</c:v>
                </c:pt>
                <c:pt idx="16">
                  <c:v>65</c:v>
                </c:pt>
                <c:pt idx="17">
                  <c:v>65</c:v>
                </c:pt>
                <c:pt idx="18">
                  <c:v>62</c:v>
                </c:pt>
                <c:pt idx="19">
                  <c:v>61</c:v>
                </c:pt>
                <c:pt idx="20">
                  <c:v>61</c:v>
                </c:pt>
                <c:pt idx="21">
                  <c:v>61</c:v>
                </c:pt>
                <c:pt idx="22">
                  <c:v>60</c:v>
                </c:pt>
                <c:pt idx="23">
                  <c:v>57</c:v>
                </c:pt>
                <c:pt idx="24">
                  <c:v>50</c:v>
                </c:pt>
              </c:numCache>
            </c:numRef>
          </c:val>
        </c:ser>
        <c:overlap val="100"/>
        <c:axId val="240770048"/>
        <c:axId val="240808704"/>
      </c:barChart>
      <c:lineChart>
        <c:grouping val="standard"/>
        <c:ser>
          <c:idx val="1"/>
          <c:order val="1"/>
          <c:tx>
            <c:strRef>
              <c:f>aja_pfam_fpkm!$C$1</c:f>
              <c:strCache>
                <c:ptCount val="1"/>
                <c:pt idx="0">
                  <c:v>Avg_fpkm</c:v>
                </c:pt>
              </c:strCache>
            </c:strRef>
          </c:tx>
          <c:marker>
            <c:symbol val="none"/>
          </c:marker>
          <c:cat>
            <c:strRef>
              <c:f>aja_pfam_fpkm!$A$2:$A$26</c:f>
              <c:strCache>
                <c:ptCount val="25"/>
                <c:pt idx="0">
                  <c:v>Protein kinase domain</c:v>
                </c:pt>
                <c:pt idx="1">
                  <c:v>RNA recognition motif</c:v>
                </c:pt>
                <c:pt idx="2">
                  <c:v>Immunoglobulin I-set domain</c:v>
                </c:pt>
                <c:pt idx="3">
                  <c:v>Protein tyrosine kinase</c:v>
                </c:pt>
                <c:pt idx="4">
                  <c:v>Ankyrin repeats (3 copies)</c:v>
                </c:pt>
                <c:pt idx="5">
                  <c:v>RNA recognition motif (a</c:v>
                </c:pt>
                <c:pt idx="6">
                  <c:v>PH domain</c:v>
                </c:pt>
                <c:pt idx="7">
                  <c:v>Zinc finger, C3HC4 type (RING finger)</c:v>
                </c:pt>
                <c:pt idx="8">
                  <c:v>PDZ domain (Also known as DHR or GLGF)</c:v>
                </c:pt>
                <c:pt idx="9">
                  <c:v>RhoGEF domain</c:v>
                </c:pt>
                <c:pt idx="10">
                  <c:v>Ras family</c:v>
                </c:pt>
                <c:pt idx="11">
                  <c:v>RhoGAP domain</c:v>
                </c:pt>
                <c:pt idx="12">
                  <c:v>von Willebrand factor type A domain</c:v>
                </c:pt>
                <c:pt idx="13">
                  <c:v>BTB/POZ domain</c:v>
                </c:pt>
                <c:pt idx="14">
                  <c:v>Fibronectin type III domain</c:v>
                </c:pt>
                <c:pt idx="15">
                  <c:v>C2 domain</c:v>
                </c:pt>
                <c:pt idx="16">
                  <c:v>Cadherin domain</c:v>
                </c:pt>
                <c:pt idx="17">
                  <c:v>Ring finger domain</c:v>
                </c:pt>
                <c:pt idx="18">
                  <c:v>7 transmembrane receptor (rhodopsin family)</c:v>
                </c:pt>
                <c:pt idx="19">
                  <c:v>Calponin homology (CH) domain</c:v>
                </c:pt>
                <c:pt idx="20">
                  <c:v>Leucine rich repeat</c:v>
                </c:pt>
                <c:pt idx="21">
                  <c:v>WD domain, G-beta repeat</c:v>
                </c:pt>
                <c:pt idx="22">
                  <c:v>Major Facilitator Superfamily</c:v>
                </c:pt>
                <c:pt idx="23">
                  <c:v>Ankyrin repeats (many copies)</c:v>
                </c:pt>
                <c:pt idx="24">
                  <c:v>TPR repeat</c:v>
                </c:pt>
              </c:strCache>
            </c:strRef>
          </c:cat>
          <c:val>
            <c:numRef>
              <c:f>aja_pfam_fpkm!$C$2:$C$26</c:f>
              <c:numCache>
                <c:formatCode>General</c:formatCode>
                <c:ptCount val="25"/>
                <c:pt idx="0">
                  <c:v>16.54</c:v>
                </c:pt>
                <c:pt idx="1">
                  <c:v>26.05</c:v>
                </c:pt>
                <c:pt idx="2">
                  <c:v>22.66</c:v>
                </c:pt>
                <c:pt idx="3">
                  <c:v>11.03</c:v>
                </c:pt>
                <c:pt idx="4">
                  <c:v>12.6</c:v>
                </c:pt>
                <c:pt idx="5">
                  <c:v>22.5</c:v>
                </c:pt>
                <c:pt idx="6">
                  <c:v>10.77</c:v>
                </c:pt>
                <c:pt idx="7">
                  <c:v>15.71</c:v>
                </c:pt>
                <c:pt idx="8">
                  <c:v>14.74</c:v>
                </c:pt>
                <c:pt idx="9">
                  <c:v>16.45</c:v>
                </c:pt>
                <c:pt idx="10">
                  <c:v>25.29</c:v>
                </c:pt>
                <c:pt idx="11">
                  <c:v>9.14</c:v>
                </c:pt>
                <c:pt idx="12">
                  <c:v>23.9</c:v>
                </c:pt>
                <c:pt idx="13">
                  <c:v>14.62</c:v>
                </c:pt>
                <c:pt idx="14">
                  <c:v>22.99</c:v>
                </c:pt>
                <c:pt idx="15">
                  <c:v>11.22</c:v>
                </c:pt>
                <c:pt idx="16">
                  <c:v>12.78</c:v>
                </c:pt>
                <c:pt idx="17">
                  <c:v>16.649999999999999</c:v>
                </c:pt>
                <c:pt idx="18">
                  <c:v>7.96</c:v>
                </c:pt>
                <c:pt idx="19">
                  <c:v>24</c:v>
                </c:pt>
                <c:pt idx="20">
                  <c:v>14.46</c:v>
                </c:pt>
                <c:pt idx="21">
                  <c:v>20.059999999999999</c:v>
                </c:pt>
                <c:pt idx="22">
                  <c:v>10.06</c:v>
                </c:pt>
                <c:pt idx="23">
                  <c:v>11.99</c:v>
                </c:pt>
                <c:pt idx="24">
                  <c:v>12.48</c:v>
                </c:pt>
              </c:numCache>
            </c:numRef>
          </c:val>
        </c:ser>
        <c:marker val="1"/>
        <c:axId val="240824320"/>
        <c:axId val="240810240"/>
      </c:lineChart>
      <c:catAx>
        <c:axId val="240770048"/>
        <c:scaling>
          <c:orientation val="minMax"/>
        </c:scaling>
        <c:axPos val="b"/>
        <c:numFmt formatCode="General" sourceLinked="0"/>
        <c:tickLblPos val="nextTo"/>
        <c:crossAx val="240808704"/>
        <c:crosses val="autoZero"/>
        <c:auto val="1"/>
        <c:lblAlgn val="ctr"/>
        <c:lblOffset val="100"/>
      </c:catAx>
      <c:valAx>
        <c:axId val="240808704"/>
        <c:scaling>
          <c:orientation val="minMax"/>
        </c:scaling>
        <c:axPos val="l"/>
        <c:majorGridlines/>
        <c:numFmt formatCode="General" sourceLinked="1"/>
        <c:tickLblPos val="nextTo"/>
        <c:crossAx val="240770048"/>
        <c:crosses val="autoZero"/>
        <c:crossBetween val="between"/>
      </c:valAx>
      <c:valAx>
        <c:axId val="240810240"/>
        <c:scaling>
          <c:orientation val="minMax"/>
        </c:scaling>
        <c:axPos val="r"/>
        <c:numFmt formatCode="General" sourceLinked="1"/>
        <c:tickLblPos val="nextTo"/>
        <c:crossAx val="240824320"/>
        <c:crosses val="max"/>
        <c:crossBetween val="between"/>
      </c:valAx>
      <c:catAx>
        <c:axId val="240824320"/>
        <c:scaling>
          <c:orientation val="minMax"/>
        </c:scaling>
        <c:delete val="1"/>
        <c:axPos val="b"/>
        <c:numFmt formatCode="General" sourceLinked="1"/>
        <c:tickLblPos val="none"/>
        <c:crossAx val="240810240"/>
        <c:crosses val="autoZero"/>
        <c:auto val="1"/>
        <c:lblAlgn val="ctr"/>
        <c:lblOffset val="100"/>
      </c:cat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9BAF9-BAB7-4A87-83E7-B8C19750C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Yu-Chen Liu</dc:creator>
  <cp:keywords/>
  <dc:description/>
  <cp:lastModifiedBy>eBulagao</cp:lastModifiedBy>
  <cp:revision>10</cp:revision>
  <dcterms:created xsi:type="dcterms:W3CDTF">2015-07-29T05:23:00Z</dcterms:created>
  <dcterms:modified xsi:type="dcterms:W3CDTF">2015-12-15T01:07:00Z</dcterms:modified>
</cp:coreProperties>
</file>