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F8" w:rsidRDefault="006A1BFB" w:rsidP="002423F8">
      <w:pPr>
        <w:rPr>
          <w:b/>
          <w:bCs/>
        </w:rPr>
      </w:pPr>
      <w:bookmarkStart w:id="0" w:name="_GoBack"/>
      <w:r>
        <w:rPr>
          <w:b/>
          <w:bCs/>
        </w:rPr>
        <w:t>Additional File 1</w:t>
      </w:r>
      <w:r w:rsidR="00670DC9">
        <w:rPr>
          <w:b/>
          <w:bCs/>
        </w:rPr>
        <w:t>6.</w:t>
      </w:r>
      <w:r w:rsidR="002423F8">
        <w:rPr>
          <w:b/>
          <w:bCs/>
        </w:rPr>
        <w:t xml:space="preserve"> </w:t>
      </w:r>
      <w:bookmarkEnd w:id="0"/>
      <w:proofErr w:type="spellStart"/>
      <w:r w:rsidR="002423F8">
        <w:rPr>
          <w:b/>
          <w:bCs/>
        </w:rPr>
        <w:t>Pfam</w:t>
      </w:r>
      <w:proofErr w:type="spellEnd"/>
      <w:r w:rsidR="002423F8">
        <w:rPr>
          <w:b/>
          <w:bCs/>
        </w:rPr>
        <w:t xml:space="preserve"> domains more abundant on predicted dispensable scaffolds in </w:t>
      </w:r>
      <w:r w:rsidR="002423F8" w:rsidRPr="00E72C01">
        <w:rPr>
          <w:b/>
          <w:bCs/>
          <w:i/>
        </w:rPr>
        <w:t>Foc</w:t>
      </w:r>
      <w:r w:rsidR="002423F8" w:rsidRPr="00E72C01">
        <w:rPr>
          <w:b/>
          <w:bCs/>
        </w:rPr>
        <w:t>-38-1</w:t>
      </w:r>
      <w:r w:rsidR="002423F8">
        <w:rPr>
          <w:b/>
          <w:bCs/>
        </w:rPr>
        <w:t>.</w:t>
      </w:r>
    </w:p>
    <w:tbl>
      <w:tblPr>
        <w:tblW w:w="8785" w:type="dxa"/>
        <w:tblInd w:w="93" w:type="dxa"/>
        <w:tblLayout w:type="fixed"/>
        <w:tblLook w:val="04A0"/>
      </w:tblPr>
      <w:tblGrid>
        <w:gridCol w:w="1757"/>
        <w:gridCol w:w="1757"/>
        <w:gridCol w:w="1757"/>
        <w:gridCol w:w="1757"/>
        <w:gridCol w:w="1757"/>
      </w:tblGrid>
      <w:tr w:rsidR="002423F8" w:rsidRPr="00327279" w:rsidTr="005C40F0">
        <w:trPr>
          <w:trHeight w:val="20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b/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b/>
                <w:sz w:val="20"/>
                <w:szCs w:val="20"/>
                <w:lang w:eastAsia="en-AU"/>
              </w:rPr>
              <w:t>Pfam</w:t>
            </w:r>
            <w:proofErr w:type="spellEnd"/>
            <w:r w:rsidRPr="00327279">
              <w:rPr>
                <w:b/>
                <w:sz w:val="20"/>
                <w:szCs w:val="20"/>
                <w:lang w:eastAsia="en-AU"/>
              </w:rPr>
              <w:t xml:space="preserve"> domain description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b/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b/>
                <w:sz w:val="20"/>
                <w:szCs w:val="20"/>
                <w:lang w:eastAsia="en-AU"/>
              </w:rPr>
              <w:t>Pfam</w:t>
            </w:r>
            <w:proofErr w:type="spellEnd"/>
            <w:r w:rsidRPr="00327279">
              <w:rPr>
                <w:b/>
                <w:sz w:val="20"/>
                <w:szCs w:val="20"/>
                <w:lang w:eastAsia="en-AU"/>
              </w:rPr>
              <w:t xml:space="preserve"> number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b/>
                <w:sz w:val="20"/>
                <w:szCs w:val="20"/>
                <w:lang w:eastAsia="en-AU"/>
              </w:rPr>
            </w:pPr>
            <w:r w:rsidRPr="00327279">
              <w:rPr>
                <w:b/>
                <w:sz w:val="20"/>
                <w:szCs w:val="20"/>
                <w:lang w:eastAsia="en-AU"/>
              </w:rPr>
              <w:t>Total number  of genes with domain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b/>
                <w:sz w:val="20"/>
                <w:szCs w:val="20"/>
                <w:lang w:eastAsia="en-AU"/>
              </w:rPr>
            </w:pPr>
            <w:r w:rsidRPr="00327279">
              <w:rPr>
                <w:b/>
                <w:sz w:val="20"/>
                <w:szCs w:val="20"/>
                <w:lang w:eastAsia="en-AU"/>
              </w:rPr>
              <w:t>Number of genes with domain on predicted dispensable scaffolds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b/>
                <w:sz w:val="20"/>
                <w:szCs w:val="20"/>
                <w:lang w:eastAsia="en-AU"/>
              </w:rPr>
            </w:pPr>
            <w:r w:rsidRPr="00327279">
              <w:rPr>
                <w:b/>
                <w:sz w:val="20"/>
                <w:szCs w:val="20"/>
                <w:lang w:eastAsia="en-AU"/>
              </w:rPr>
              <w:t>P-value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Ankyrin repeats (3 copies)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PF12796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189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74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4.66E-07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Ankyrin repeat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PF00023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188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72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1.21E-06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NACHT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PF05729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109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3.67E-06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Ankyrin repeats (many copies)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PF13637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182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4.30E-06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Ankyrin repeat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PF13606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183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4.94E-06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Ankyrin repeats (many copies)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PF13857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164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7.99E-06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Reverse transcriptase (RNA-dependent DNA polymerase)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PF07727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1.65E-05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Integrase core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PF00665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5.96E-05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DDE superfamily endonuclease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PF03184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6.05E-05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Helitron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327279">
              <w:rPr>
                <w:sz w:val="20"/>
                <w:szCs w:val="20"/>
                <w:lang w:eastAsia="en-AU"/>
              </w:rPr>
              <w:t>helicase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>-like domain at N-terminus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PF14214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1.50E-04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Protein of unknown function (DUF3505)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PF12013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2.17E-04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MULE transposase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PF10551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3.75E-04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PIF1-like helicase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PF05970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8.05E-04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Tetratricopeptide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repeat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PF13374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8.95E-04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bZIP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transcription factor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PF00170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1.23E-03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Phosphorylase superfamily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PF01048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1.60E-03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HNH endonuclease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PF13391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1.95E-03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Reverse transcriptase (RNA-dependent DNA polymerase)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PF00078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2.28E-03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NB-ARC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PF00931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3.01E-03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Patatin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-like </w:t>
            </w:r>
            <w:proofErr w:type="spellStart"/>
            <w:r w:rsidRPr="00327279">
              <w:rPr>
                <w:sz w:val="20"/>
                <w:szCs w:val="20"/>
                <w:lang w:eastAsia="en-AU"/>
              </w:rPr>
              <w:t>phospholipase</w:t>
            </w:r>
            <w:proofErr w:type="spellEnd"/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PF01734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4.61E-03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GAG-pre-integrase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PF13976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6.01E-03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Glycosyl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327279">
              <w:rPr>
                <w:sz w:val="20"/>
                <w:szCs w:val="20"/>
                <w:lang w:eastAsia="en-AU"/>
              </w:rPr>
              <w:t>hydrolases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family 18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PF00704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7.01E-03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Helix-loop-helix DNA-binding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PF00010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9.43E-03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Protein of unknown function (DUF3295)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PF11702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1.20E-02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lastRenderedPageBreak/>
              <w:t>Heterokaryon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incompatibility protein (HET)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PF06985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146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1.30E-02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hAT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family C-terminal </w:t>
            </w:r>
            <w:proofErr w:type="spellStart"/>
            <w:r w:rsidRPr="00327279">
              <w:rPr>
                <w:sz w:val="20"/>
                <w:szCs w:val="20"/>
                <w:lang w:eastAsia="en-AU"/>
              </w:rPr>
              <w:t>dimerisation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region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PF05699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1.36E-02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Chromo (</w:t>
            </w:r>
            <w:proofErr w:type="spellStart"/>
            <w:r w:rsidRPr="00327279">
              <w:rPr>
                <w:sz w:val="20"/>
                <w:szCs w:val="20"/>
                <w:lang w:eastAsia="en-AU"/>
              </w:rPr>
              <w:t>CHRromatin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Organisation </w:t>
            </w:r>
            <w:proofErr w:type="spellStart"/>
            <w:r w:rsidRPr="00327279">
              <w:rPr>
                <w:sz w:val="20"/>
                <w:szCs w:val="20"/>
                <w:lang w:eastAsia="en-AU"/>
              </w:rPr>
              <w:t>MOdifier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>)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PF00385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1.41E-02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Tc5 transposase DNA-binding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PF03221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1.41E-02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Putative phosphatase regulatory subunit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PF03370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1.84E-02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Protein of unknown function (DUF3723)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PF12520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1.84E-02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Est1 DNA/RNA binding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PF10373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1.84E-02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FAR1 DNA-binding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PF03101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1.84E-02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Tetratricopeptide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repeat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PF07721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1.84E-02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Ulp1 protease family, C-terminal catalytic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PF02902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1.91E-02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DDE superfamily endonuclease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PF13358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2.44E-02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Retrotransposon gag protein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PF03732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2.44E-02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Fungal protein of unknown function (DUF1752)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PF08550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2.64E-02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Basic region leucine zipper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PF07716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2.80E-02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Tetratricopeptide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repeat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PF13424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2.85E-02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BTB/POZ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PF00651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3.26E-02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Domain of unknown function DUF221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PF02714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3.30E-02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Protein of unknown function (DUF3435)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PF11917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3.59E-02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Endonuclease-reverse transcriptase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PF14529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3.59E-02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Tetratricopeptide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repeat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PF13431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32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4.22E-02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LysM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PF01476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4.38E-02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327279">
              <w:rPr>
                <w:sz w:val="20"/>
                <w:szCs w:val="20"/>
                <w:lang w:eastAsia="en-AU"/>
              </w:rPr>
              <w:t>Lysophospholipase</w:t>
            </w:r>
            <w:proofErr w:type="spellEnd"/>
            <w:r w:rsidRPr="00327279">
              <w:rPr>
                <w:sz w:val="20"/>
                <w:szCs w:val="20"/>
                <w:lang w:eastAsia="en-AU"/>
              </w:rPr>
              <w:t xml:space="preserve"> catalytic domain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PF01735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4.67E-02</w:t>
            </w:r>
          </w:p>
        </w:tc>
      </w:tr>
      <w:tr w:rsidR="002423F8" w:rsidRPr="00327279" w:rsidTr="005C40F0">
        <w:trPr>
          <w:trHeight w:val="20"/>
        </w:trPr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Zinc-finger double domain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center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PF13465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38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3F8" w:rsidRPr="00327279" w:rsidRDefault="002423F8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327279">
              <w:rPr>
                <w:sz w:val="20"/>
                <w:szCs w:val="20"/>
                <w:lang w:eastAsia="en-AU"/>
              </w:rPr>
              <w:t>4.99E-02</w:t>
            </w:r>
          </w:p>
        </w:tc>
      </w:tr>
    </w:tbl>
    <w:p w:rsidR="002423F8" w:rsidRDefault="002423F8" w:rsidP="002423F8">
      <w:pPr>
        <w:pStyle w:val="Tableheading"/>
        <w:outlineLvl w:val="0"/>
        <w:rPr>
          <w:b w:val="0"/>
        </w:rPr>
      </w:pPr>
    </w:p>
    <w:p w:rsidR="002423F8" w:rsidRDefault="002423F8" w:rsidP="002423F8">
      <w:pPr>
        <w:pStyle w:val="Tableheading"/>
        <w:outlineLvl w:val="0"/>
        <w:rPr>
          <w:b w:val="0"/>
        </w:rPr>
      </w:pPr>
    </w:p>
    <w:p w:rsidR="00187DBF" w:rsidRDefault="00187DBF"/>
    <w:sectPr w:rsidR="00187DBF" w:rsidSect="00E547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423F8"/>
    <w:rsid w:val="00187DBF"/>
    <w:rsid w:val="00236C60"/>
    <w:rsid w:val="002423F8"/>
    <w:rsid w:val="00282655"/>
    <w:rsid w:val="00670DC9"/>
    <w:rsid w:val="006A1BFB"/>
    <w:rsid w:val="00E5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F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link w:val="TableheadingChar"/>
    <w:qFormat/>
    <w:rsid w:val="002423F8"/>
    <w:pPr>
      <w:spacing w:line="240" w:lineRule="auto"/>
    </w:pPr>
    <w:rPr>
      <w:rFonts w:eastAsia="Times New Roman" w:cs="Times New Roman"/>
      <w:b/>
      <w:bCs/>
      <w:color w:val="000000"/>
      <w:szCs w:val="24"/>
      <w:lang w:eastAsia="en-AU"/>
    </w:rPr>
  </w:style>
  <w:style w:type="character" w:customStyle="1" w:styleId="TableheadingChar">
    <w:name w:val="Table heading Char"/>
    <w:basedOn w:val="DefaultParagraphFont"/>
    <w:link w:val="Tableheading"/>
    <w:rsid w:val="002423F8"/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styleId="NoSpacing">
    <w:name w:val="No Spacing"/>
    <w:uiPriority w:val="1"/>
    <w:qFormat/>
    <w:rsid w:val="002423F8"/>
    <w:pPr>
      <w:spacing w:after="0" w:line="240" w:lineRule="auto"/>
    </w:pPr>
    <w:rPr>
      <w:rFonts w:ascii="Times New Roman" w:hAnsi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36C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36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2356</Characters>
  <Application>Microsoft Office Word</Application>
  <DocSecurity>0</DocSecurity>
  <Lines>19</Lines>
  <Paragraphs>5</Paragraphs>
  <ScaleCrop>false</ScaleCrop>
  <Company>Toshiba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</dc:creator>
  <cp:lastModifiedBy>Williams, Angela (Agriculture, Floreat)</cp:lastModifiedBy>
  <cp:revision>4</cp:revision>
  <dcterms:created xsi:type="dcterms:W3CDTF">2015-07-02T09:09:00Z</dcterms:created>
  <dcterms:modified xsi:type="dcterms:W3CDTF">2015-12-22T06:55:00Z</dcterms:modified>
</cp:coreProperties>
</file>