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072" w:type="dxa"/>
        <w:tblInd w:w="-74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5"/>
        <w:gridCol w:w="992"/>
        <w:gridCol w:w="680"/>
        <w:gridCol w:w="730"/>
        <w:gridCol w:w="656"/>
        <w:gridCol w:w="656"/>
        <w:gridCol w:w="889"/>
        <w:gridCol w:w="901"/>
        <w:gridCol w:w="1023"/>
      </w:tblGrid>
      <w:tr w:rsidR="00694409" w:rsidRPr="00694409" w14:paraId="5E44477C" w14:textId="77777777" w:rsidTr="00027B46">
        <w:trPr>
          <w:trHeight w:val="300"/>
        </w:trPr>
        <w:tc>
          <w:tcPr>
            <w:tcW w:w="10072" w:type="dxa"/>
            <w:gridSpan w:val="9"/>
            <w:tcBorders>
              <w:top w:val="single" w:sz="4" w:space="0" w:color="FFFFFF" w:themeColor="background1"/>
              <w:bottom w:val="single" w:sz="4" w:space="0" w:color="auto"/>
            </w:tcBorders>
            <w:noWrap/>
          </w:tcPr>
          <w:p w14:paraId="66F58EF2" w14:textId="34F1E55C" w:rsidR="00694409" w:rsidRPr="004605BA" w:rsidRDefault="00694409" w:rsidP="0069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5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Table S</w:t>
            </w:r>
            <w:r w:rsidR="00DA51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  <w:r w:rsidRPr="004605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605BA" w:rsidRPr="004605BA">
              <w:rPr>
                <w:rFonts w:ascii="Times New Roman" w:hAnsi="Times New Roman" w:cs="Times New Roman"/>
                <w:color w:val="262626"/>
                <w:sz w:val="24"/>
                <w:szCs w:val="24"/>
                <w:lang w:val="en-US"/>
              </w:rPr>
              <w:t>Small cysteine-rich eff</w:t>
            </w:r>
            <w:bookmarkStart w:id="0" w:name="_GoBack"/>
            <w:bookmarkEnd w:id="0"/>
            <w:r w:rsidR="004605BA" w:rsidRPr="004605BA">
              <w:rPr>
                <w:rFonts w:ascii="Times New Roman" w:hAnsi="Times New Roman" w:cs="Times New Roman"/>
                <w:color w:val="262626"/>
                <w:sz w:val="24"/>
                <w:szCs w:val="24"/>
                <w:lang w:val="en-US"/>
              </w:rPr>
              <w:t>ector proteins with a size of less than 400 amino acids</w:t>
            </w:r>
            <w:r w:rsidR="004605BA" w:rsidRPr="004605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05BA">
              <w:rPr>
                <w:rFonts w:ascii="Times New Roman" w:hAnsi="Times New Roman" w:cs="Times New Roman"/>
                <w:sz w:val="24"/>
                <w:szCs w:val="24"/>
              </w:rPr>
              <w:t xml:space="preserve">predicted for 5 </w:t>
            </w:r>
            <w:r w:rsidRPr="004605BA">
              <w:rPr>
                <w:rFonts w:ascii="Times New Roman" w:hAnsi="Times New Roman" w:cs="Times New Roman"/>
                <w:i/>
                <w:sz w:val="24"/>
                <w:szCs w:val="24"/>
              </w:rPr>
              <w:t>R. solani</w:t>
            </w:r>
            <w:r w:rsidRPr="004605BA">
              <w:rPr>
                <w:rFonts w:ascii="Times New Roman" w:hAnsi="Times New Roman" w:cs="Times New Roman"/>
                <w:sz w:val="24"/>
                <w:szCs w:val="24"/>
              </w:rPr>
              <w:t xml:space="preserve"> AGs, </w:t>
            </w:r>
            <w:proofErr w:type="spellStart"/>
            <w:r w:rsidRPr="004605BA">
              <w:rPr>
                <w:rFonts w:ascii="Times New Roman" w:hAnsi="Times New Roman" w:cs="Times New Roman"/>
                <w:i/>
                <w:sz w:val="24"/>
                <w:szCs w:val="24"/>
              </w:rPr>
              <w:t>Ustilago</w:t>
            </w:r>
            <w:proofErr w:type="spellEnd"/>
            <w:r w:rsidRPr="004605B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605BA">
              <w:rPr>
                <w:rFonts w:ascii="Times New Roman" w:hAnsi="Times New Roman" w:cs="Times New Roman"/>
                <w:i/>
                <w:sz w:val="24"/>
                <w:szCs w:val="24"/>
              </w:rPr>
              <w:t>maydis</w:t>
            </w:r>
            <w:proofErr w:type="spellEnd"/>
            <w:r w:rsidRPr="004605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605BA">
              <w:rPr>
                <w:rFonts w:ascii="Times New Roman" w:hAnsi="Times New Roman" w:cs="Times New Roman"/>
                <w:i/>
                <w:sz w:val="24"/>
                <w:szCs w:val="24"/>
              </w:rPr>
              <w:t>Verticillium dahliae</w:t>
            </w:r>
            <w:r w:rsidRPr="004605B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4605BA">
              <w:rPr>
                <w:rFonts w:ascii="Times New Roman" w:hAnsi="Times New Roman" w:cs="Times New Roman"/>
                <w:i/>
                <w:sz w:val="24"/>
                <w:szCs w:val="24"/>
              </w:rPr>
              <w:t>Pythium</w:t>
            </w:r>
            <w:proofErr w:type="spellEnd"/>
            <w:r w:rsidRPr="004605B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605BA">
              <w:rPr>
                <w:rFonts w:ascii="Times New Roman" w:hAnsi="Times New Roman" w:cs="Times New Roman"/>
                <w:i/>
                <w:sz w:val="24"/>
                <w:szCs w:val="24"/>
              </w:rPr>
              <w:t>ultimum</w:t>
            </w:r>
            <w:proofErr w:type="spellEnd"/>
            <w:r w:rsidRPr="00460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79D744" w14:textId="77777777" w:rsidR="00694409" w:rsidRPr="00694409" w:rsidRDefault="00694409" w:rsidP="004A619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4409" w:rsidRPr="004E50ED" w14:paraId="51BD7B7A" w14:textId="77777777" w:rsidTr="00027B46">
        <w:trPr>
          <w:trHeight w:val="300"/>
        </w:trPr>
        <w:tc>
          <w:tcPr>
            <w:tcW w:w="3545" w:type="dxa"/>
            <w:tcBorders>
              <w:top w:val="single" w:sz="4" w:space="0" w:color="auto"/>
              <w:bottom w:val="single" w:sz="4" w:space="0" w:color="FFFFFF" w:themeColor="background1"/>
            </w:tcBorders>
            <w:noWrap/>
            <w:hideMark/>
          </w:tcPr>
          <w:p w14:paraId="7C773C9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FFFFFF" w:themeColor="background1"/>
            </w:tcBorders>
            <w:noWrap/>
            <w:hideMark/>
          </w:tcPr>
          <w:p w14:paraId="055C067C" w14:textId="77777777" w:rsidR="00694409" w:rsidRPr="004E50ED" w:rsidRDefault="00694409" w:rsidP="004A619D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E50ED">
              <w:rPr>
                <w:rFonts w:ascii="Times New Roman" w:hAnsi="Times New Roman" w:cs="Times New Roman"/>
                <w:b/>
                <w:bCs/>
                <w:sz w:val="20"/>
              </w:rPr>
              <w:t>AG1-1A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FFFFFF" w:themeColor="background1"/>
            </w:tcBorders>
            <w:noWrap/>
            <w:hideMark/>
          </w:tcPr>
          <w:p w14:paraId="36717B52" w14:textId="77777777" w:rsidR="00694409" w:rsidRPr="004E50ED" w:rsidRDefault="00694409" w:rsidP="004A619D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E50ED">
              <w:rPr>
                <w:rFonts w:ascii="Times New Roman" w:hAnsi="Times New Roman" w:cs="Times New Roman"/>
                <w:b/>
                <w:bCs/>
                <w:sz w:val="20"/>
              </w:rPr>
              <w:t>AG1-1B</w:t>
            </w:r>
          </w:p>
        </w:tc>
        <w:tc>
          <w:tcPr>
            <w:tcW w:w="730" w:type="dxa"/>
            <w:tcBorders>
              <w:top w:val="single" w:sz="4" w:space="0" w:color="auto"/>
              <w:bottom w:val="single" w:sz="4" w:space="0" w:color="FFFFFF" w:themeColor="background1"/>
            </w:tcBorders>
            <w:noWrap/>
            <w:hideMark/>
          </w:tcPr>
          <w:p w14:paraId="3A94BC13" w14:textId="77777777" w:rsidR="00694409" w:rsidRPr="004E50ED" w:rsidRDefault="00694409" w:rsidP="004A619D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E50ED">
              <w:rPr>
                <w:rFonts w:ascii="Times New Roman" w:hAnsi="Times New Roman" w:cs="Times New Roman"/>
                <w:b/>
                <w:bCs/>
                <w:sz w:val="20"/>
              </w:rPr>
              <w:t>AG2-2IIIB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FFFFFF" w:themeColor="background1"/>
            </w:tcBorders>
            <w:noWrap/>
            <w:hideMark/>
          </w:tcPr>
          <w:p w14:paraId="77000316" w14:textId="77777777" w:rsidR="00694409" w:rsidRPr="004E50ED" w:rsidRDefault="00694409" w:rsidP="004A619D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E50ED">
              <w:rPr>
                <w:rFonts w:ascii="Times New Roman" w:hAnsi="Times New Roman" w:cs="Times New Roman"/>
                <w:b/>
                <w:bCs/>
                <w:sz w:val="20"/>
              </w:rPr>
              <w:t>AG3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FFFFFF" w:themeColor="background1"/>
            </w:tcBorders>
            <w:noWrap/>
            <w:hideMark/>
          </w:tcPr>
          <w:p w14:paraId="56834931" w14:textId="77777777" w:rsidR="00694409" w:rsidRPr="004E50ED" w:rsidRDefault="00694409" w:rsidP="004A619D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E50ED">
              <w:rPr>
                <w:rFonts w:ascii="Times New Roman" w:hAnsi="Times New Roman" w:cs="Times New Roman"/>
                <w:b/>
                <w:bCs/>
                <w:sz w:val="20"/>
              </w:rPr>
              <w:t>AG8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FFFFFF" w:themeColor="background1"/>
            </w:tcBorders>
            <w:noWrap/>
            <w:hideMark/>
          </w:tcPr>
          <w:p w14:paraId="059BD3B7" w14:textId="77777777" w:rsidR="00694409" w:rsidRPr="004E50ED" w:rsidRDefault="00694409" w:rsidP="004A619D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4E50ED">
              <w:rPr>
                <w:rFonts w:ascii="Times New Roman" w:hAnsi="Times New Roman" w:cs="Times New Roman"/>
                <w:b/>
                <w:bCs/>
                <w:i/>
                <w:sz w:val="20"/>
              </w:rPr>
              <w:t xml:space="preserve">U. </w:t>
            </w:r>
            <w:proofErr w:type="spellStart"/>
            <w:proofErr w:type="gramStart"/>
            <w:r w:rsidRPr="004E50ED">
              <w:rPr>
                <w:rFonts w:ascii="Times New Roman" w:hAnsi="Times New Roman" w:cs="Times New Roman"/>
                <w:b/>
                <w:bCs/>
                <w:i/>
                <w:sz w:val="20"/>
              </w:rPr>
              <w:t>maydis</w:t>
            </w:r>
            <w:proofErr w:type="spellEnd"/>
            <w:proofErr w:type="gramEnd"/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FFFFFF" w:themeColor="background1"/>
            </w:tcBorders>
            <w:noWrap/>
            <w:hideMark/>
          </w:tcPr>
          <w:p w14:paraId="4615D112" w14:textId="77777777" w:rsidR="00694409" w:rsidRPr="004E50ED" w:rsidRDefault="00694409" w:rsidP="004A619D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4E50ED">
              <w:rPr>
                <w:rFonts w:ascii="Times New Roman" w:hAnsi="Times New Roman" w:cs="Times New Roman"/>
                <w:b/>
                <w:bCs/>
                <w:i/>
                <w:sz w:val="20"/>
              </w:rPr>
              <w:t xml:space="preserve">V. </w:t>
            </w:r>
            <w:proofErr w:type="gramStart"/>
            <w:r w:rsidRPr="004E50ED">
              <w:rPr>
                <w:rFonts w:ascii="Times New Roman" w:hAnsi="Times New Roman" w:cs="Times New Roman"/>
                <w:b/>
                <w:bCs/>
                <w:i/>
                <w:sz w:val="20"/>
              </w:rPr>
              <w:t>dahliae</w:t>
            </w:r>
            <w:proofErr w:type="gramEnd"/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FFFFFF" w:themeColor="background1"/>
            </w:tcBorders>
            <w:noWrap/>
            <w:hideMark/>
          </w:tcPr>
          <w:p w14:paraId="4E028537" w14:textId="77777777" w:rsidR="00694409" w:rsidRPr="004E50ED" w:rsidRDefault="00694409" w:rsidP="004A619D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4E50ED">
              <w:rPr>
                <w:rFonts w:ascii="Times New Roman" w:hAnsi="Times New Roman" w:cs="Times New Roman"/>
                <w:b/>
                <w:bCs/>
                <w:i/>
                <w:sz w:val="20"/>
              </w:rPr>
              <w:t xml:space="preserve">P. </w:t>
            </w:r>
            <w:proofErr w:type="spellStart"/>
            <w:proofErr w:type="gramStart"/>
            <w:r w:rsidRPr="004E50ED">
              <w:rPr>
                <w:rFonts w:ascii="Times New Roman" w:hAnsi="Times New Roman" w:cs="Times New Roman"/>
                <w:b/>
                <w:bCs/>
                <w:i/>
                <w:sz w:val="20"/>
              </w:rPr>
              <w:t>ultimum</w:t>
            </w:r>
            <w:proofErr w:type="spellEnd"/>
            <w:proofErr w:type="gramEnd"/>
          </w:p>
        </w:tc>
      </w:tr>
      <w:tr w:rsidR="00694409" w:rsidRPr="004E50ED" w14:paraId="3DF49BB4" w14:textId="77777777" w:rsidTr="00027B46">
        <w:trPr>
          <w:trHeight w:val="300"/>
        </w:trPr>
        <w:tc>
          <w:tcPr>
            <w:tcW w:w="3545" w:type="dxa"/>
            <w:tcBorders>
              <w:top w:val="single" w:sz="4" w:space="0" w:color="FFFFFF" w:themeColor="background1"/>
            </w:tcBorders>
            <w:noWrap/>
            <w:hideMark/>
          </w:tcPr>
          <w:p w14:paraId="733CD934" w14:textId="77777777" w:rsidR="00027B46" w:rsidRPr="004E50ED" w:rsidRDefault="00027B46" w:rsidP="004A619D">
            <w:pPr>
              <w:rPr>
                <w:rFonts w:ascii="Times New Roman" w:hAnsi="Times New Roman" w:cs="Times New Roman"/>
                <w:sz w:val="20"/>
              </w:rPr>
            </w:pPr>
          </w:p>
          <w:p w14:paraId="6D36D1C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acetyl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E50ED">
              <w:rPr>
                <w:rFonts w:ascii="Times New Roman" w:hAnsi="Times New Roman" w:cs="Times New Roman"/>
                <w:sz w:val="20"/>
              </w:rPr>
              <w:t>xylan</w:t>
            </w:r>
            <w:proofErr w:type="spellEnd"/>
            <w:r w:rsidRPr="004E50ED">
              <w:rPr>
                <w:rFonts w:ascii="Times New Roman" w:hAnsi="Times New Roman" w:cs="Times New Roman"/>
                <w:sz w:val="20"/>
              </w:rPr>
              <w:t xml:space="preserve"> esterase</w:t>
            </w:r>
          </w:p>
        </w:tc>
        <w:tc>
          <w:tcPr>
            <w:tcW w:w="992" w:type="dxa"/>
            <w:tcBorders>
              <w:top w:val="single" w:sz="4" w:space="0" w:color="FFFFFF" w:themeColor="background1"/>
            </w:tcBorders>
            <w:noWrap/>
            <w:hideMark/>
          </w:tcPr>
          <w:p w14:paraId="00658F8A" w14:textId="77777777" w:rsidR="00027B46" w:rsidRPr="004E50ED" w:rsidRDefault="00027B46" w:rsidP="004A619D">
            <w:pPr>
              <w:rPr>
                <w:rFonts w:ascii="Times New Roman" w:hAnsi="Times New Roman" w:cs="Times New Roman"/>
                <w:sz w:val="20"/>
              </w:rPr>
            </w:pPr>
          </w:p>
          <w:p w14:paraId="6B19E28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tcBorders>
              <w:top w:val="single" w:sz="4" w:space="0" w:color="FFFFFF" w:themeColor="background1"/>
            </w:tcBorders>
            <w:noWrap/>
            <w:hideMark/>
          </w:tcPr>
          <w:p w14:paraId="5340471F" w14:textId="77777777" w:rsidR="00027B46" w:rsidRPr="004E50ED" w:rsidRDefault="00027B46" w:rsidP="004A619D">
            <w:pPr>
              <w:rPr>
                <w:rFonts w:ascii="Times New Roman" w:hAnsi="Times New Roman" w:cs="Times New Roman"/>
                <w:sz w:val="20"/>
              </w:rPr>
            </w:pPr>
          </w:p>
          <w:p w14:paraId="5B145A5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tcBorders>
              <w:top w:val="single" w:sz="4" w:space="0" w:color="FFFFFF" w:themeColor="background1"/>
            </w:tcBorders>
            <w:noWrap/>
            <w:hideMark/>
          </w:tcPr>
          <w:p w14:paraId="63F54D9F" w14:textId="77777777" w:rsidR="00027B46" w:rsidRPr="004E50ED" w:rsidRDefault="00027B46" w:rsidP="004A619D">
            <w:pPr>
              <w:rPr>
                <w:rFonts w:ascii="Times New Roman" w:hAnsi="Times New Roman" w:cs="Times New Roman"/>
                <w:sz w:val="20"/>
              </w:rPr>
            </w:pPr>
          </w:p>
          <w:p w14:paraId="36DA9AD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tcBorders>
              <w:top w:val="single" w:sz="4" w:space="0" w:color="FFFFFF" w:themeColor="background1"/>
            </w:tcBorders>
            <w:noWrap/>
            <w:hideMark/>
          </w:tcPr>
          <w:p w14:paraId="54AFC16D" w14:textId="77777777" w:rsidR="00027B46" w:rsidRPr="004E50ED" w:rsidRDefault="00027B46" w:rsidP="004A619D">
            <w:pPr>
              <w:rPr>
                <w:rFonts w:ascii="Times New Roman" w:hAnsi="Times New Roman" w:cs="Times New Roman"/>
                <w:sz w:val="20"/>
              </w:rPr>
            </w:pPr>
          </w:p>
          <w:p w14:paraId="7B72FEC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tcBorders>
              <w:top w:val="single" w:sz="4" w:space="0" w:color="FFFFFF" w:themeColor="background1"/>
            </w:tcBorders>
            <w:noWrap/>
            <w:hideMark/>
          </w:tcPr>
          <w:p w14:paraId="759C4551" w14:textId="77777777" w:rsidR="00027B46" w:rsidRPr="004E50ED" w:rsidRDefault="00027B46" w:rsidP="004A619D">
            <w:pPr>
              <w:rPr>
                <w:rFonts w:ascii="Times New Roman" w:hAnsi="Times New Roman" w:cs="Times New Roman"/>
                <w:sz w:val="20"/>
              </w:rPr>
            </w:pPr>
          </w:p>
          <w:p w14:paraId="05A4D58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tcBorders>
              <w:top w:val="single" w:sz="4" w:space="0" w:color="FFFFFF" w:themeColor="background1"/>
            </w:tcBorders>
            <w:noWrap/>
            <w:hideMark/>
          </w:tcPr>
          <w:p w14:paraId="071C22A6" w14:textId="77777777" w:rsidR="00027B46" w:rsidRPr="004E50ED" w:rsidRDefault="00027B46" w:rsidP="004A619D">
            <w:pPr>
              <w:rPr>
                <w:rFonts w:ascii="Times New Roman" w:hAnsi="Times New Roman" w:cs="Times New Roman"/>
                <w:sz w:val="20"/>
              </w:rPr>
            </w:pPr>
          </w:p>
          <w:p w14:paraId="1F9FC58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tcBorders>
              <w:top w:val="single" w:sz="4" w:space="0" w:color="FFFFFF" w:themeColor="background1"/>
            </w:tcBorders>
            <w:noWrap/>
            <w:hideMark/>
          </w:tcPr>
          <w:p w14:paraId="5D69F546" w14:textId="77777777" w:rsidR="00027B46" w:rsidRPr="004E50ED" w:rsidRDefault="00027B46" w:rsidP="004A619D">
            <w:pPr>
              <w:rPr>
                <w:rFonts w:ascii="Times New Roman" w:hAnsi="Times New Roman" w:cs="Times New Roman"/>
                <w:sz w:val="20"/>
              </w:rPr>
            </w:pPr>
          </w:p>
          <w:p w14:paraId="4F68A13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23" w:type="dxa"/>
            <w:tcBorders>
              <w:top w:val="single" w:sz="4" w:space="0" w:color="FFFFFF" w:themeColor="background1"/>
            </w:tcBorders>
            <w:noWrap/>
            <w:hideMark/>
          </w:tcPr>
          <w:p w14:paraId="44F35665" w14:textId="77777777" w:rsidR="00027B46" w:rsidRPr="004E50ED" w:rsidRDefault="00027B46" w:rsidP="004A619D">
            <w:pPr>
              <w:rPr>
                <w:rFonts w:ascii="Times New Roman" w:hAnsi="Times New Roman" w:cs="Times New Roman"/>
                <w:sz w:val="20"/>
              </w:rPr>
            </w:pPr>
          </w:p>
          <w:p w14:paraId="7BFD42B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53249AC6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6C0617B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allergen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protein</w:t>
            </w:r>
          </w:p>
        </w:tc>
        <w:tc>
          <w:tcPr>
            <w:tcW w:w="992" w:type="dxa"/>
            <w:noWrap/>
            <w:hideMark/>
          </w:tcPr>
          <w:p w14:paraId="40C9953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80" w:type="dxa"/>
            <w:noWrap/>
            <w:hideMark/>
          </w:tcPr>
          <w:p w14:paraId="106E13A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0" w:type="dxa"/>
            <w:noWrap/>
            <w:hideMark/>
          </w:tcPr>
          <w:p w14:paraId="69F4E21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729309F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0DF3032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89" w:type="dxa"/>
            <w:noWrap/>
            <w:hideMark/>
          </w:tcPr>
          <w:p w14:paraId="3ECBE91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01" w:type="dxa"/>
            <w:noWrap/>
            <w:hideMark/>
          </w:tcPr>
          <w:p w14:paraId="2FBB25D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39A6E82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4DBFE535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3E5274C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alpha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beta-hydrolase</w:t>
            </w:r>
          </w:p>
        </w:tc>
        <w:tc>
          <w:tcPr>
            <w:tcW w:w="992" w:type="dxa"/>
            <w:noWrap/>
            <w:hideMark/>
          </w:tcPr>
          <w:p w14:paraId="7C56976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20FB7BE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6ACDF26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79D992A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2ADB780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4098149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255A7DE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1B9C143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13DDE940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55C905A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b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chain crystal structure</w:t>
            </w:r>
          </w:p>
        </w:tc>
        <w:tc>
          <w:tcPr>
            <w:tcW w:w="992" w:type="dxa"/>
            <w:noWrap/>
            <w:hideMark/>
          </w:tcPr>
          <w:p w14:paraId="1BEBE5D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43DD25B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15FD020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2643758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05006B4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7C1F3A5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550EB98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30F075A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694409" w:rsidRPr="004E50ED" w14:paraId="27AAA860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4349F97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beta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4E50ED">
              <w:rPr>
                <w:rFonts w:ascii="Times New Roman" w:hAnsi="Times New Roman" w:cs="Times New Roman"/>
                <w:sz w:val="20"/>
              </w:rPr>
              <w:t>glucan</w:t>
            </w:r>
            <w:proofErr w:type="spellEnd"/>
            <w:r w:rsidRPr="004E50ED">
              <w:rPr>
                <w:rFonts w:ascii="Times New Roman" w:hAnsi="Times New Roman" w:cs="Times New Roman"/>
                <w:sz w:val="20"/>
              </w:rPr>
              <w:t xml:space="preserve"> synthesis-associated</w:t>
            </w:r>
          </w:p>
        </w:tc>
        <w:tc>
          <w:tcPr>
            <w:tcW w:w="992" w:type="dxa"/>
            <w:noWrap/>
            <w:hideMark/>
          </w:tcPr>
          <w:p w14:paraId="07F4336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3E65DDB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64F6F49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7112398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6335760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14FE257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74F10DA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5EA62A1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694409" w:rsidRPr="004E50ED" w14:paraId="13080C08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590A3EC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biotrophy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>-associated secreted protein 2</w:t>
            </w:r>
          </w:p>
        </w:tc>
        <w:tc>
          <w:tcPr>
            <w:tcW w:w="992" w:type="dxa"/>
            <w:noWrap/>
            <w:hideMark/>
          </w:tcPr>
          <w:p w14:paraId="7917DC5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236DEE3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4B57CB4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021F52B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06B4249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47ECC25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60E7B23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3AD1B9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093B2E2A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36C24DC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calcineurin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-like </w:t>
            </w:r>
            <w:proofErr w:type="spellStart"/>
            <w:r w:rsidRPr="004E50ED">
              <w:rPr>
                <w:rFonts w:ascii="Times New Roman" w:hAnsi="Times New Roman" w:cs="Times New Roman"/>
                <w:sz w:val="20"/>
              </w:rPr>
              <w:t>phosphoesterase</w:t>
            </w:r>
            <w:proofErr w:type="spellEnd"/>
          </w:p>
        </w:tc>
        <w:tc>
          <w:tcPr>
            <w:tcW w:w="992" w:type="dxa"/>
            <w:noWrap/>
            <w:hideMark/>
          </w:tcPr>
          <w:p w14:paraId="572E679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2A49E53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6FEAB65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1A61CEC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35471B9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03FA1B2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2CF0F3A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32BFF58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694409" w:rsidRPr="004E50ED" w14:paraId="3773ACCD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3E66A6D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carbohydrate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esterase</w:t>
            </w:r>
          </w:p>
        </w:tc>
        <w:tc>
          <w:tcPr>
            <w:tcW w:w="992" w:type="dxa"/>
            <w:noWrap/>
            <w:hideMark/>
          </w:tcPr>
          <w:p w14:paraId="031C99E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7B48BAB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302FADC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3029F3E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547F75A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38D18E7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5A533C4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63D445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77C70F43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6BB8FD3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carbohydrate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>-binding</w:t>
            </w:r>
          </w:p>
        </w:tc>
        <w:tc>
          <w:tcPr>
            <w:tcW w:w="992" w:type="dxa"/>
            <w:noWrap/>
            <w:hideMark/>
          </w:tcPr>
          <w:p w14:paraId="32D7823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10AB8AC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0" w:type="dxa"/>
            <w:noWrap/>
            <w:hideMark/>
          </w:tcPr>
          <w:p w14:paraId="1FF754A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6E7831A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1415FEC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89" w:type="dxa"/>
            <w:noWrap/>
            <w:hideMark/>
          </w:tcPr>
          <w:p w14:paraId="2ADCF99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7A5F8D4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3EBD1B2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694409" w:rsidRPr="004E50ED" w14:paraId="71A53334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2AA17FB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cell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wall protein</w:t>
            </w:r>
          </w:p>
        </w:tc>
        <w:tc>
          <w:tcPr>
            <w:tcW w:w="992" w:type="dxa"/>
            <w:noWrap/>
            <w:hideMark/>
          </w:tcPr>
          <w:p w14:paraId="10AD6B6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67FEBCD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329F5D3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26C71FE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401ED6F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7A29FF4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3833F59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C61090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5FEF3074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69AA38E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cellulose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binding elicitor </w:t>
            </w:r>
            <w:proofErr w:type="spellStart"/>
            <w:r w:rsidRPr="004E50ED">
              <w:rPr>
                <w:rFonts w:ascii="Times New Roman" w:hAnsi="Times New Roman" w:cs="Times New Roman"/>
                <w:sz w:val="20"/>
              </w:rPr>
              <w:t>lectin</w:t>
            </w:r>
            <w:proofErr w:type="spellEnd"/>
          </w:p>
        </w:tc>
        <w:tc>
          <w:tcPr>
            <w:tcW w:w="992" w:type="dxa"/>
            <w:noWrap/>
            <w:hideMark/>
          </w:tcPr>
          <w:p w14:paraId="42565FE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06AA9E5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5A88BBD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4A9AA08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290C9C0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63CA9B9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6EC01B5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5AE6B65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694409" w:rsidRPr="004E50ED" w14:paraId="5D74B9D8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7622B91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cfem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domain protein (fungal pathogenesis)</w:t>
            </w:r>
          </w:p>
        </w:tc>
        <w:tc>
          <w:tcPr>
            <w:tcW w:w="992" w:type="dxa"/>
            <w:noWrap/>
            <w:hideMark/>
          </w:tcPr>
          <w:p w14:paraId="2D23973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80" w:type="dxa"/>
            <w:noWrap/>
            <w:hideMark/>
          </w:tcPr>
          <w:p w14:paraId="496D46E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30" w:type="dxa"/>
            <w:noWrap/>
            <w:hideMark/>
          </w:tcPr>
          <w:p w14:paraId="004562D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00EE571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656" w:type="dxa"/>
            <w:noWrap/>
            <w:hideMark/>
          </w:tcPr>
          <w:p w14:paraId="528F8D3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89" w:type="dxa"/>
            <w:noWrap/>
            <w:hideMark/>
          </w:tcPr>
          <w:p w14:paraId="6829048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089F9F2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23" w:type="dxa"/>
            <w:noWrap/>
            <w:hideMark/>
          </w:tcPr>
          <w:p w14:paraId="6EA8D15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27339EAE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620A846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chat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domain protein</w:t>
            </w:r>
          </w:p>
        </w:tc>
        <w:tc>
          <w:tcPr>
            <w:tcW w:w="992" w:type="dxa"/>
            <w:noWrap/>
            <w:hideMark/>
          </w:tcPr>
          <w:p w14:paraId="4885998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4860193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29B4949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0FB572D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3F03AA5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0AAA148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39E2923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440FA4D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3C74C6EB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025B332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chitin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binding protein</w:t>
            </w:r>
          </w:p>
        </w:tc>
        <w:tc>
          <w:tcPr>
            <w:tcW w:w="992" w:type="dxa"/>
            <w:noWrap/>
            <w:hideMark/>
          </w:tcPr>
          <w:p w14:paraId="7FC5627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526025A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30" w:type="dxa"/>
            <w:noWrap/>
            <w:hideMark/>
          </w:tcPr>
          <w:p w14:paraId="4D91A37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56" w:type="dxa"/>
            <w:noWrap/>
            <w:hideMark/>
          </w:tcPr>
          <w:p w14:paraId="67396C6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21010A5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3FF620F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605B858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321DCE0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3B1C2385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66FFF4F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choline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transport protein</w:t>
            </w:r>
          </w:p>
        </w:tc>
        <w:tc>
          <w:tcPr>
            <w:tcW w:w="992" w:type="dxa"/>
            <w:noWrap/>
            <w:hideMark/>
          </w:tcPr>
          <w:p w14:paraId="0464BE0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27DA214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763A7BD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3CAF223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25C113F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7B27BF1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3EDB102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75077B8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05A472C4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418B87D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collagen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>-like protein mcl1</w:t>
            </w:r>
          </w:p>
        </w:tc>
        <w:tc>
          <w:tcPr>
            <w:tcW w:w="992" w:type="dxa"/>
            <w:noWrap/>
            <w:hideMark/>
          </w:tcPr>
          <w:p w14:paraId="20E7643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67FBE69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45CA4EE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7D41CD2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60685E2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1EF2053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45BF0E8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4D9C70E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4E1FA2DC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10D36DB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cop8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partial</w:t>
            </w:r>
          </w:p>
        </w:tc>
        <w:tc>
          <w:tcPr>
            <w:tcW w:w="992" w:type="dxa"/>
            <w:noWrap/>
            <w:hideMark/>
          </w:tcPr>
          <w:p w14:paraId="1A240AC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73BD2D5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30" w:type="dxa"/>
            <w:noWrap/>
            <w:hideMark/>
          </w:tcPr>
          <w:p w14:paraId="3B81F27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033ED8F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1D15E4C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89" w:type="dxa"/>
            <w:noWrap/>
            <w:hideMark/>
          </w:tcPr>
          <w:p w14:paraId="6BF7765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0F84181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599BEEA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7B2E7569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2EB7A71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cutinase</w:t>
            </w:r>
            <w:proofErr w:type="spellEnd"/>
            <w:proofErr w:type="gramEnd"/>
          </w:p>
        </w:tc>
        <w:tc>
          <w:tcPr>
            <w:tcW w:w="992" w:type="dxa"/>
            <w:noWrap/>
            <w:hideMark/>
          </w:tcPr>
          <w:p w14:paraId="5692F18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5E48BAC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273181D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314ED50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384EF85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4899B4B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4BB6902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35C5AA9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60215791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405B487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cysteine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protease family</w:t>
            </w:r>
          </w:p>
        </w:tc>
        <w:tc>
          <w:tcPr>
            <w:tcW w:w="992" w:type="dxa"/>
            <w:noWrap/>
            <w:hideMark/>
          </w:tcPr>
          <w:p w14:paraId="08F6BDF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7CE1847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72A2BE3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6869063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202181D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407FF97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08921F9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68D21FF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694409" w:rsidRPr="004E50ED" w14:paraId="27BDF385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7A2933C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cysteine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>-rich protein</w:t>
            </w:r>
          </w:p>
        </w:tc>
        <w:tc>
          <w:tcPr>
            <w:tcW w:w="992" w:type="dxa"/>
            <w:noWrap/>
            <w:hideMark/>
          </w:tcPr>
          <w:p w14:paraId="19B4854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3D68E35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7BE7049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68A8936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262B182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5E4A6C2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6824FCA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6DFD414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694409" w:rsidRPr="004E50ED" w14:paraId="70420C4A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3D340E1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dehydrogenase</w:t>
            </w:r>
            <w:proofErr w:type="gramEnd"/>
          </w:p>
        </w:tc>
        <w:tc>
          <w:tcPr>
            <w:tcW w:w="992" w:type="dxa"/>
            <w:noWrap/>
            <w:hideMark/>
          </w:tcPr>
          <w:p w14:paraId="110E050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61E330C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30" w:type="dxa"/>
            <w:noWrap/>
            <w:hideMark/>
          </w:tcPr>
          <w:p w14:paraId="63D4648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56" w:type="dxa"/>
            <w:noWrap/>
            <w:hideMark/>
          </w:tcPr>
          <w:p w14:paraId="6621FF3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4147B45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76DE80F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01" w:type="dxa"/>
            <w:noWrap/>
            <w:hideMark/>
          </w:tcPr>
          <w:p w14:paraId="51074EC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20657B9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694409" w:rsidRPr="004E50ED" w14:paraId="6F63AA57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30DE6FF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elicitin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>-like protein</w:t>
            </w:r>
          </w:p>
        </w:tc>
        <w:tc>
          <w:tcPr>
            <w:tcW w:w="992" w:type="dxa"/>
            <w:noWrap/>
            <w:hideMark/>
          </w:tcPr>
          <w:p w14:paraId="60792A2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2353A79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5B51EC6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70E7185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6C9E85A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187AE1E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3D38A98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41CCF87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694409" w:rsidRPr="004E50ED" w14:paraId="1527A37B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5D8ABAA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endoglucanase</w:t>
            </w:r>
            <w:proofErr w:type="spellEnd"/>
            <w:proofErr w:type="gramEnd"/>
          </w:p>
        </w:tc>
        <w:tc>
          <w:tcPr>
            <w:tcW w:w="992" w:type="dxa"/>
            <w:noWrap/>
            <w:hideMark/>
          </w:tcPr>
          <w:p w14:paraId="2E2753A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35C06C2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320303F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38BCF49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44007CC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61C0C1E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3ADB974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54863C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4EF930D3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2CB75A4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epl1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protein</w:t>
            </w:r>
          </w:p>
        </w:tc>
        <w:tc>
          <w:tcPr>
            <w:tcW w:w="992" w:type="dxa"/>
            <w:noWrap/>
            <w:hideMark/>
          </w:tcPr>
          <w:p w14:paraId="110F69A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1754076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0DADB47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5BF036B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296F878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36B04F9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24E9469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23" w:type="dxa"/>
            <w:noWrap/>
            <w:hideMark/>
          </w:tcPr>
          <w:p w14:paraId="2446E62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7B0EE365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48D2FEB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expansin</w:t>
            </w:r>
            <w:proofErr w:type="spellEnd"/>
            <w:proofErr w:type="gramEnd"/>
          </w:p>
        </w:tc>
        <w:tc>
          <w:tcPr>
            <w:tcW w:w="992" w:type="dxa"/>
            <w:noWrap/>
            <w:hideMark/>
          </w:tcPr>
          <w:p w14:paraId="6183B50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14C4F75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6351424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3F68AC2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2DA158D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89" w:type="dxa"/>
            <w:noWrap/>
            <w:hideMark/>
          </w:tcPr>
          <w:p w14:paraId="21DB0A6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6B2BBFE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086DE5A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0E95A5ED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0536835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extracellular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E50ED">
              <w:rPr>
                <w:rFonts w:ascii="Times New Roman" w:hAnsi="Times New Roman" w:cs="Times New Roman"/>
                <w:sz w:val="20"/>
              </w:rPr>
              <w:t>cystatin</w:t>
            </w:r>
            <w:proofErr w:type="spellEnd"/>
            <w:r w:rsidRPr="004E50ED">
              <w:rPr>
                <w:rFonts w:ascii="Times New Roman" w:hAnsi="Times New Roman" w:cs="Times New Roman"/>
                <w:sz w:val="20"/>
              </w:rPr>
              <w:t>-like protease inhibitor</w:t>
            </w:r>
          </w:p>
        </w:tc>
        <w:tc>
          <w:tcPr>
            <w:tcW w:w="992" w:type="dxa"/>
            <w:noWrap/>
            <w:hideMark/>
          </w:tcPr>
          <w:p w14:paraId="17597EF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5F67B15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280AABD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3C6E7BF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75979DE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5491B6E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7523A6C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73C2ADE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694409" w:rsidRPr="004E50ED" w14:paraId="2AADA6E2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1E0B1B1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extracellular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membrane protein</w:t>
            </w:r>
          </w:p>
        </w:tc>
        <w:tc>
          <w:tcPr>
            <w:tcW w:w="992" w:type="dxa"/>
            <w:noWrap/>
            <w:hideMark/>
          </w:tcPr>
          <w:p w14:paraId="2B1AF85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44B67AF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279879F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1F8C254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5E7F6DE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59A952C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4FDA484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414BD4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54522E2B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62E7E30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fad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>-binding domain protein</w:t>
            </w:r>
          </w:p>
        </w:tc>
        <w:tc>
          <w:tcPr>
            <w:tcW w:w="992" w:type="dxa"/>
            <w:noWrap/>
            <w:hideMark/>
          </w:tcPr>
          <w:p w14:paraId="74FD3C7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3206630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3A12A2E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77FFF55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3175109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89" w:type="dxa"/>
            <w:noWrap/>
            <w:hideMark/>
          </w:tcPr>
          <w:p w14:paraId="730AF51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0668FA4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0455380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383058B1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6FC1FD1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filamentous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E50ED">
              <w:rPr>
                <w:rFonts w:ascii="Times New Roman" w:hAnsi="Times New Roman" w:cs="Times New Roman"/>
                <w:sz w:val="20"/>
              </w:rPr>
              <w:t>hemagglutinin</w:t>
            </w:r>
            <w:proofErr w:type="spellEnd"/>
          </w:p>
        </w:tc>
        <w:tc>
          <w:tcPr>
            <w:tcW w:w="992" w:type="dxa"/>
            <w:noWrap/>
            <w:hideMark/>
          </w:tcPr>
          <w:p w14:paraId="0018250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3951D2D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1313472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659D3C4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5C1DF72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049ECBE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5B018D7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59C4C8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799E254D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31C757F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fruiting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body protein sc7</w:t>
            </w:r>
          </w:p>
        </w:tc>
        <w:tc>
          <w:tcPr>
            <w:tcW w:w="992" w:type="dxa"/>
            <w:noWrap/>
            <w:hideMark/>
          </w:tcPr>
          <w:p w14:paraId="47876F0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31BA815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5B0173E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61C8115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534E788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89" w:type="dxa"/>
            <w:noWrap/>
            <w:hideMark/>
          </w:tcPr>
          <w:p w14:paraId="0472637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335E2A8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3E91C77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74C2D4BD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4309EB9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fungal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cellulose binding</w:t>
            </w:r>
          </w:p>
        </w:tc>
        <w:tc>
          <w:tcPr>
            <w:tcW w:w="992" w:type="dxa"/>
            <w:noWrap/>
            <w:hideMark/>
          </w:tcPr>
          <w:p w14:paraId="6E9FD9F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80" w:type="dxa"/>
            <w:noWrap/>
            <w:hideMark/>
          </w:tcPr>
          <w:p w14:paraId="057AD2D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53F68B5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344C8CA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77BBD84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7C64E2D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455E99F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946309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62B437C4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7168463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gcc2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and gcc3 family protein</w:t>
            </w:r>
          </w:p>
        </w:tc>
        <w:tc>
          <w:tcPr>
            <w:tcW w:w="992" w:type="dxa"/>
            <w:noWrap/>
            <w:hideMark/>
          </w:tcPr>
          <w:p w14:paraId="485B0AB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67B7F59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0" w:type="dxa"/>
            <w:noWrap/>
            <w:hideMark/>
          </w:tcPr>
          <w:p w14:paraId="175652A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65AE1A4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6333CDF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55708BD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59B08EA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655E035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6BE7A6AD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36CC356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gdsl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-like lipase </w:t>
            </w:r>
            <w:proofErr w:type="spellStart"/>
            <w:r w:rsidRPr="004E50ED">
              <w:rPr>
                <w:rFonts w:ascii="Times New Roman" w:hAnsi="Times New Roman" w:cs="Times New Roman"/>
                <w:sz w:val="20"/>
              </w:rPr>
              <w:t>acylhydrolase</w:t>
            </w:r>
            <w:proofErr w:type="spellEnd"/>
          </w:p>
        </w:tc>
        <w:tc>
          <w:tcPr>
            <w:tcW w:w="992" w:type="dxa"/>
            <w:noWrap/>
            <w:hideMark/>
          </w:tcPr>
          <w:p w14:paraId="5329195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6ABDFA8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15417B7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0C2A5D5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504AEB8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89" w:type="dxa"/>
            <w:noWrap/>
            <w:hideMark/>
          </w:tcPr>
          <w:p w14:paraId="6539901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6C59FFE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53BBEFB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06EEBE2B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30F2365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gliding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motility protein</w:t>
            </w:r>
          </w:p>
        </w:tc>
        <w:tc>
          <w:tcPr>
            <w:tcW w:w="992" w:type="dxa"/>
            <w:noWrap/>
            <w:hideMark/>
          </w:tcPr>
          <w:p w14:paraId="571B1B8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45FC73F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00F9CE1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0A63BF1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2FA5B4F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031B1E4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4265B67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5315D08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694409" w:rsidRPr="004E50ED" w14:paraId="5B2BE57E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10021E4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glycopeptide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protein</w:t>
            </w:r>
          </w:p>
        </w:tc>
        <w:tc>
          <w:tcPr>
            <w:tcW w:w="992" w:type="dxa"/>
            <w:noWrap/>
            <w:hideMark/>
          </w:tcPr>
          <w:p w14:paraId="3C50A5D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7CF81D3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0" w:type="dxa"/>
            <w:noWrap/>
            <w:hideMark/>
          </w:tcPr>
          <w:p w14:paraId="5585086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6BA0B11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56" w:type="dxa"/>
            <w:noWrap/>
            <w:hideMark/>
          </w:tcPr>
          <w:p w14:paraId="0EB6660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89" w:type="dxa"/>
            <w:noWrap/>
            <w:hideMark/>
          </w:tcPr>
          <w:p w14:paraId="06749D2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42BE3BC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17094F1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42CF2B3D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3E0FFF3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glycosidase</w:t>
            </w:r>
            <w:proofErr w:type="gramEnd"/>
          </w:p>
        </w:tc>
        <w:tc>
          <w:tcPr>
            <w:tcW w:w="992" w:type="dxa"/>
            <w:noWrap/>
            <w:hideMark/>
          </w:tcPr>
          <w:p w14:paraId="06BDF4A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80" w:type="dxa"/>
            <w:noWrap/>
            <w:hideMark/>
          </w:tcPr>
          <w:p w14:paraId="405ED20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10AC34F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3978496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56A41F2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714BD9E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05F28E3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4546A90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275B1466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20BA97C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glycoside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hydrolase</w:t>
            </w:r>
          </w:p>
        </w:tc>
        <w:tc>
          <w:tcPr>
            <w:tcW w:w="992" w:type="dxa"/>
            <w:noWrap/>
            <w:hideMark/>
          </w:tcPr>
          <w:p w14:paraId="315CA3B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4A01DD8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0" w:type="dxa"/>
            <w:noWrap/>
            <w:hideMark/>
          </w:tcPr>
          <w:p w14:paraId="449C5E6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3DDE97D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1F75028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89" w:type="dxa"/>
            <w:noWrap/>
            <w:hideMark/>
          </w:tcPr>
          <w:p w14:paraId="66EFD26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1968C5C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378AB9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694409" w:rsidRPr="004E50ED" w14:paraId="20151EC4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6C2A596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gpi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-anchored </w:t>
            </w:r>
            <w:proofErr w:type="spellStart"/>
            <w:r w:rsidRPr="004E50ED">
              <w:rPr>
                <w:rFonts w:ascii="Times New Roman" w:hAnsi="Times New Roman" w:cs="Times New Roman"/>
                <w:sz w:val="20"/>
              </w:rPr>
              <w:t>leucine</w:t>
            </w:r>
            <w:proofErr w:type="spellEnd"/>
            <w:r w:rsidRPr="004E50ED">
              <w:rPr>
                <w:rFonts w:ascii="Times New Roman" w:hAnsi="Times New Roman" w:cs="Times New Roman"/>
                <w:sz w:val="20"/>
              </w:rPr>
              <w:t>-rich lipoprotein</w:t>
            </w:r>
          </w:p>
        </w:tc>
        <w:tc>
          <w:tcPr>
            <w:tcW w:w="992" w:type="dxa"/>
            <w:noWrap/>
            <w:hideMark/>
          </w:tcPr>
          <w:p w14:paraId="2FB4C82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456EF38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4C80815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78EDD80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5784F84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2334B78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387238D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10FB9F2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694409" w:rsidRPr="004E50ED" w14:paraId="1177B7D5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654A144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growth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factor receptor</w:t>
            </w:r>
          </w:p>
        </w:tc>
        <w:tc>
          <w:tcPr>
            <w:tcW w:w="992" w:type="dxa"/>
            <w:noWrap/>
            <w:hideMark/>
          </w:tcPr>
          <w:p w14:paraId="65F7CD4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6E8B7B4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7804519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58BBEE8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3CBB23B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7256C9F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068E434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1AB79FB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4D23B2C6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38D4134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helicase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domain-containing protein</w:t>
            </w:r>
          </w:p>
        </w:tc>
        <w:tc>
          <w:tcPr>
            <w:tcW w:w="992" w:type="dxa"/>
            <w:noWrap/>
            <w:hideMark/>
          </w:tcPr>
          <w:p w14:paraId="3AF3C39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34A4227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17CA430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457A7F0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0767B8F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3130710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2A6D702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4373D0F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716B1D77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6D8E2E1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lastRenderedPageBreak/>
              <w:t>hydrolytic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enzyme protein</w:t>
            </w:r>
          </w:p>
        </w:tc>
        <w:tc>
          <w:tcPr>
            <w:tcW w:w="992" w:type="dxa"/>
            <w:noWrap/>
            <w:hideMark/>
          </w:tcPr>
          <w:p w14:paraId="028C2D1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56AA65F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62162DF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07EF266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7CA192B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5D873B8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280335A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E2E4DC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3F005F4C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35564B5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hydrophobin</w:t>
            </w:r>
            <w:proofErr w:type="spellEnd"/>
            <w:proofErr w:type="gramEnd"/>
          </w:p>
        </w:tc>
        <w:tc>
          <w:tcPr>
            <w:tcW w:w="992" w:type="dxa"/>
            <w:noWrap/>
            <w:hideMark/>
          </w:tcPr>
          <w:p w14:paraId="4A949AF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420A2AE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1B1CE81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3EFF893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6C40409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77FC09B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01" w:type="dxa"/>
            <w:noWrap/>
            <w:hideMark/>
          </w:tcPr>
          <w:p w14:paraId="1B0CEE4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23" w:type="dxa"/>
            <w:noWrap/>
            <w:hideMark/>
          </w:tcPr>
          <w:p w14:paraId="5A1DA99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6B311A4D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0C54C51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hypothetical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protein/unknown</w:t>
            </w:r>
          </w:p>
        </w:tc>
        <w:tc>
          <w:tcPr>
            <w:tcW w:w="992" w:type="dxa"/>
            <w:noWrap/>
            <w:hideMark/>
          </w:tcPr>
          <w:p w14:paraId="2B1A056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680" w:type="dxa"/>
            <w:noWrap/>
            <w:hideMark/>
          </w:tcPr>
          <w:p w14:paraId="204F336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30" w:type="dxa"/>
            <w:noWrap/>
            <w:hideMark/>
          </w:tcPr>
          <w:p w14:paraId="1973426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656" w:type="dxa"/>
            <w:noWrap/>
            <w:hideMark/>
          </w:tcPr>
          <w:p w14:paraId="75C7DA7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656" w:type="dxa"/>
            <w:noWrap/>
            <w:hideMark/>
          </w:tcPr>
          <w:p w14:paraId="0F14C7A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24</w:t>
            </w:r>
          </w:p>
        </w:tc>
        <w:tc>
          <w:tcPr>
            <w:tcW w:w="889" w:type="dxa"/>
            <w:noWrap/>
            <w:hideMark/>
          </w:tcPr>
          <w:p w14:paraId="2B3CCD0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01" w:type="dxa"/>
            <w:noWrap/>
            <w:hideMark/>
          </w:tcPr>
          <w:p w14:paraId="5693551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32</w:t>
            </w:r>
          </w:p>
        </w:tc>
        <w:tc>
          <w:tcPr>
            <w:tcW w:w="1023" w:type="dxa"/>
            <w:noWrap/>
            <w:hideMark/>
          </w:tcPr>
          <w:p w14:paraId="6D337C3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37</w:t>
            </w:r>
          </w:p>
        </w:tc>
      </w:tr>
      <w:tr w:rsidR="00694409" w:rsidRPr="004E50ED" w14:paraId="72F1CA14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55CAF16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indigoidine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synthase a-like protein</w:t>
            </w:r>
          </w:p>
        </w:tc>
        <w:tc>
          <w:tcPr>
            <w:tcW w:w="992" w:type="dxa"/>
            <w:noWrap/>
            <w:hideMark/>
          </w:tcPr>
          <w:p w14:paraId="659B2EB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80" w:type="dxa"/>
            <w:noWrap/>
            <w:hideMark/>
          </w:tcPr>
          <w:p w14:paraId="0D5C14D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20979D2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7375758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7C29AB8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65A5656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152F1B4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4B36088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102E2D86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40E2537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kazal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>-type proteinase inhibitor</w:t>
            </w:r>
          </w:p>
        </w:tc>
        <w:tc>
          <w:tcPr>
            <w:tcW w:w="992" w:type="dxa"/>
            <w:noWrap/>
            <w:hideMark/>
          </w:tcPr>
          <w:p w14:paraId="45A8827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6CA1528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03E84D0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01DFD7B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0364517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3A9619F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2B6F4AD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6796685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694409" w:rsidRPr="004E50ED" w14:paraId="04411400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5695259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keratin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>-associated protein 10-4</w:t>
            </w:r>
          </w:p>
        </w:tc>
        <w:tc>
          <w:tcPr>
            <w:tcW w:w="992" w:type="dxa"/>
            <w:noWrap/>
            <w:hideMark/>
          </w:tcPr>
          <w:p w14:paraId="32CF659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597884D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7F8C9D5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507D1B2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6A8672A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42E9CE0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01" w:type="dxa"/>
            <w:noWrap/>
            <w:hideMark/>
          </w:tcPr>
          <w:p w14:paraId="1E90EBE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38B7F50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19A3CB6A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4FA8E56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lipase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atg15</w:t>
            </w:r>
          </w:p>
        </w:tc>
        <w:tc>
          <w:tcPr>
            <w:tcW w:w="992" w:type="dxa"/>
            <w:noWrap/>
            <w:hideMark/>
          </w:tcPr>
          <w:p w14:paraId="1D76142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80" w:type="dxa"/>
            <w:noWrap/>
            <w:hideMark/>
          </w:tcPr>
          <w:p w14:paraId="55F03E0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7C87E01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03ADAF6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392DACA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28452DA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00F629B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7EABA34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167CA6EA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3BBF60D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lipocalin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>-like domain-containing protein</w:t>
            </w:r>
          </w:p>
        </w:tc>
        <w:tc>
          <w:tcPr>
            <w:tcW w:w="992" w:type="dxa"/>
            <w:noWrap/>
            <w:hideMark/>
          </w:tcPr>
          <w:p w14:paraId="37F244C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6445AD7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601C448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377F00B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1E4BFD8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6449AD4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7988A3E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0A05AAF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71232069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471C290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lysozyme</w:t>
            </w:r>
            <w:proofErr w:type="gramEnd"/>
          </w:p>
        </w:tc>
        <w:tc>
          <w:tcPr>
            <w:tcW w:w="992" w:type="dxa"/>
            <w:noWrap/>
            <w:hideMark/>
          </w:tcPr>
          <w:p w14:paraId="1E5F29C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43D31D5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1518C50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724C83F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7C70CCA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0E6784E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3463276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AEA7F5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798271A9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6B9F621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mastigonemelike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protein</w:t>
            </w:r>
          </w:p>
        </w:tc>
        <w:tc>
          <w:tcPr>
            <w:tcW w:w="992" w:type="dxa"/>
            <w:noWrap/>
            <w:hideMark/>
          </w:tcPr>
          <w:p w14:paraId="5C83EA0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4BB69D6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37C190D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17DDB3A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2F423F6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1B87003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251F7DB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4425CEF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694409" w:rsidRPr="004E50ED" w14:paraId="61337E19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1C4F519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med17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domain-containing protein</w:t>
            </w:r>
          </w:p>
        </w:tc>
        <w:tc>
          <w:tcPr>
            <w:tcW w:w="992" w:type="dxa"/>
            <w:noWrap/>
            <w:hideMark/>
          </w:tcPr>
          <w:p w14:paraId="29FAB93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129F7FB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0" w:type="dxa"/>
            <w:noWrap/>
            <w:hideMark/>
          </w:tcPr>
          <w:p w14:paraId="0BF467E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3A43C90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558350B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29BCEB3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4F97F87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1424C20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490DDA7C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0F7967D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metalloprotease</w:t>
            </w:r>
            <w:proofErr w:type="spellEnd"/>
            <w:proofErr w:type="gramEnd"/>
          </w:p>
        </w:tc>
        <w:tc>
          <w:tcPr>
            <w:tcW w:w="992" w:type="dxa"/>
            <w:noWrap/>
            <w:hideMark/>
          </w:tcPr>
          <w:p w14:paraId="3F91660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4803892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4AB1BE5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1FDFDE4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6A5F3F5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630E5FA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39792C9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8B168C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2A6D04A6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33839D7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mmc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protein</w:t>
            </w:r>
          </w:p>
        </w:tc>
        <w:tc>
          <w:tcPr>
            <w:tcW w:w="992" w:type="dxa"/>
            <w:noWrap/>
            <w:hideMark/>
          </w:tcPr>
          <w:p w14:paraId="5B3BBC1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1DAB6F2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54D34EB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497F4A0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3348957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029AA75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02115A9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6ECC307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7C8B8210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33580D0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non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-catalytic module family </w:t>
            </w:r>
            <w:proofErr w:type="spellStart"/>
            <w:r w:rsidRPr="004E50ED">
              <w:rPr>
                <w:rFonts w:ascii="Times New Roman" w:hAnsi="Times New Roman" w:cs="Times New Roman"/>
                <w:sz w:val="20"/>
              </w:rPr>
              <w:t>expn</w:t>
            </w:r>
            <w:proofErr w:type="spellEnd"/>
            <w:r w:rsidRPr="004E50ED">
              <w:rPr>
                <w:rFonts w:ascii="Times New Roman" w:hAnsi="Times New Roman" w:cs="Times New Roman"/>
                <w:sz w:val="20"/>
              </w:rPr>
              <w:t xml:space="preserve"> protein</w:t>
            </w:r>
          </w:p>
        </w:tc>
        <w:tc>
          <w:tcPr>
            <w:tcW w:w="992" w:type="dxa"/>
            <w:noWrap/>
            <w:hideMark/>
          </w:tcPr>
          <w:p w14:paraId="53F88C4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012A454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4DAF90B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634F04C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6978601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89" w:type="dxa"/>
            <w:noWrap/>
            <w:hideMark/>
          </w:tcPr>
          <w:p w14:paraId="4A0AA1C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14EE1AB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0D832E1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341820D0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0F09A6F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nuclease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pa3</w:t>
            </w:r>
          </w:p>
        </w:tc>
        <w:tc>
          <w:tcPr>
            <w:tcW w:w="992" w:type="dxa"/>
            <w:noWrap/>
            <w:hideMark/>
          </w:tcPr>
          <w:p w14:paraId="0057DF1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46169BD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6C659E8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117FD9A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70CE3E2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3334220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720982A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71E688B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78714EBB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1CAF8BE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nucleoside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triphosphate hydrolase</w:t>
            </w:r>
          </w:p>
        </w:tc>
        <w:tc>
          <w:tcPr>
            <w:tcW w:w="992" w:type="dxa"/>
            <w:noWrap/>
            <w:hideMark/>
          </w:tcPr>
          <w:p w14:paraId="1597DE1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7E2ED2E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655E69A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7208BF5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54A0DD2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3A51AAF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6A179DB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270B52B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028962BA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2DE65FB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oxidoreductase</w:t>
            </w:r>
            <w:proofErr w:type="spellEnd"/>
            <w:proofErr w:type="gramEnd"/>
          </w:p>
        </w:tc>
        <w:tc>
          <w:tcPr>
            <w:tcW w:w="992" w:type="dxa"/>
            <w:noWrap/>
            <w:hideMark/>
          </w:tcPr>
          <w:p w14:paraId="79F3764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0C0C75F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0" w:type="dxa"/>
            <w:noWrap/>
            <w:hideMark/>
          </w:tcPr>
          <w:p w14:paraId="5516D40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67D20DE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006D2C1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7740626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7C0B647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C1A931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54E80E82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6B9D21B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pectate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2" w:type="dxa"/>
            <w:noWrap/>
            <w:hideMark/>
          </w:tcPr>
          <w:p w14:paraId="0623EA9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2AEA68C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7DC3A68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55D7DD3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554E309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89" w:type="dxa"/>
            <w:noWrap/>
            <w:hideMark/>
          </w:tcPr>
          <w:p w14:paraId="33A9FD3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1B653A2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15756D2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4A795AB7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65817FA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pectate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E50ED">
              <w:rPr>
                <w:rFonts w:ascii="Times New Roman" w:hAnsi="Times New Roman" w:cs="Times New Roman"/>
                <w:sz w:val="20"/>
              </w:rPr>
              <w:t>lyase</w:t>
            </w:r>
            <w:proofErr w:type="spellEnd"/>
          </w:p>
        </w:tc>
        <w:tc>
          <w:tcPr>
            <w:tcW w:w="992" w:type="dxa"/>
            <w:noWrap/>
            <w:hideMark/>
          </w:tcPr>
          <w:p w14:paraId="340BB94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40CFEA2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0356C2B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3277E90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56" w:type="dxa"/>
            <w:noWrap/>
            <w:hideMark/>
          </w:tcPr>
          <w:p w14:paraId="3D346F0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1F93B76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00EEF6A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23" w:type="dxa"/>
            <w:noWrap/>
            <w:hideMark/>
          </w:tcPr>
          <w:p w14:paraId="6A794C8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694409" w:rsidRPr="004E50ED" w14:paraId="5556BD35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2C99FFF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pectin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E50ED">
              <w:rPr>
                <w:rFonts w:ascii="Times New Roman" w:hAnsi="Times New Roman" w:cs="Times New Roman"/>
                <w:sz w:val="20"/>
              </w:rPr>
              <w:t>lyase</w:t>
            </w:r>
            <w:proofErr w:type="spellEnd"/>
          </w:p>
        </w:tc>
        <w:tc>
          <w:tcPr>
            <w:tcW w:w="992" w:type="dxa"/>
            <w:noWrap/>
            <w:hideMark/>
          </w:tcPr>
          <w:p w14:paraId="2AFD664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5649401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532D19E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0446D74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2CBDB96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057D780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3971C04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5BEAAF5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3E72310A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7BA5711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peptidoglycan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>-binding</w:t>
            </w:r>
          </w:p>
        </w:tc>
        <w:tc>
          <w:tcPr>
            <w:tcW w:w="992" w:type="dxa"/>
            <w:noWrap/>
            <w:hideMark/>
          </w:tcPr>
          <w:p w14:paraId="14F0939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6C59E03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4EFC77B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4688EB7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0DBDFB1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4C575AE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4E483CA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444C4EA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0C6769CF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3DD0145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potassium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ion channel yvc1</w:t>
            </w:r>
          </w:p>
        </w:tc>
        <w:tc>
          <w:tcPr>
            <w:tcW w:w="992" w:type="dxa"/>
            <w:noWrap/>
            <w:hideMark/>
          </w:tcPr>
          <w:p w14:paraId="72A920E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5D60FD5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6CE3B2F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7655AF0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502999B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66FA84B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01" w:type="dxa"/>
            <w:noWrap/>
            <w:hideMark/>
          </w:tcPr>
          <w:p w14:paraId="33C1BFF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2AEE20A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1D9B6725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7652D41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pre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4E50ED">
              <w:rPr>
                <w:rFonts w:ascii="Times New Roman" w:hAnsi="Times New Roman" w:cs="Times New Roman"/>
                <w:sz w:val="20"/>
              </w:rPr>
              <w:t>rrna</w:t>
            </w:r>
            <w:proofErr w:type="spellEnd"/>
            <w:r w:rsidRPr="004E50ED">
              <w:rPr>
                <w:rFonts w:ascii="Times New Roman" w:hAnsi="Times New Roman" w:cs="Times New Roman"/>
                <w:sz w:val="20"/>
              </w:rPr>
              <w:t xml:space="preserve"> processing protein</w:t>
            </w:r>
          </w:p>
        </w:tc>
        <w:tc>
          <w:tcPr>
            <w:tcW w:w="992" w:type="dxa"/>
            <w:noWrap/>
            <w:hideMark/>
          </w:tcPr>
          <w:p w14:paraId="629F181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0C6B60D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0E6F5DC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616D087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2EEB668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89" w:type="dxa"/>
            <w:noWrap/>
            <w:hideMark/>
          </w:tcPr>
          <w:p w14:paraId="17C9D91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359ACF4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0F0DC06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47BA7B9A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6DD0B89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pria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protein</w:t>
            </w:r>
          </w:p>
        </w:tc>
        <w:tc>
          <w:tcPr>
            <w:tcW w:w="992" w:type="dxa"/>
            <w:noWrap/>
            <w:hideMark/>
          </w:tcPr>
          <w:p w14:paraId="7B46D4B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675A881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30" w:type="dxa"/>
            <w:noWrap/>
            <w:hideMark/>
          </w:tcPr>
          <w:p w14:paraId="17244CC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66A12C8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56" w:type="dxa"/>
            <w:noWrap/>
            <w:hideMark/>
          </w:tcPr>
          <w:p w14:paraId="50361B8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89" w:type="dxa"/>
            <w:noWrap/>
            <w:hideMark/>
          </w:tcPr>
          <w:p w14:paraId="46CAAD6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686B64C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7B069CC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269B08A7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5824AB0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probable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inorganic polyphosphate </w:t>
            </w:r>
            <w:proofErr w:type="spellStart"/>
            <w:r w:rsidRPr="004E50ED">
              <w:rPr>
                <w:rFonts w:ascii="Times New Roman" w:hAnsi="Times New Roman" w:cs="Times New Roman"/>
                <w:sz w:val="20"/>
              </w:rPr>
              <w:t>atp-nad</w:t>
            </w:r>
            <w:proofErr w:type="spellEnd"/>
            <w:r w:rsidRPr="004E50ED">
              <w:rPr>
                <w:rFonts w:ascii="Times New Roman" w:hAnsi="Times New Roman" w:cs="Times New Roman"/>
                <w:sz w:val="20"/>
              </w:rPr>
              <w:t xml:space="preserve"> kinase</w:t>
            </w:r>
          </w:p>
        </w:tc>
        <w:tc>
          <w:tcPr>
            <w:tcW w:w="992" w:type="dxa"/>
            <w:noWrap/>
            <w:hideMark/>
          </w:tcPr>
          <w:p w14:paraId="11C1C41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518DA2E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41AFDA0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124D05E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2FE85F5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009D453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01" w:type="dxa"/>
            <w:noWrap/>
            <w:hideMark/>
          </w:tcPr>
          <w:p w14:paraId="2C75684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2F2E846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06F1499F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24A7AF9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proline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>-rich protein</w:t>
            </w:r>
          </w:p>
        </w:tc>
        <w:tc>
          <w:tcPr>
            <w:tcW w:w="992" w:type="dxa"/>
            <w:noWrap/>
            <w:hideMark/>
          </w:tcPr>
          <w:p w14:paraId="50082FE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65226C4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0" w:type="dxa"/>
            <w:noWrap/>
            <w:hideMark/>
          </w:tcPr>
          <w:p w14:paraId="74A18AC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7455049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7C9D5BF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3BDEB1A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69515AA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710FD1D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6DF6E1FE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71A214A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proteasome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regulatory subunit 12</w:t>
            </w:r>
          </w:p>
        </w:tc>
        <w:tc>
          <w:tcPr>
            <w:tcW w:w="992" w:type="dxa"/>
            <w:noWrap/>
            <w:hideMark/>
          </w:tcPr>
          <w:p w14:paraId="71FE435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426A85A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0" w:type="dxa"/>
            <w:noWrap/>
            <w:hideMark/>
          </w:tcPr>
          <w:p w14:paraId="0B96F75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399AC47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0170654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89" w:type="dxa"/>
            <w:noWrap/>
            <w:hideMark/>
          </w:tcPr>
          <w:p w14:paraId="4FEADA7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7FCB05F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2AB146D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1039782C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3348C93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protein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serine threonine</w:t>
            </w:r>
          </w:p>
        </w:tc>
        <w:tc>
          <w:tcPr>
            <w:tcW w:w="992" w:type="dxa"/>
            <w:noWrap/>
            <w:hideMark/>
          </w:tcPr>
          <w:p w14:paraId="0A5BBA8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7C0F1FA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6B3D873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3278D1C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60136FF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64BB3FE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7E90683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04FA451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7E2860D4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07C3EA4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protein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tos1</w:t>
            </w:r>
          </w:p>
        </w:tc>
        <w:tc>
          <w:tcPr>
            <w:tcW w:w="992" w:type="dxa"/>
            <w:noWrap/>
            <w:hideMark/>
          </w:tcPr>
          <w:p w14:paraId="01FF8BC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43A1E69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35175F5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5CB2219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38C0720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49E3694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3449E65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1216578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694409" w:rsidRPr="004E50ED" w14:paraId="0D47B9DA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6E17AB3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rare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lipoprotein a</w:t>
            </w:r>
          </w:p>
        </w:tc>
        <w:tc>
          <w:tcPr>
            <w:tcW w:w="992" w:type="dxa"/>
            <w:noWrap/>
            <w:hideMark/>
          </w:tcPr>
          <w:p w14:paraId="1D101CB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0E2B950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39018FA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0BF1C10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548719E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89" w:type="dxa"/>
            <w:noWrap/>
            <w:hideMark/>
          </w:tcPr>
          <w:p w14:paraId="5DFAD15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7A3E0FE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39F5298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6A021044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13B1997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ribonuclease</w:t>
            </w:r>
            <w:proofErr w:type="spellEnd"/>
            <w:proofErr w:type="gramEnd"/>
          </w:p>
        </w:tc>
        <w:tc>
          <w:tcPr>
            <w:tcW w:w="992" w:type="dxa"/>
            <w:noWrap/>
            <w:hideMark/>
          </w:tcPr>
          <w:p w14:paraId="1F58553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1AC9548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0" w:type="dxa"/>
            <w:noWrap/>
            <w:hideMark/>
          </w:tcPr>
          <w:p w14:paraId="38BB9D9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1098D98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52DE1B0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89" w:type="dxa"/>
            <w:noWrap/>
            <w:hideMark/>
          </w:tcPr>
          <w:p w14:paraId="2DBFFFF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01" w:type="dxa"/>
            <w:noWrap/>
            <w:hideMark/>
          </w:tcPr>
          <w:p w14:paraId="39CA619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240EE20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694409" w:rsidRPr="004E50ED" w14:paraId="2FAD2488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6C36E5D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scp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>-like extracellular protein</w:t>
            </w:r>
          </w:p>
        </w:tc>
        <w:tc>
          <w:tcPr>
            <w:tcW w:w="992" w:type="dxa"/>
            <w:noWrap/>
            <w:hideMark/>
          </w:tcPr>
          <w:p w14:paraId="111CE4A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1C7C389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649346C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011019C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61BA22C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3CD47E8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3F064D9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6FDA95A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694409" w:rsidRPr="004E50ED" w14:paraId="2FD059EB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205F33A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sec14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cytosolic factor (transport)</w:t>
            </w:r>
          </w:p>
        </w:tc>
        <w:tc>
          <w:tcPr>
            <w:tcW w:w="992" w:type="dxa"/>
            <w:noWrap/>
            <w:hideMark/>
          </w:tcPr>
          <w:p w14:paraId="7F4E252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73F4109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752CB54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4F33A24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0AE5B29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2901568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33611C5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2F88D7E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5566C4BB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6716566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sig3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>-like protein</w:t>
            </w:r>
          </w:p>
        </w:tc>
        <w:tc>
          <w:tcPr>
            <w:tcW w:w="992" w:type="dxa"/>
            <w:noWrap/>
            <w:hideMark/>
          </w:tcPr>
          <w:p w14:paraId="5EFD729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3C21645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68134FD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47EBF7E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429317B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200282E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1B65B31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2793350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694409" w:rsidRPr="004E50ED" w14:paraId="2B563BFC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62961CB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starch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binding domain-containing protein</w:t>
            </w:r>
          </w:p>
        </w:tc>
        <w:tc>
          <w:tcPr>
            <w:tcW w:w="992" w:type="dxa"/>
            <w:noWrap/>
            <w:hideMark/>
          </w:tcPr>
          <w:p w14:paraId="33D7753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6BB87A5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1F39969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7F533A5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36F1A50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6F55930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40F5587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F4EC13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5C1DA593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2647FB7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sterol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uptake control protein 2</w:t>
            </w:r>
          </w:p>
        </w:tc>
        <w:tc>
          <w:tcPr>
            <w:tcW w:w="992" w:type="dxa"/>
            <w:noWrap/>
            <w:hideMark/>
          </w:tcPr>
          <w:p w14:paraId="328660D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683EE25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4F7D03B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0A041F2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5B2B0FC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1E0A0B0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025515E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23" w:type="dxa"/>
            <w:noWrap/>
            <w:hideMark/>
          </w:tcPr>
          <w:p w14:paraId="1536386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14BF2C96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7865DC0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tenascin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>-like protein</w:t>
            </w:r>
          </w:p>
        </w:tc>
        <w:tc>
          <w:tcPr>
            <w:tcW w:w="992" w:type="dxa"/>
            <w:noWrap/>
            <w:hideMark/>
          </w:tcPr>
          <w:p w14:paraId="76B7F54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0A48954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1D94B15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6C63646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3C10173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50586C2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6B3B059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525151E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694409" w:rsidRPr="004E50ED" w14:paraId="19D12B9F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051E360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teneurin</w:t>
            </w:r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>-3-like isoform x6</w:t>
            </w:r>
          </w:p>
        </w:tc>
        <w:tc>
          <w:tcPr>
            <w:tcW w:w="992" w:type="dxa"/>
            <w:noWrap/>
            <w:hideMark/>
          </w:tcPr>
          <w:p w14:paraId="730BABF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21D030F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4AF43E3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17048C5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2487D75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0A5C1AB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0A7A961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1BDD74A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694409" w:rsidRPr="004E50ED" w14:paraId="561BC175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08833D6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thaumatin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>-like protein</w:t>
            </w:r>
          </w:p>
        </w:tc>
        <w:tc>
          <w:tcPr>
            <w:tcW w:w="992" w:type="dxa"/>
            <w:noWrap/>
            <w:hideMark/>
          </w:tcPr>
          <w:p w14:paraId="2DD6FBD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680" w:type="dxa"/>
            <w:noWrap/>
            <w:hideMark/>
          </w:tcPr>
          <w:p w14:paraId="2B896BF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30" w:type="dxa"/>
            <w:noWrap/>
            <w:hideMark/>
          </w:tcPr>
          <w:p w14:paraId="5200717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760D068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6CBFE99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89" w:type="dxa"/>
            <w:noWrap/>
            <w:hideMark/>
          </w:tcPr>
          <w:p w14:paraId="1970440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02EDBC9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7568F21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784F2BD6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01D98E5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tkl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protein kinase</w:t>
            </w:r>
          </w:p>
        </w:tc>
        <w:tc>
          <w:tcPr>
            <w:tcW w:w="992" w:type="dxa"/>
            <w:noWrap/>
            <w:hideMark/>
          </w:tcPr>
          <w:p w14:paraId="12360AC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3E483B1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741037D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2D3C67A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0160BB5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noWrap/>
            <w:hideMark/>
          </w:tcPr>
          <w:p w14:paraId="770004B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56C1FA4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6AAC8AA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694409" w:rsidRPr="004E50ED" w14:paraId="44BA66AC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1051996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transferase</w:t>
            </w:r>
            <w:proofErr w:type="spellEnd"/>
            <w:proofErr w:type="gramEnd"/>
          </w:p>
        </w:tc>
        <w:tc>
          <w:tcPr>
            <w:tcW w:w="992" w:type="dxa"/>
            <w:noWrap/>
            <w:hideMark/>
          </w:tcPr>
          <w:p w14:paraId="25776E4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71CE231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30" w:type="dxa"/>
            <w:noWrap/>
            <w:hideMark/>
          </w:tcPr>
          <w:p w14:paraId="0C24CA8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7A7B48A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66A023A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89" w:type="dxa"/>
            <w:noWrap/>
            <w:hideMark/>
          </w:tcPr>
          <w:p w14:paraId="2884EC5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0E6B158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3D24B82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06385727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3E01A38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transmembrane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protein</w:t>
            </w:r>
          </w:p>
        </w:tc>
        <w:tc>
          <w:tcPr>
            <w:tcW w:w="992" w:type="dxa"/>
            <w:noWrap/>
            <w:hideMark/>
          </w:tcPr>
          <w:p w14:paraId="5FEB8A7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6A2B22C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0" w:type="dxa"/>
            <w:noWrap/>
            <w:hideMark/>
          </w:tcPr>
          <w:p w14:paraId="13E25E0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6E3DE052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56" w:type="dxa"/>
            <w:noWrap/>
            <w:hideMark/>
          </w:tcPr>
          <w:p w14:paraId="56D3A95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89" w:type="dxa"/>
            <w:noWrap/>
            <w:hideMark/>
          </w:tcPr>
          <w:p w14:paraId="11136843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3093920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2855FF8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4CB0619A" w14:textId="77777777" w:rsidTr="00694409">
        <w:trPr>
          <w:trHeight w:val="300"/>
        </w:trPr>
        <w:tc>
          <w:tcPr>
            <w:tcW w:w="3545" w:type="dxa"/>
            <w:noWrap/>
            <w:hideMark/>
          </w:tcPr>
          <w:p w14:paraId="3A7431B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wsc</w:t>
            </w:r>
            <w:proofErr w:type="spellEnd"/>
            <w:proofErr w:type="gramEnd"/>
            <w:r w:rsidRPr="004E50ED">
              <w:rPr>
                <w:rFonts w:ascii="Times New Roman" w:hAnsi="Times New Roman" w:cs="Times New Roman"/>
                <w:sz w:val="20"/>
              </w:rPr>
              <w:t xml:space="preserve"> domain protein</w:t>
            </w:r>
          </w:p>
        </w:tc>
        <w:tc>
          <w:tcPr>
            <w:tcW w:w="992" w:type="dxa"/>
            <w:noWrap/>
            <w:hideMark/>
          </w:tcPr>
          <w:p w14:paraId="16A4C67A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noWrap/>
            <w:hideMark/>
          </w:tcPr>
          <w:p w14:paraId="4A5EED3E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30" w:type="dxa"/>
            <w:noWrap/>
            <w:hideMark/>
          </w:tcPr>
          <w:p w14:paraId="36C042D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noWrap/>
            <w:hideMark/>
          </w:tcPr>
          <w:p w14:paraId="08D0C105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4B8995E9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89" w:type="dxa"/>
            <w:noWrap/>
            <w:hideMark/>
          </w:tcPr>
          <w:p w14:paraId="7848F537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noWrap/>
            <w:hideMark/>
          </w:tcPr>
          <w:p w14:paraId="21F43C90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noWrap/>
            <w:hideMark/>
          </w:tcPr>
          <w:p w14:paraId="31C4244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694409" w:rsidRPr="004E50ED" w14:paraId="09EFAF17" w14:textId="77777777" w:rsidTr="00027B46">
        <w:trPr>
          <w:trHeight w:val="300"/>
        </w:trPr>
        <w:tc>
          <w:tcPr>
            <w:tcW w:w="3545" w:type="dxa"/>
            <w:tcBorders>
              <w:bottom w:val="single" w:sz="4" w:space="0" w:color="auto"/>
            </w:tcBorders>
            <w:noWrap/>
            <w:hideMark/>
          </w:tcPr>
          <w:p w14:paraId="259D386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4E50ED">
              <w:rPr>
                <w:rFonts w:ascii="Times New Roman" w:hAnsi="Times New Roman" w:cs="Times New Roman"/>
                <w:sz w:val="20"/>
              </w:rPr>
              <w:t>xylanase</w:t>
            </w:r>
            <w:proofErr w:type="spellEnd"/>
            <w:proofErr w:type="gramEnd"/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1B8A5B28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25D7D1CB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noWrap/>
            <w:hideMark/>
          </w:tcPr>
          <w:p w14:paraId="63981E6D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noWrap/>
            <w:hideMark/>
          </w:tcPr>
          <w:p w14:paraId="5DD438F4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noWrap/>
            <w:hideMark/>
          </w:tcPr>
          <w:p w14:paraId="3199BE0F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89" w:type="dxa"/>
            <w:tcBorders>
              <w:bottom w:val="single" w:sz="4" w:space="0" w:color="auto"/>
            </w:tcBorders>
            <w:noWrap/>
            <w:hideMark/>
          </w:tcPr>
          <w:p w14:paraId="721D21FC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noWrap/>
            <w:hideMark/>
          </w:tcPr>
          <w:p w14:paraId="62ADA6E6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noWrap/>
            <w:hideMark/>
          </w:tcPr>
          <w:p w14:paraId="3AE8A431" w14:textId="77777777" w:rsidR="00694409" w:rsidRPr="004E50ED" w:rsidRDefault="00694409" w:rsidP="004A619D">
            <w:pPr>
              <w:rPr>
                <w:rFonts w:ascii="Times New Roman" w:hAnsi="Times New Roman" w:cs="Times New Roman"/>
                <w:sz w:val="20"/>
              </w:rPr>
            </w:pPr>
            <w:r w:rsidRPr="004E50E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</w:tbl>
    <w:p w14:paraId="4B1CBD2D" w14:textId="77777777" w:rsidR="00E461A6" w:rsidRPr="004E50ED" w:rsidRDefault="00E461A6">
      <w:pPr>
        <w:rPr>
          <w:sz w:val="20"/>
        </w:rPr>
      </w:pPr>
    </w:p>
    <w:sectPr w:rsidR="00E461A6" w:rsidRPr="004E50ED" w:rsidSect="00E461A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409"/>
    <w:rsid w:val="00027B46"/>
    <w:rsid w:val="001D545C"/>
    <w:rsid w:val="004605BA"/>
    <w:rsid w:val="004E50ED"/>
    <w:rsid w:val="00694409"/>
    <w:rsid w:val="00DA5147"/>
    <w:rsid w:val="00E4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FB5EAC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409"/>
    <w:rPr>
      <w:szCs w:val="20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440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409"/>
    <w:rPr>
      <w:rFonts w:ascii="Lucida Grande" w:hAnsi="Lucida Grande" w:cs="Lucida Grande"/>
      <w:sz w:val="18"/>
      <w:szCs w:val="18"/>
      <w:lang w:val="en-GB" w:eastAsia="ja-JP"/>
    </w:rPr>
  </w:style>
  <w:style w:type="table" w:styleId="TableGrid">
    <w:name w:val="Table Grid"/>
    <w:basedOn w:val="TableNormal"/>
    <w:uiPriority w:val="59"/>
    <w:rsid w:val="00694409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6944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4409"/>
    <w:pPr>
      <w:spacing w:after="200"/>
    </w:pPr>
    <w:rPr>
      <w:rFonts w:ascii="Arial" w:eastAsiaTheme="minorHAnsi" w:hAnsi="Arial"/>
      <w:sz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4409"/>
    <w:rPr>
      <w:rFonts w:ascii="Arial" w:eastAsiaTheme="minorHAnsi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44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4409"/>
    <w:rPr>
      <w:rFonts w:ascii="Arial" w:eastAsiaTheme="minorHAnsi" w:hAnsi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94409"/>
    <w:pPr>
      <w:tabs>
        <w:tab w:val="center" w:pos="4703"/>
        <w:tab w:val="right" w:pos="9406"/>
      </w:tabs>
    </w:pPr>
    <w:rPr>
      <w:rFonts w:ascii="Arial" w:eastAsiaTheme="minorHAnsi" w:hAnsi="Arial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94409"/>
    <w:rPr>
      <w:rFonts w:ascii="Arial" w:eastAsiaTheme="minorHAnsi" w:hAnsi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94409"/>
    <w:pPr>
      <w:tabs>
        <w:tab w:val="center" w:pos="4703"/>
        <w:tab w:val="right" w:pos="9406"/>
      </w:tabs>
    </w:pPr>
    <w:rPr>
      <w:rFonts w:ascii="Arial" w:eastAsiaTheme="minorHAnsi" w:hAnsi="Arial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94409"/>
    <w:rPr>
      <w:rFonts w:ascii="Arial" w:eastAsiaTheme="minorHAnsi" w:hAnsi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409"/>
    <w:rPr>
      <w:szCs w:val="20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440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409"/>
    <w:rPr>
      <w:rFonts w:ascii="Lucida Grande" w:hAnsi="Lucida Grande" w:cs="Lucida Grande"/>
      <w:sz w:val="18"/>
      <w:szCs w:val="18"/>
      <w:lang w:val="en-GB" w:eastAsia="ja-JP"/>
    </w:rPr>
  </w:style>
  <w:style w:type="table" w:styleId="TableGrid">
    <w:name w:val="Table Grid"/>
    <w:basedOn w:val="TableNormal"/>
    <w:uiPriority w:val="59"/>
    <w:rsid w:val="00694409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6944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4409"/>
    <w:pPr>
      <w:spacing w:after="200"/>
    </w:pPr>
    <w:rPr>
      <w:rFonts w:ascii="Arial" w:eastAsiaTheme="minorHAnsi" w:hAnsi="Arial"/>
      <w:sz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4409"/>
    <w:rPr>
      <w:rFonts w:ascii="Arial" w:eastAsiaTheme="minorHAnsi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44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4409"/>
    <w:rPr>
      <w:rFonts w:ascii="Arial" w:eastAsiaTheme="minorHAnsi" w:hAnsi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94409"/>
    <w:pPr>
      <w:tabs>
        <w:tab w:val="center" w:pos="4703"/>
        <w:tab w:val="right" w:pos="9406"/>
      </w:tabs>
    </w:pPr>
    <w:rPr>
      <w:rFonts w:ascii="Arial" w:eastAsiaTheme="minorHAnsi" w:hAnsi="Arial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94409"/>
    <w:rPr>
      <w:rFonts w:ascii="Arial" w:eastAsiaTheme="minorHAnsi" w:hAnsi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94409"/>
    <w:pPr>
      <w:tabs>
        <w:tab w:val="center" w:pos="4703"/>
        <w:tab w:val="right" w:pos="9406"/>
      </w:tabs>
    </w:pPr>
    <w:rPr>
      <w:rFonts w:ascii="Arial" w:eastAsiaTheme="minorHAnsi" w:hAnsi="Arial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94409"/>
    <w:rPr>
      <w:rFonts w:ascii="Arial" w:eastAsiaTheme="minorHAnsi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6FD7E9-3A77-8A4A-83F2-93AF8714A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552</Words>
  <Characters>3147</Characters>
  <Application>Microsoft Macintosh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Georgios Tzelepis</dc:creator>
  <cp:keywords/>
  <dc:description/>
  <cp:lastModifiedBy>Georgios Tzelepis</cp:lastModifiedBy>
  <cp:revision>5</cp:revision>
  <dcterms:created xsi:type="dcterms:W3CDTF">2015-11-07T11:52:00Z</dcterms:created>
  <dcterms:modified xsi:type="dcterms:W3CDTF">2016-01-19T10:59:00Z</dcterms:modified>
</cp:coreProperties>
</file>