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FAE" w:rsidRDefault="00C12FAE" w:rsidP="00C12FAE">
      <w:pPr>
        <w:spacing w:after="0" w:line="360" w:lineRule="auto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Additional file 2:</w:t>
      </w:r>
      <w:r>
        <w:rPr>
          <w:rFonts w:ascii="Times New Roman" w:hAnsi="Times New Roman" w:cs="Times New Roman"/>
          <w:szCs w:val="24"/>
        </w:rPr>
        <w:t xml:space="preserve"> Assignment of DEGs to major categories, and biological functions obtained at embryonic stage for early treatment; H10UΔC, H10DΔC, L10UΔC and L10DΔC. </w:t>
      </w:r>
    </w:p>
    <w:tbl>
      <w:tblPr>
        <w:tblStyle w:val="TableGrid2"/>
        <w:tblW w:w="5266" w:type="pct"/>
        <w:tblLayout w:type="fixed"/>
        <w:tblLook w:val="04A0" w:firstRow="1" w:lastRow="0" w:firstColumn="1" w:lastColumn="0" w:noHBand="0" w:noVBand="1"/>
      </w:tblPr>
      <w:tblGrid>
        <w:gridCol w:w="2224"/>
        <w:gridCol w:w="855"/>
        <w:gridCol w:w="2784"/>
        <w:gridCol w:w="996"/>
        <w:gridCol w:w="899"/>
        <w:gridCol w:w="810"/>
        <w:gridCol w:w="5309"/>
      </w:tblGrid>
      <w:tr w:rsidR="00483A15" w:rsidRPr="00483A15" w:rsidTr="00483A15">
        <w:trPr>
          <w:trHeight w:val="422"/>
        </w:trPr>
        <w:tc>
          <w:tcPr>
            <w:tcW w:w="801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b/>
                <w:bCs/>
                <w:sz w:val="20"/>
              </w:rPr>
              <w:t>Major category</w:t>
            </w:r>
          </w:p>
        </w:tc>
        <w:tc>
          <w:tcPr>
            <w:tcW w:w="308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b/>
                <w:bCs/>
                <w:sz w:val="20"/>
              </w:rPr>
              <w:t>Ratio*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b/>
                <w:bCs/>
                <w:sz w:val="20"/>
              </w:rPr>
              <w:t>Biological function</w:t>
            </w:r>
          </w:p>
        </w:tc>
        <w:tc>
          <w:tcPr>
            <w:tcW w:w="359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b/>
                <w:bCs/>
                <w:sz w:val="20"/>
              </w:rPr>
              <w:t>BH P-value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483A15" w:rsidRPr="00C12FAE" w:rsidRDefault="00C12FAE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Z</w:t>
            </w:r>
            <w:r w:rsidR="00483A15" w:rsidRPr="00C12FAE">
              <w:rPr>
                <w:rFonts w:ascii="Times New Roman" w:hAnsi="Times New Roman" w:cs="Times New Roman"/>
                <w:b/>
                <w:bCs/>
                <w:sz w:val="20"/>
              </w:rPr>
              <w:t>-score</w:t>
            </w:r>
          </w:p>
        </w:tc>
        <w:tc>
          <w:tcPr>
            <w:tcW w:w="292" w:type="pct"/>
            <w:tcBorders>
              <w:bottom w:val="single" w:sz="4" w:space="0" w:color="auto"/>
            </w:tcBorders>
            <w:vAlign w:val="center"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2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 DEGs</w:t>
            </w:r>
          </w:p>
        </w:tc>
        <w:tc>
          <w:tcPr>
            <w:tcW w:w="1913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483A15" w:rsidRPr="00C12FAE" w:rsidRDefault="00483A15" w:rsidP="00174D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DEGs assigned to </w:t>
            </w:r>
            <w:proofErr w:type="spellStart"/>
            <w:r w:rsidRPr="00C12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biofunction</w:t>
            </w:r>
            <w:proofErr w:type="spellEnd"/>
            <w:r w:rsidRPr="00C12F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**</w:t>
            </w:r>
          </w:p>
        </w:tc>
      </w:tr>
      <w:tr w:rsidR="00483A15" w:rsidRPr="00DA311A" w:rsidTr="00483A15">
        <w:trPr>
          <w:trHeight w:val="167"/>
        </w:trPr>
        <w:tc>
          <w:tcPr>
            <w:tcW w:w="801" w:type="pct"/>
            <w:tcBorders>
              <w:right w:val="nil"/>
            </w:tcBorders>
            <w:noWrap/>
            <w:vAlign w:val="center"/>
            <w:hideMark/>
          </w:tcPr>
          <w:p w:rsidR="00483A15" w:rsidRPr="00C12FAE" w:rsidRDefault="00483A15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b/>
                <w:bCs/>
                <w:sz w:val="20"/>
              </w:rPr>
              <w:t>H10UΔC</w:t>
            </w:r>
          </w:p>
        </w:tc>
        <w:tc>
          <w:tcPr>
            <w:tcW w:w="308" w:type="pct"/>
            <w:tcBorders>
              <w:left w:val="nil"/>
              <w:right w:val="nil"/>
            </w:tcBorders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003" w:type="pct"/>
            <w:tcBorders>
              <w:left w:val="nil"/>
              <w:right w:val="nil"/>
            </w:tcBorders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59" w:type="pct"/>
            <w:tcBorders>
              <w:left w:val="nil"/>
              <w:right w:val="nil"/>
            </w:tcBorders>
            <w:noWrap/>
            <w:vAlign w:val="center"/>
            <w:hideMark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24" w:type="pct"/>
            <w:tcBorders>
              <w:left w:val="nil"/>
              <w:right w:val="nil"/>
            </w:tcBorders>
            <w:noWrap/>
            <w:vAlign w:val="center"/>
            <w:hideMark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292" w:type="pct"/>
            <w:tcBorders>
              <w:left w:val="nil"/>
              <w:right w:val="nil"/>
            </w:tcBorders>
            <w:vAlign w:val="center"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13" w:type="pct"/>
            <w:tcBorders>
              <w:left w:val="nil"/>
            </w:tcBorders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483A15" w:rsidRPr="00DA311A" w:rsidTr="00483A15">
        <w:trPr>
          <w:trHeight w:val="300"/>
        </w:trPr>
        <w:tc>
          <w:tcPr>
            <w:tcW w:w="801" w:type="pct"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b/>
                <w:bCs/>
                <w:sz w:val="20"/>
              </w:rPr>
              <w:t>Cell maintenance, proliferation differentiation and replacement</w:t>
            </w:r>
          </w:p>
        </w:tc>
        <w:tc>
          <w:tcPr>
            <w:tcW w:w="308" w:type="pct"/>
            <w:vAlign w:val="center"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003" w:type="pct"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Structure of sarcomere</w:t>
            </w:r>
          </w:p>
        </w:tc>
        <w:tc>
          <w:tcPr>
            <w:tcW w:w="359" w:type="pct"/>
            <w:noWrap/>
            <w:vAlign w:val="center"/>
            <w:hideMark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1.64E-02</w:t>
            </w:r>
          </w:p>
        </w:tc>
        <w:tc>
          <w:tcPr>
            <w:tcW w:w="324" w:type="pct"/>
            <w:noWrap/>
            <w:vAlign w:val="center"/>
            <w:hideMark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292" w:type="pct"/>
            <w:vAlign w:val="center"/>
          </w:tcPr>
          <w:p w:rsidR="00483A15" w:rsidRPr="00C12FAE" w:rsidRDefault="00483A15" w:rsidP="00483A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2F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13" w:type="pct"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DICER1, NEB, PPARGC1A</w:t>
            </w:r>
          </w:p>
        </w:tc>
      </w:tr>
      <w:tr w:rsidR="00483A15" w:rsidRPr="00DA311A" w:rsidTr="00483A15">
        <w:trPr>
          <w:trHeight w:val="300"/>
        </w:trPr>
        <w:tc>
          <w:tcPr>
            <w:tcW w:w="801" w:type="pct"/>
            <w:vMerge w:val="restart"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b/>
                <w:bCs/>
                <w:sz w:val="20"/>
              </w:rPr>
              <w:t>Organismal, organ and tissue development</w:t>
            </w:r>
          </w:p>
        </w:tc>
        <w:tc>
          <w:tcPr>
            <w:tcW w:w="308" w:type="pct"/>
            <w:vMerge w:val="restart"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1:1</w:t>
            </w:r>
          </w:p>
        </w:tc>
        <w:tc>
          <w:tcPr>
            <w:tcW w:w="1003" w:type="pct"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 xml:space="preserve">Mass of </w:t>
            </w:r>
            <w:proofErr w:type="spellStart"/>
            <w:r w:rsidRPr="00C12FAE">
              <w:rPr>
                <w:rFonts w:ascii="Times New Roman" w:hAnsi="Times New Roman" w:cs="Times New Roman"/>
                <w:sz w:val="20"/>
              </w:rPr>
              <w:t>epigonadal</w:t>
            </w:r>
            <w:proofErr w:type="spellEnd"/>
            <w:r w:rsidRPr="00C12FAE">
              <w:rPr>
                <w:rFonts w:ascii="Times New Roman" w:hAnsi="Times New Roman" w:cs="Times New Roman"/>
                <w:sz w:val="20"/>
              </w:rPr>
              <w:t xml:space="preserve"> fat pad</w:t>
            </w:r>
          </w:p>
        </w:tc>
        <w:tc>
          <w:tcPr>
            <w:tcW w:w="359" w:type="pct"/>
            <w:noWrap/>
            <w:vAlign w:val="center"/>
            <w:hideMark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3.60E-02</w:t>
            </w:r>
          </w:p>
        </w:tc>
        <w:tc>
          <w:tcPr>
            <w:tcW w:w="324" w:type="pct"/>
            <w:noWrap/>
            <w:vAlign w:val="center"/>
            <w:hideMark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-0.478</w:t>
            </w:r>
          </w:p>
        </w:tc>
        <w:tc>
          <w:tcPr>
            <w:tcW w:w="292" w:type="pct"/>
            <w:vAlign w:val="center"/>
          </w:tcPr>
          <w:p w:rsidR="00483A15" w:rsidRPr="00C12FAE" w:rsidRDefault="00483A15" w:rsidP="00483A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2F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913" w:type="pct"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CEBPB, GHR, GPAM, IGF1, IL1R1, INSIG1, PPARA</w:t>
            </w:r>
          </w:p>
        </w:tc>
      </w:tr>
      <w:tr w:rsidR="00483A15" w:rsidRPr="00DA311A" w:rsidTr="00483A15">
        <w:trPr>
          <w:trHeight w:val="683"/>
        </w:trPr>
        <w:tc>
          <w:tcPr>
            <w:tcW w:w="801" w:type="pct"/>
            <w:vMerge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08" w:type="pct"/>
            <w:vMerge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003" w:type="pct"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Percentage body fat</w:t>
            </w:r>
          </w:p>
        </w:tc>
        <w:tc>
          <w:tcPr>
            <w:tcW w:w="359" w:type="pct"/>
            <w:noWrap/>
            <w:vAlign w:val="center"/>
            <w:hideMark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3.54E-02</w:t>
            </w:r>
          </w:p>
        </w:tc>
        <w:tc>
          <w:tcPr>
            <w:tcW w:w="324" w:type="pct"/>
            <w:noWrap/>
            <w:vAlign w:val="center"/>
            <w:hideMark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0.152</w:t>
            </w:r>
          </w:p>
        </w:tc>
        <w:tc>
          <w:tcPr>
            <w:tcW w:w="292" w:type="pct"/>
            <w:vAlign w:val="center"/>
          </w:tcPr>
          <w:p w:rsidR="00483A15" w:rsidRPr="00C12FAE" w:rsidRDefault="00483A15" w:rsidP="00483A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2F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13" w:type="pct"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ADRA1B, AGPAT2, AKT1, CEBPB, COMT, GHR, GPAM, IL1R1, PPARA, PPARGC1A</w:t>
            </w:r>
          </w:p>
        </w:tc>
      </w:tr>
      <w:tr w:rsidR="00483A15" w:rsidRPr="00DA311A" w:rsidTr="00483A15">
        <w:trPr>
          <w:trHeight w:val="300"/>
        </w:trPr>
        <w:tc>
          <w:tcPr>
            <w:tcW w:w="801" w:type="pct"/>
            <w:vMerge w:val="restart"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b/>
                <w:bCs/>
                <w:sz w:val="20"/>
              </w:rPr>
              <w:t>Nutrient metabolism</w:t>
            </w:r>
          </w:p>
        </w:tc>
        <w:tc>
          <w:tcPr>
            <w:tcW w:w="308" w:type="pct"/>
            <w:vMerge w:val="restart"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4:0</w:t>
            </w:r>
          </w:p>
        </w:tc>
        <w:tc>
          <w:tcPr>
            <w:tcW w:w="1003" w:type="pct"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Concentration of fatty acid</w:t>
            </w:r>
          </w:p>
        </w:tc>
        <w:tc>
          <w:tcPr>
            <w:tcW w:w="359" w:type="pct"/>
            <w:noWrap/>
            <w:vAlign w:val="center"/>
            <w:hideMark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2.57E-02</w:t>
            </w:r>
          </w:p>
        </w:tc>
        <w:tc>
          <w:tcPr>
            <w:tcW w:w="324" w:type="pct"/>
            <w:noWrap/>
            <w:vAlign w:val="center"/>
            <w:hideMark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0.32</w:t>
            </w:r>
          </w:p>
        </w:tc>
        <w:tc>
          <w:tcPr>
            <w:tcW w:w="292" w:type="pct"/>
            <w:vAlign w:val="center"/>
          </w:tcPr>
          <w:p w:rsidR="00483A15" w:rsidRPr="00C12FAE" w:rsidRDefault="00483A15" w:rsidP="00483A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2F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913" w:type="pct"/>
            <w:vMerge w:val="restart"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PPARA, AGPAT2, AHSG, AKT1, CEBPA, CEBPB, CIDEA, ECI1, FABP1, FGF7</w:t>
            </w:r>
          </w:p>
        </w:tc>
      </w:tr>
      <w:tr w:rsidR="00483A15" w:rsidRPr="00DA311A" w:rsidTr="00483A15">
        <w:trPr>
          <w:trHeight w:val="300"/>
        </w:trPr>
        <w:tc>
          <w:tcPr>
            <w:tcW w:w="801" w:type="pct"/>
            <w:vMerge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08" w:type="pct"/>
            <w:vMerge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003" w:type="pct"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 xml:space="preserve">Concentration of </w:t>
            </w:r>
            <w:proofErr w:type="spellStart"/>
            <w:r w:rsidRPr="00C12FAE">
              <w:rPr>
                <w:rFonts w:ascii="Times New Roman" w:hAnsi="Times New Roman" w:cs="Times New Roman"/>
                <w:sz w:val="20"/>
              </w:rPr>
              <w:t>acylglycerol</w:t>
            </w:r>
            <w:proofErr w:type="spellEnd"/>
          </w:p>
        </w:tc>
        <w:tc>
          <w:tcPr>
            <w:tcW w:w="359" w:type="pct"/>
            <w:noWrap/>
            <w:vAlign w:val="center"/>
            <w:hideMark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2.57E-02</w:t>
            </w:r>
          </w:p>
        </w:tc>
        <w:tc>
          <w:tcPr>
            <w:tcW w:w="324" w:type="pct"/>
            <w:noWrap/>
            <w:vAlign w:val="center"/>
            <w:hideMark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0.499</w:t>
            </w:r>
          </w:p>
        </w:tc>
        <w:tc>
          <w:tcPr>
            <w:tcW w:w="292" w:type="pct"/>
            <w:vAlign w:val="center"/>
          </w:tcPr>
          <w:p w:rsidR="00483A15" w:rsidRPr="00C12FAE" w:rsidRDefault="00483A15" w:rsidP="00483A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2F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913" w:type="pct"/>
            <w:vMerge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483A15" w:rsidRPr="00DA311A" w:rsidTr="00483A15">
        <w:trPr>
          <w:trHeight w:val="300"/>
        </w:trPr>
        <w:tc>
          <w:tcPr>
            <w:tcW w:w="801" w:type="pct"/>
            <w:vMerge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08" w:type="pct"/>
            <w:vMerge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003" w:type="pct"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Concentration of triacylglycerol</w:t>
            </w:r>
          </w:p>
        </w:tc>
        <w:tc>
          <w:tcPr>
            <w:tcW w:w="359" w:type="pct"/>
            <w:noWrap/>
            <w:vAlign w:val="center"/>
            <w:hideMark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4.79E-02</w:t>
            </w:r>
          </w:p>
        </w:tc>
        <w:tc>
          <w:tcPr>
            <w:tcW w:w="324" w:type="pct"/>
            <w:noWrap/>
            <w:vAlign w:val="center"/>
            <w:hideMark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0.931</w:t>
            </w:r>
          </w:p>
        </w:tc>
        <w:tc>
          <w:tcPr>
            <w:tcW w:w="292" w:type="pct"/>
            <w:vAlign w:val="center"/>
          </w:tcPr>
          <w:p w:rsidR="00483A15" w:rsidRPr="00C12FAE" w:rsidRDefault="00483A15" w:rsidP="00483A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2F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913" w:type="pct"/>
            <w:vMerge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483A15" w:rsidRPr="00DA311A" w:rsidTr="00483A15">
        <w:trPr>
          <w:trHeight w:val="300"/>
        </w:trPr>
        <w:tc>
          <w:tcPr>
            <w:tcW w:w="801" w:type="pct"/>
            <w:vMerge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08" w:type="pct"/>
            <w:vMerge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003" w:type="pct"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Metabolism of amino acids</w:t>
            </w:r>
          </w:p>
        </w:tc>
        <w:tc>
          <w:tcPr>
            <w:tcW w:w="359" w:type="pct"/>
            <w:noWrap/>
            <w:vAlign w:val="center"/>
            <w:hideMark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2.57E-02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1.951</w:t>
            </w:r>
          </w:p>
        </w:tc>
        <w:tc>
          <w:tcPr>
            <w:tcW w:w="292" w:type="pct"/>
            <w:vAlign w:val="center"/>
          </w:tcPr>
          <w:p w:rsidR="00483A15" w:rsidRPr="00C12FAE" w:rsidRDefault="00483A15" w:rsidP="00483A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2F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913" w:type="pct"/>
            <w:vMerge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483A15" w:rsidRPr="00DA311A" w:rsidTr="00483A15">
        <w:trPr>
          <w:trHeight w:val="300"/>
        </w:trPr>
        <w:tc>
          <w:tcPr>
            <w:tcW w:w="801" w:type="pct"/>
            <w:vMerge w:val="restart"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b/>
                <w:bCs/>
                <w:sz w:val="20"/>
              </w:rPr>
              <w:t>Cell signaling and interaction</w:t>
            </w:r>
          </w:p>
        </w:tc>
        <w:tc>
          <w:tcPr>
            <w:tcW w:w="308" w:type="pct"/>
            <w:vMerge w:val="restart"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003" w:type="pct"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Insulin-like growth factor receptor signaling pathway</w:t>
            </w:r>
          </w:p>
        </w:tc>
        <w:tc>
          <w:tcPr>
            <w:tcW w:w="359" w:type="pct"/>
            <w:noWrap/>
            <w:vAlign w:val="center"/>
            <w:hideMark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1.67E-02</w:t>
            </w:r>
          </w:p>
        </w:tc>
        <w:tc>
          <w:tcPr>
            <w:tcW w:w="324" w:type="pct"/>
            <w:tcBorders>
              <w:bottom w:val="nil"/>
            </w:tcBorders>
            <w:noWrap/>
            <w:vAlign w:val="center"/>
            <w:hideMark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292" w:type="pct"/>
            <w:vAlign w:val="center"/>
          </w:tcPr>
          <w:p w:rsidR="00483A15" w:rsidRPr="00C12FAE" w:rsidRDefault="00483A15" w:rsidP="00483A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2F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13" w:type="pct"/>
            <w:vMerge w:val="restart"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ADRA1B, AGTR1, AKT1, ARHGAP29, ARHGAP5, ARHGEF3, DLC1, GHR, IGF1, PIK3R1</w:t>
            </w:r>
          </w:p>
        </w:tc>
      </w:tr>
      <w:tr w:rsidR="00483A15" w:rsidRPr="00DA311A" w:rsidTr="00483A15">
        <w:trPr>
          <w:trHeight w:val="300"/>
        </w:trPr>
        <w:tc>
          <w:tcPr>
            <w:tcW w:w="801" w:type="pct"/>
            <w:vMerge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08" w:type="pct"/>
            <w:vMerge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003" w:type="pct"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Rho protein signal transduction</w:t>
            </w:r>
          </w:p>
        </w:tc>
        <w:tc>
          <w:tcPr>
            <w:tcW w:w="359" w:type="pct"/>
            <w:noWrap/>
            <w:vAlign w:val="center"/>
            <w:hideMark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4.23E-02</w:t>
            </w:r>
          </w:p>
        </w:tc>
        <w:tc>
          <w:tcPr>
            <w:tcW w:w="324" w:type="pct"/>
            <w:tcBorders>
              <w:top w:val="nil"/>
            </w:tcBorders>
            <w:noWrap/>
            <w:vAlign w:val="center"/>
            <w:hideMark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292" w:type="pct"/>
            <w:vAlign w:val="center"/>
          </w:tcPr>
          <w:p w:rsidR="00483A15" w:rsidRPr="00C12FAE" w:rsidRDefault="00483A15" w:rsidP="00483A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2F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13" w:type="pct"/>
            <w:vMerge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483A15" w:rsidRPr="00DA311A" w:rsidTr="00923E34">
        <w:trPr>
          <w:trHeight w:val="575"/>
        </w:trPr>
        <w:tc>
          <w:tcPr>
            <w:tcW w:w="801" w:type="pct"/>
            <w:vMerge w:val="restart"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b/>
                <w:bCs/>
                <w:sz w:val="20"/>
              </w:rPr>
              <w:t>Small molecule biochemistry</w:t>
            </w:r>
          </w:p>
        </w:tc>
        <w:tc>
          <w:tcPr>
            <w:tcW w:w="308" w:type="pct"/>
            <w:vMerge w:val="restart"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4:0</w:t>
            </w:r>
          </w:p>
        </w:tc>
        <w:tc>
          <w:tcPr>
            <w:tcW w:w="1003" w:type="pct"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Beta-oxidation of lipid</w:t>
            </w:r>
          </w:p>
        </w:tc>
        <w:tc>
          <w:tcPr>
            <w:tcW w:w="359" w:type="pct"/>
            <w:noWrap/>
            <w:vAlign w:val="center"/>
            <w:hideMark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2.10E-05</w:t>
            </w:r>
          </w:p>
        </w:tc>
        <w:tc>
          <w:tcPr>
            <w:tcW w:w="324" w:type="pct"/>
            <w:noWrap/>
            <w:vAlign w:val="center"/>
            <w:hideMark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1.72</w:t>
            </w:r>
          </w:p>
        </w:tc>
        <w:tc>
          <w:tcPr>
            <w:tcW w:w="292" w:type="pct"/>
            <w:vAlign w:val="center"/>
          </w:tcPr>
          <w:p w:rsidR="00483A15" w:rsidRPr="00C12FAE" w:rsidRDefault="00483A15" w:rsidP="00483A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2F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913" w:type="pct"/>
            <w:vMerge w:val="restart"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ABCD3, ACADSB, ACOX2, ACOX3, BDH2, CPT1A, CPT2, DECR1, ECHS1, ECI1</w:t>
            </w:r>
          </w:p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483A15" w:rsidRPr="00DA311A" w:rsidTr="00923E34">
        <w:trPr>
          <w:trHeight w:val="530"/>
        </w:trPr>
        <w:tc>
          <w:tcPr>
            <w:tcW w:w="801" w:type="pct"/>
            <w:vMerge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08" w:type="pct"/>
            <w:vMerge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003" w:type="pct"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Oxidation of lipid</w:t>
            </w:r>
          </w:p>
        </w:tc>
        <w:tc>
          <w:tcPr>
            <w:tcW w:w="359" w:type="pct"/>
            <w:noWrap/>
            <w:vAlign w:val="center"/>
            <w:hideMark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2.92E-05</w:t>
            </w:r>
          </w:p>
        </w:tc>
        <w:tc>
          <w:tcPr>
            <w:tcW w:w="324" w:type="pct"/>
            <w:noWrap/>
            <w:vAlign w:val="center"/>
            <w:hideMark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2.055</w:t>
            </w:r>
          </w:p>
        </w:tc>
        <w:tc>
          <w:tcPr>
            <w:tcW w:w="292" w:type="pct"/>
            <w:vAlign w:val="center"/>
          </w:tcPr>
          <w:p w:rsidR="00483A15" w:rsidRPr="00C12FAE" w:rsidRDefault="00483A15" w:rsidP="00483A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2F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913" w:type="pct"/>
            <w:vMerge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483A15" w:rsidRPr="00DA311A" w:rsidTr="00923E34">
        <w:trPr>
          <w:trHeight w:val="521"/>
        </w:trPr>
        <w:tc>
          <w:tcPr>
            <w:tcW w:w="801" w:type="pct"/>
            <w:vMerge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08" w:type="pct"/>
            <w:vMerge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003" w:type="pct"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Oxidation of fatty acid</w:t>
            </w:r>
          </w:p>
        </w:tc>
        <w:tc>
          <w:tcPr>
            <w:tcW w:w="359" w:type="pct"/>
            <w:noWrap/>
            <w:vAlign w:val="center"/>
            <w:hideMark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4.18E-05</w:t>
            </w:r>
          </w:p>
        </w:tc>
        <w:tc>
          <w:tcPr>
            <w:tcW w:w="324" w:type="pct"/>
            <w:noWrap/>
            <w:vAlign w:val="center"/>
            <w:hideMark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2.133</w:t>
            </w:r>
          </w:p>
        </w:tc>
        <w:tc>
          <w:tcPr>
            <w:tcW w:w="292" w:type="pct"/>
            <w:vAlign w:val="center"/>
          </w:tcPr>
          <w:p w:rsidR="00483A15" w:rsidRPr="00C12FAE" w:rsidRDefault="00483A15" w:rsidP="00483A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2F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913" w:type="pct"/>
            <w:vMerge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483A15" w:rsidRPr="00DA311A" w:rsidTr="00923E34">
        <w:trPr>
          <w:trHeight w:val="800"/>
        </w:trPr>
        <w:tc>
          <w:tcPr>
            <w:tcW w:w="801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08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003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Beta-oxidation of fatty acid</w:t>
            </w:r>
          </w:p>
        </w:tc>
        <w:tc>
          <w:tcPr>
            <w:tcW w:w="359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4.18E-05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2.355</w:t>
            </w:r>
          </w:p>
        </w:tc>
        <w:tc>
          <w:tcPr>
            <w:tcW w:w="292" w:type="pct"/>
            <w:tcBorders>
              <w:bottom w:val="single" w:sz="4" w:space="0" w:color="auto"/>
            </w:tcBorders>
            <w:vAlign w:val="center"/>
          </w:tcPr>
          <w:p w:rsidR="00483A15" w:rsidRPr="00C12FAE" w:rsidRDefault="00483A15" w:rsidP="00483A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2F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913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483A15" w:rsidRPr="00DA311A" w:rsidTr="00483A15">
        <w:trPr>
          <w:trHeight w:val="253"/>
        </w:trPr>
        <w:tc>
          <w:tcPr>
            <w:tcW w:w="801" w:type="pct"/>
            <w:tcBorders>
              <w:right w:val="nil"/>
            </w:tcBorders>
            <w:noWrap/>
            <w:vAlign w:val="center"/>
            <w:hideMark/>
          </w:tcPr>
          <w:p w:rsidR="00483A15" w:rsidRPr="00C12FAE" w:rsidRDefault="00483A15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b/>
                <w:bCs/>
                <w:sz w:val="20"/>
              </w:rPr>
              <w:lastRenderedPageBreak/>
              <w:t>H10DΔC</w:t>
            </w:r>
          </w:p>
        </w:tc>
        <w:tc>
          <w:tcPr>
            <w:tcW w:w="308" w:type="pct"/>
            <w:tcBorders>
              <w:left w:val="nil"/>
              <w:right w:val="nil"/>
            </w:tcBorders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003" w:type="pct"/>
            <w:tcBorders>
              <w:left w:val="nil"/>
              <w:right w:val="nil"/>
            </w:tcBorders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59" w:type="pct"/>
            <w:tcBorders>
              <w:left w:val="nil"/>
              <w:right w:val="nil"/>
            </w:tcBorders>
            <w:noWrap/>
            <w:vAlign w:val="center"/>
            <w:hideMark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24" w:type="pct"/>
            <w:tcBorders>
              <w:left w:val="nil"/>
              <w:right w:val="nil"/>
            </w:tcBorders>
            <w:noWrap/>
            <w:vAlign w:val="center"/>
            <w:hideMark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292" w:type="pct"/>
            <w:tcBorders>
              <w:left w:val="nil"/>
              <w:right w:val="nil"/>
            </w:tcBorders>
            <w:vAlign w:val="center"/>
          </w:tcPr>
          <w:p w:rsidR="00483A15" w:rsidRPr="00C12FAE" w:rsidRDefault="00483A15" w:rsidP="00483A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13" w:type="pct"/>
            <w:tcBorders>
              <w:left w:val="nil"/>
            </w:tcBorders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483A15" w:rsidRPr="00DA311A" w:rsidTr="00483A15">
        <w:trPr>
          <w:trHeight w:val="300"/>
        </w:trPr>
        <w:tc>
          <w:tcPr>
            <w:tcW w:w="801" w:type="pct"/>
            <w:vMerge w:val="restart"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b/>
                <w:bCs/>
                <w:sz w:val="20"/>
              </w:rPr>
              <w:t>Organismal, organ and tissue development</w:t>
            </w:r>
          </w:p>
        </w:tc>
        <w:tc>
          <w:tcPr>
            <w:tcW w:w="308" w:type="pct"/>
            <w:vMerge w:val="restart"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003" w:type="pct"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Development of joint</w:t>
            </w:r>
          </w:p>
        </w:tc>
        <w:tc>
          <w:tcPr>
            <w:tcW w:w="359" w:type="pct"/>
            <w:noWrap/>
            <w:vAlign w:val="center"/>
            <w:hideMark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7.10E-04</w:t>
            </w:r>
          </w:p>
        </w:tc>
        <w:tc>
          <w:tcPr>
            <w:tcW w:w="324" w:type="pct"/>
            <w:vMerge w:val="restart"/>
            <w:noWrap/>
            <w:vAlign w:val="center"/>
            <w:hideMark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292" w:type="pct"/>
            <w:vAlign w:val="center"/>
          </w:tcPr>
          <w:p w:rsidR="00483A15" w:rsidRPr="00C12FAE" w:rsidRDefault="00483A15" w:rsidP="00483A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2F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13" w:type="pct"/>
            <w:vMerge w:val="restart"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NFATC1, NFATC2, FMOD, NOG</w:t>
            </w:r>
          </w:p>
        </w:tc>
      </w:tr>
      <w:tr w:rsidR="00483A15" w:rsidRPr="00DA311A" w:rsidTr="00483A15">
        <w:trPr>
          <w:trHeight w:val="300"/>
        </w:trPr>
        <w:tc>
          <w:tcPr>
            <w:tcW w:w="801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08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003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Formation of osteophyte</w:t>
            </w:r>
          </w:p>
        </w:tc>
        <w:tc>
          <w:tcPr>
            <w:tcW w:w="359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3.17E-02</w:t>
            </w:r>
          </w:p>
        </w:tc>
        <w:tc>
          <w:tcPr>
            <w:tcW w:w="324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292" w:type="pct"/>
            <w:tcBorders>
              <w:bottom w:val="single" w:sz="4" w:space="0" w:color="auto"/>
            </w:tcBorders>
            <w:vAlign w:val="center"/>
          </w:tcPr>
          <w:p w:rsidR="00483A15" w:rsidRPr="00C12FAE" w:rsidRDefault="00483A15" w:rsidP="00483A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2F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13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483A15" w:rsidRPr="00DA311A" w:rsidTr="00483A15">
        <w:trPr>
          <w:trHeight w:val="248"/>
        </w:trPr>
        <w:tc>
          <w:tcPr>
            <w:tcW w:w="801" w:type="pct"/>
            <w:tcBorders>
              <w:right w:val="nil"/>
            </w:tcBorders>
            <w:noWrap/>
            <w:vAlign w:val="center"/>
            <w:hideMark/>
          </w:tcPr>
          <w:p w:rsidR="00483A15" w:rsidRPr="00C12FAE" w:rsidRDefault="00483A15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b/>
                <w:bCs/>
                <w:sz w:val="20"/>
              </w:rPr>
              <w:t>L10UΔC</w:t>
            </w:r>
          </w:p>
        </w:tc>
        <w:tc>
          <w:tcPr>
            <w:tcW w:w="308" w:type="pct"/>
            <w:tcBorders>
              <w:left w:val="nil"/>
              <w:right w:val="nil"/>
            </w:tcBorders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003" w:type="pct"/>
            <w:tcBorders>
              <w:left w:val="nil"/>
              <w:right w:val="nil"/>
            </w:tcBorders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59" w:type="pct"/>
            <w:tcBorders>
              <w:left w:val="nil"/>
              <w:right w:val="nil"/>
            </w:tcBorders>
            <w:noWrap/>
            <w:vAlign w:val="center"/>
            <w:hideMark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24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292" w:type="pct"/>
            <w:tcBorders>
              <w:left w:val="nil"/>
              <w:right w:val="nil"/>
            </w:tcBorders>
            <w:vAlign w:val="center"/>
          </w:tcPr>
          <w:p w:rsidR="00483A15" w:rsidRPr="00C12FAE" w:rsidRDefault="00483A15" w:rsidP="00483A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13" w:type="pct"/>
            <w:tcBorders>
              <w:left w:val="nil"/>
            </w:tcBorders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483A15" w:rsidRPr="00DA311A" w:rsidTr="00483A15">
        <w:trPr>
          <w:trHeight w:val="300"/>
        </w:trPr>
        <w:tc>
          <w:tcPr>
            <w:tcW w:w="801" w:type="pct"/>
            <w:vMerge w:val="restart"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b/>
                <w:bCs/>
                <w:sz w:val="20"/>
              </w:rPr>
              <w:t>Cell maintenance, proliferation differentiation and replacement</w:t>
            </w:r>
          </w:p>
        </w:tc>
        <w:tc>
          <w:tcPr>
            <w:tcW w:w="308" w:type="pct"/>
            <w:vMerge w:val="restart"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003" w:type="pct"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Production of lymphocytes</w:t>
            </w:r>
          </w:p>
        </w:tc>
        <w:tc>
          <w:tcPr>
            <w:tcW w:w="359" w:type="pct"/>
            <w:noWrap/>
            <w:vAlign w:val="center"/>
            <w:hideMark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2.34E-02</w:t>
            </w:r>
          </w:p>
        </w:tc>
        <w:tc>
          <w:tcPr>
            <w:tcW w:w="324" w:type="pct"/>
            <w:tcBorders>
              <w:bottom w:val="nil"/>
            </w:tcBorders>
            <w:noWrap/>
            <w:vAlign w:val="center"/>
            <w:hideMark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292" w:type="pct"/>
            <w:vAlign w:val="center"/>
          </w:tcPr>
          <w:p w:rsidR="00483A15" w:rsidRPr="00C12FAE" w:rsidRDefault="00483A15" w:rsidP="00483A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2F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13" w:type="pct"/>
            <w:vMerge w:val="restart"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ETV6, LIMS1, NFKBIA, CNR2, WNT11</w:t>
            </w:r>
          </w:p>
        </w:tc>
      </w:tr>
      <w:tr w:rsidR="00483A15" w:rsidRPr="00DA311A" w:rsidTr="00483A15">
        <w:trPr>
          <w:trHeight w:val="300"/>
        </w:trPr>
        <w:tc>
          <w:tcPr>
            <w:tcW w:w="801" w:type="pct"/>
            <w:vMerge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08" w:type="pct"/>
            <w:vMerge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003" w:type="pct"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Depletion of marginal-zone B lymphocytes</w:t>
            </w:r>
          </w:p>
        </w:tc>
        <w:tc>
          <w:tcPr>
            <w:tcW w:w="359" w:type="pct"/>
            <w:noWrap/>
            <w:vAlign w:val="center"/>
            <w:hideMark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2.34E-02</w:t>
            </w:r>
          </w:p>
        </w:tc>
        <w:tc>
          <w:tcPr>
            <w:tcW w:w="324" w:type="pct"/>
            <w:tcBorders>
              <w:top w:val="nil"/>
              <w:bottom w:val="nil"/>
            </w:tcBorders>
            <w:noWrap/>
            <w:vAlign w:val="center"/>
            <w:hideMark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292" w:type="pct"/>
            <w:vAlign w:val="center"/>
          </w:tcPr>
          <w:p w:rsidR="00483A15" w:rsidRPr="00C12FAE" w:rsidRDefault="00483A15" w:rsidP="00483A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2F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13" w:type="pct"/>
            <w:vMerge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483A15" w:rsidRPr="00DA311A" w:rsidTr="00483A15">
        <w:trPr>
          <w:trHeight w:val="300"/>
        </w:trPr>
        <w:tc>
          <w:tcPr>
            <w:tcW w:w="801" w:type="pct"/>
            <w:vMerge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08" w:type="pct"/>
            <w:vMerge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003" w:type="pct"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Apoptosis of embryonic cells</w:t>
            </w:r>
          </w:p>
        </w:tc>
        <w:tc>
          <w:tcPr>
            <w:tcW w:w="359" w:type="pct"/>
            <w:noWrap/>
            <w:vAlign w:val="center"/>
            <w:hideMark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2.80E-02</w:t>
            </w:r>
          </w:p>
        </w:tc>
        <w:tc>
          <w:tcPr>
            <w:tcW w:w="324" w:type="pct"/>
            <w:tcBorders>
              <w:top w:val="nil"/>
              <w:bottom w:val="nil"/>
            </w:tcBorders>
            <w:noWrap/>
            <w:vAlign w:val="center"/>
            <w:hideMark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292" w:type="pct"/>
            <w:vAlign w:val="center"/>
          </w:tcPr>
          <w:p w:rsidR="00483A15" w:rsidRPr="00C12FAE" w:rsidRDefault="00483A15" w:rsidP="00483A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2F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13" w:type="pct"/>
            <w:vMerge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483A15" w:rsidRPr="00DA311A" w:rsidTr="00483A15">
        <w:trPr>
          <w:trHeight w:val="300"/>
        </w:trPr>
        <w:tc>
          <w:tcPr>
            <w:tcW w:w="801" w:type="pct"/>
            <w:vMerge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08" w:type="pct"/>
            <w:vMerge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003" w:type="pct"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Apoptosis of breast cell lines</w:t>
            </w:r>
          </w:p>
        </w:tc>
        <w:tc>
          <w:tcPr>
            <w:tcW w:w="359" w:type="pct"/>
            <w:noWrap/>
            <w:vAlign w:val="center"/>
            <w:hideMark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3.14E-02</w:t>
            </w:r>
          </w:p>
        </w:tc>
        <w:tc>
          <w:tcPr>
            <w:tcW w:w="324" w:type="pct"/>
            <w:tcBorders>
              <w:top w:val="nil"/>
              <w:bottom w:val="nil"/>
            </w:tcBorders>
            <w:noWrap/>
            <w:vAlign w:val="center"/>
            <w:hideMark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292" w:type="pct"/>
            <w:vAlign w:val="center"/>
          </w:tcPr>
          <w:p w:rsidR="00483A15" w:rsidRPr="00C12FAE" w:rsidRDefault="00483A15" w:rsidP="00483A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2F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13" w:type="pct"/>
            <w:vMerge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483A15" w:rsidRPr="00DA311A" w:rsidTr="00483A15">
        <w:trPr>
          <w:trHeight w:val="300"/>
        </w:trPr>
        <w:tc>
          <w:tcPr>
            <w:tcW w:w="801" w:type="pct"/>
            <w:vMerge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08" w:type="pct"/>
            <w:vMerge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003" w:type="pct"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Maturation of fibroblast cell lines</w:t>
            </w:r>
          </w:p>
        </w:tc>
        <w:tc>
          <w:tcPr>
            <w:tcW w:w="359" w:type="pct"/>
            <w:noWrap/>
            <w:vAlign w:val="center"/>
            <w:hideMark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3.41E-02</w:t>
            </w:r>
          </w:p>
        </w:tc>
        <w:tc>
          <w:tcPr>
            <w:tcW w:w="324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292" w:type="pct"/>
            <w:vAlign w:val="center"/>
          </w:tcPr>
          <w:p w:rsidR="00483A15" w:rsidRPr="00C12FAE" w:rsidRDefault="00483A15" w:rsidP="00483A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2F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13" w:type="pct"/>
            <w:vMerge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483A15" w:rsidRPr="00DA311A" w:rsidTr="00483A15">
        <w:trPr>
          <w:trHeight w:val="300"/>
        </w:trPr>
        <w:tc>
          <w:tcPr>
            <w:tcW w:w="801" w:type="pct"/>
            <w:vMerge w:val="restart"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b/>
                <w:bCs/>
                <w:sz w:val="20"/>
              </w:rPr>
              <w:t>Organismal, organ and tissue development</w:t>
            </w:r>
          </w:p>
        </w:tc>
        <w:tc>
          <w:tcPr>
            <w:tcW w:w="308" w:type="pct"/>
            <w:vMerge w:val="restart"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003" w:type="pct"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Aggregation of intestinal cell lines</w:t>
            </w:r>
          </w:p>
        </w:tc>
        <w:tc>
          <w:tcPr>
            <w:tcW w:w="359" w:type="pct"/>
            <w:noWrap/>
            <w:vAlign w:val="center"/>
            <w:hideMark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2.34E-02</w:t>
            </w:r>
          </w:p>
        </w:tc>
        <w:tc>
          <w:tcPr>
            <w:tcW w:w="324" w:type="pct"/>
            <w:tcBorders>
              <w:bottom w:val="nil"/>
            </w:tcBorders>
            <w:noWrap/>
            <w:vAlign w:val="center"/>
            <w:hideMark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292" w:type="pct"/>
            <w:vAlign w:val="center"/>
          </w:tcPr>
          <w:p w:rsidR="00483A15" w:rsidRPr="00C12FAE" w:rsidRDefault="00483A15" w:rsidP="00483A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2F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13" w:type="pct"/>
            <w:vMerge w:val="restart"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CNR2, ETV6, LIMS1, NFKBIA, WNT11</w:t>
            </w:r>
          </w:p>
        </w:tc>
      </w:tr>
      <w:tr w:rsidR="00483A15" w:rsidRPr="00DA311A" w:rsidTr="00483A15">
        <w:trPr>
          <w:trHeight w:val="300"/>
        </w:trPr>
        <w:tc>
          <w:tcPr>
            <w:tcW w:w="801" w:type="pct"/>
            <w:vMerge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08" w:type="pct"/>
            <w:vMerge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003" w:type="pct"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Delay in initiation of branching of mammary duct</w:t>
            </w:r>
          </w:p>
        </w:tc>
        <w:tc>
          <w:tcPr>
            <w:tcW w:w="359" w:type="pct"/>
            <w:noWrap/>
            <w:vAlign w:val="center"/>
            <w:hideMark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2.34E-02</w:t>
            </w:r>
          </w:p>
        </w:tc>
        <w:tc>
          <w:tcPr>
            <w:tcW w:w="324" w:type="pct"/>
            <w:tcBorders>
              <w:top w:val="nil"/>
              <w:bottom w:val="nil"/>
            </w:tcBorders>
            <w:noWrap/>
            <w:vAlign w:val="center"/>
            <w:hideMark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292" w:type="pct"/>
            <w:vAlign w:val="center"/>
          </w:tcPr>
          <w:p w:rsidR="00483A15" w:rsidRPr="00C12FAE" w:rsidRDefault="00483A15" w:rsidP="00483A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2F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13" w:type="pct"/>
            <w:vMerge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483A15" w:rsidRPr="00DA311A" w:rsidTr="00483A15">
        <w:trPr>
          <w:trHeight w:val="300"/>
        </w:trPr>
        <w:tc>
          <w:tcPr>
            <w:tcW w:w="801" w:type="pct"/>
            <w:vMerge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08" w:type="pct"/>
            <w:vMerge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003" w:type="pct"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Expansion of cortical bone</w:t>
            </w:r>
          </w:p>
        </w:tc>
        <w:tc>
          <w:tcPr>
            <w:tcW w:w="359" w:type="pct"/>
            <w:noWrap/>
            <w:vAlign w:val="center"/>
            <w:hideMark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2.34E-02</w:t>
            </w:r>
          </w:p>
        </w:tc>
        <w:tc>
          <w:tcPr>
            <w:tcW w:w="324" w:type="pct"/>
            <w:tcBorders>
              <w:top w:val="nil"/>
              <w:bottom w:val="nil"/>
            </w:tcBorders>
            <w:noWrap/>
            <w:vAlign w:val="center"/>
            <w:hideMark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292" w:type="pct"/>
            <w:vAlign w:val="center"/>
          </w:tcPr>
          <w:p w:rsidR="00483A15" w:rsidRPr="00C12FAE" w:rsidRDefault="00483A15" w:rsidP="00483A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2F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13" w:type="pct"/>
            <w:vMerge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483A15" w:rsidRPr="00DA311A" w:rsidTr="00483A15">
        <w:trPr>
          <w:trHeight w:val="300"/>
        </w:trPr>
        <w:tc>
          <w:tcPr>
            <w:tcW w:w="801" w:type="pct"/>
            <w:vMerge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08" w:type="pct"/>
            <w:vMerge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003" w:type="pct"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Quantity of colony forming unit myeloid cell</w:t>
            </w:r>
          </w:p>
        </w:tc>
        <w:tc>
          <w:tcPr>
            <w:tcW w:w="359" w:type="pct"/>
            <w:noWrap/>
            <w:vAlign w:val="center"/>
            <w:hideMark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2.80E-02</w:t>
            </w:r>
          </w:p>
        </w:tc>
        <w:tc>
          <w:tcPr>
            <w:tcW w:w="324" w:type="pct"/>
            <w:tcBorders>
              <w:top w:val="nil"/>
              <w:bottom w:val="nil"/>
            </w:tcBorders>
            <w:noWrap/>
            <w:vAlign w:val="center"/>
            <w:hideMark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292" w:type="pct"/>
            <w:vAlign w:val="center"/>
          </w:tcPr>
          <w:p w:rsidR="00483A15" w:rsidRPr="00C12FAE" w:rsidRDefault="00483A15" w:rsidP="00483A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2F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13" w:type="pct"/>
            <w:vMerge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483A15" w:rsidRPr="00DA311A" w:rsidTr="00483A15">
        <w:trPr>
          <w:trHeight w:val="300"/>
        </w:trPr>
        <w:tc>
          <w:tcPr>
            <w:tcW w:w="801" w:type="pct"/>
            <w:vMerge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08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003" w:type="pct"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Function of myocardium</w:t>
            </w:r>
          </w:p>
        </w:tc>
        <w:tc>
          <w:tcPr>
            <w:tcW w:w="359" w:type="pct"/>
            <w:noWrap/>
            <w:vAlign w:val="center"/>
            <w:hideMark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3.41E-02</w:t>
            </w:r>
          </w:p>
        </w:tc>
        <w:tc>
          <w:tcPr>
            <w:tcW w:w="324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292" w:type="pct"/>
            <w:vAlign w:val="center"/>
          </w:tcPr>
          <w:p w:rsidR="00483A15" w:rsidRPr="00C12FAE" w:rsidRDefault="00483A15" w:rsidP="00483A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2F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13" w:type="pct"/>
            <w:vMerge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483A15" w:rsidRPr="00DA311A" w:rsidTr="00483A15">
        <w:trPr>
          <w:trHeight w:val="300"/>
        </w:trPr>
        <w:tc>
          <w:tcPr>
            <w:tcW w:w="801" w:type="pct"/>
            <w:vMerge w:val="restart"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b/>
                <w:bCs/>
                <w:sz w:val="20"/>
              </w:rPr>
              <w:t>Nutrient metabolism</w:t>
            </w:r>
          </w:p>
        </w:tc>
        <w:tc>
          <w:tcPr>
            <w:tcW w:w="308" w:type="pct"/>
            <w:tcBorders>
              <w:bottom w:val="nil"/>
            </w:tcBorders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003" w:type="pct"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Phosphorylation of D-pantothenic acid</w:t>
            </w:r>
          </w:p>
        </w:tc>
        <w:tc>
          <w:tcPr>
            <w:tcW w:w="359" w:type="pct"/>
            <w:noWrap/>
            <w:vAlign w:val="center"/>
            <w:hideMark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2.34E-02</w:t>
            </w:r>
          </w:p>
        </w:tc>
        <w:tc>
          <w:tcPr>
            <w:tcW w:w="324" w:type="pct"/>
            <w:tcBorders>
              <w:bottom w:val="nil"/>
            </w:tcBorders>
            <w:noWrap/>
            <w:vAlign w:val="center"/>
            <w:hideMark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292" w:type="pct"/>
            <w:vAlign w:val="center"/>
          </w:tcPr>
          <w:p w:rsidR="00483A15" w:rsidRPr="00C12FAE" w:rsidRDefault="00483A15" w:rsidP="00483A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2F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13" w:type="pct"/>
            <w:vMerge w:val="restart"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ENTPD2, GLTP, NFKBIA, PANK2, PANK2</w:t>
            </w:r>
          </w:p>
        </w:tc>
      </w:tr>
      <w:tr w:rsidR="00483A15" w:rsidRPr="00DA311A" w:rsidTr="00483A15">
        <w:trPr>
          <w:trHeight w:val="300"/>
        </w:trPr>
        <w:tc>
          <w:tcPr>
            <w:tcW w:w="801" w:type="pct"/>
            <w:vMerge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08" w:type="pct"/>
            <w:tcBorders>
              <w:top w:val="nil"/>
              <w:bottom w:val="nil"/>
            </w:tcBorders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003" w:type="pct"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Conversion of ADP</w:t>
            </w:r>
          </w:p>
        </w:tc>
        <w:tc>
          <w:tcPr>
            <w:tcW w:w="359" w:type="pct"/>
            <w:noWrap/>
            <w:vAlign w:val="center"/>
            <w:hideMark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2.34E-02</w:t>
            </w:r>
          </w:p>
        </w:tc>
        <w:tc>
          <w:tcPr>
            <w:tcW w:w="324" w:type="pct"/>
            <w:tcBorders>
              <w:top w:val="nil"/>
              <w:bottom w:val="nil"/>
            </w:tcBorders>
            <w:noWrap/>
            <w:vAlign w:val="center"/>
            <w:hideMark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292" w:type="pct"/>
            <w:vAlign w:val="center"/>
          </w:tcPr>
          <w:p w:rsidR="00483A15" w:rsidRPr="00C12FAE" w:rsidRDefault="00483A15" w:rsidP="00483A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2F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13" w:type="pct"/>
            <w:vMerge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483A15" w:rsidRPr="00DA311A" w:rsidTr="00483A15">
        <w:trPr>
          <w:trHeight w:val="300"/>
        </w:trPr>
        <w:tc>
          <w:tcPr>
            <w:tcW w:w="801" w:type="pct"/>
            <w:vMerge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08" w:type="pct"/>
            <w:tcBorders>
              <w:top w:val="nil"/>
              <w:bottom w:val="nil"/>
            </w:tcBorders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003" w:type="pct"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Transport of glycolipid</w:t>
            </w:r>
          </w:p>
        </w:tc>
        <w:tc>
          <w:tcPr>
            <w:tcW w:w="359" w:type="pct"/>
            <w:noWrap/>
            <w:vAlign w:val="center"/>
            <w:hideMark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3.90E-02</w:t>
            </w:r>
          </w:p>
        </w:tc>
        <w:tc>
          <w:tcPr>
            <w:tcW w:w="324" w:type="pct"/>
            <w:tcBorders>
              <w:top w:val="nil"/>
              <w:bottom w:val="nil"/>
            </w:tcBorders>
            <w:noWrap/>
            <w:vAlign w:val="center"/>
            <w:hideMark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292" w:type="pct"/>
            <w:vAlign w:val="center"/>
          </w:tcPr>
          <w:p w:rsidR="00483A15" w:rsidRPr="00C12FAE" w:rsidRDefault="00483A15" w:rsidP="00483A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2F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13" w:type="pct"/>
            <w:vMerge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483A15" w:rsidRPr="00DA311A" w:rsidTr="00483A15">
        <w:trPr>
          <w:trHeight w:val="300"/>
        </w:trPr>
        <w:tc>
          <w:tcPr>
            <w:tcW w:w="801" w:type="pct"/>
            <w:vMerge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08" w:type="pct"/>
            <w:tcBorders>
              <w:top w:val="nil"/>
              <w:bottom w:val="nil"/>
            </w:tcBorders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003" w:type="pct"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Synthesis of 12(S)-</w:t>
            </w:r>
            <w:proofErr w:type="spellStart"/>
            <w:r w:rsidRPr="00C12FAE">
              <w:rPr>
                <w:rFonts w:ascii="Times New Roman" w:hAnsi="Times New Roman" w:cs="Times New Roman"/>
                <w:sz w:val="20"/>
              </w:rPr>
              <w:t>hydroxyeicosatetraenoic</w:t>
            </w:r>
            <w:proofErr w:type="spellEnd"/>
            <w:r w:rsidRPr="00C12FAE">
              <w:rPr>
                <w:rFonts w:ascii="Times New Roman" w:hAnsi="Times New Roman" w:cs="Times New Roman"/>
                <w:sz w:val="20"/>
              </w:rPr>
              <w:t xml:space="preserve"> acid</w:t>
            </w:r>
          </w:p>
        </w:tc>
        <w:tc>
          <w:tcPr>
            <w:tcW w:w="359" w:type="pct"/>
            <w:noWrap/>
            <w:vAlign w:val="center"/>
            <w:hideMark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4.24E-02</w:t>
            </w:r>
          </w:p>
        </w:tc>
        <w:tc>
          <w:tcPr>
            <w:tcW w:w="324" w:type="pct"/>
            <w:tcBorders>
              <w:top w:val="nil"/>
              <w:bottom w:val="nil"/>
            </w:tcBorders>
            <w:noWrap/>
            <w:vAlign w:val="center"/>
            <w:hideMark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292" w:type="pct"/>
            <w:vAlign w:val="center"/>
          </w:tcPr>
          <w:p w:rsidR="00483A15" w:rsidRPr="00C12FAE" w:rsidRDefault="00483A15" w:rsidP="00483A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2F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13" w:type="pct"/>
            <w:vMerge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483A15" w:rsidRPr="00DA311A" w:rsidTr="00483A15">
        <w:trPr>
          <w:trHeight w:val="647"/>
        </w:trPr>
        <w:tc>
          <w:tcPr>
            <w:tcW w:w="801" w:type="pct"/>
            <w:vMerge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08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003" w:type="pct"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Synthesis of coenzyme A</w:t>
            </w:r>
          </w:p>
        </w:tc>
        <w:tc>
          <w:tcPr>
            <w:tcW w:w="359" w:type="pct"/>
            <w:noWrap/>
            <w:vAlign w:val="center"/>
            <w:hideMark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4.46E-02</w:t>
            </w:r>
          </w:p>
        </w:tc>
        <w:tc>
          <w:tcPr>
            <w:tcW w:w="324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292" w:type="pct"/>
            <w:vAlign w:val="center"/>
          </w:tcPr>
          <w:p w:rsidR="00483A15" w:rsidRPr="00C12FAE" w:rsidRDefault="00483A15" w:rsidP="00483A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2F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13" w:type="pct"/>
            <w:vMerge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483A15" w:rsidRPr="00DA311A" w:rsidTr="00483A15">
        <w:trPr>
          <w:trHeight w:val="300"/>
        </w:trPr>
        <w:tc>
          <w:tcPr>
            <w:tcW w:w="801" w:type="pct"/>
            <w:vMerge w:val="restart"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b/>
                <w:bCs/>
                <w:sz w:val="20"/>
              </w:rPr>
              <w:lastRenderedPageBreak/>
              <w:t>Genetic information and nucleic acid processing</w:t>
            </w:r>
          </w:p>
        </w:tc>
        <w:tc>
          <w:tcPr>
            <w:tcW w:w="308" w:type="pct"/>
            <w:tcBorders>
              <w:bottom w:val="nil"/>
            </w:tcBorders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003" w:type="pct"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 xml:space="preserve">Catabolism of purine </w:t>
            </w:r>
            <w:proofErr w:type="spellStart"/>
            <w:r w:rsidRPr="00C12FAE">
              <w:rPr>
                <w:rFonts w:ascii="Times New Roman" w:hAnsi="Times New Roman" w:cs="Times New Roman"/>
                <w:sz w:val="20"/>
              </w:rPr>
              <w:t>ribonucleoside</w:t>
            </w:r>
            <w:proofErr w:type="spellEnd"/>
            <w:r w:rsidRPr="00C12FAE">
              <w:rPr>
                <w:rFonts w:ascii="Times New Roman" w:hAnsi="Times New Roman" w:cs="Times New Roman"/>
                <w:sz w:val="20"/>
              </w:rPr>
              <w:t xml:space="preserve"> diphosphate</w:t>
            </w:r>
          </w:p>
        </w:tc>
        <w:tc>
          <w:tcPr>
            <w:tcW w:w="359" w:type="pct"/>
            <w:noWrap/>
            <w:vAlign w:val="center"/>
            <w:hideMark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3.41E-02</w:t>
            </w:r>
          </w:p>
        </w:tc>
        <w:tc>
          <w:tcPr>
            <w:tcW w:w="324" w:type="pct"/>
            <w:tcBorders>
              <w:bottom w:val="nil"/>
            </w:tcBorders>
            <w:noWrap/>
            <w:vAlign w:val="center"/>
            <w:hideMark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292" w:type="pct"/>
            <w:vAlign w:val="center"/>
          </w:tcPr>
          <w:p w:rsidR="00483A15" w:rsidRPr="00C12FAE" w:rsidRDefault="00483A15" w:rsidP="00483A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2F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13" w:type="pct"/>
            <w:vMerge w:val="restart"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ENTPD2, ETV6</w:t>
            </w:r>
          </w:p>
        </w:tc>
      </w:tr>
      <w:tr w:rsidR="00483A15" w:rsidRPr="00DA311A" w:rsidTr="00483A15">
        <w:trPr>
          <w:trHeight w:val="300"/>
        </w:trPr>
        <w:tc>
          <w:tcPr>
            <w:tcW w:w="801" w:type="pct"/>
            <w:vMerge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08" w:type="pct"/>
            <w:tcBorders>
              <w:top w:val="nil"/>
              <w:bottom w:val="nil"/>
            </w:tcBorders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003" w:type="pct"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Annealing of DNA</w:t>
            </w:r>
          </w:p>
        </w:tc>
        <w:tc>
          <w:tcPr>
            <w:tcW w:w="359" w:type="pct"/>
            <w:noWrap/>
            <w:vAlign w:val="center"/>
            <w:hideMark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4.46E-02</w:t>
            </w:r>
          </w:p>
        </w:tc>
        <w:tc>
          <w:tcPr>
            <w:tcW w:w="324" w:type="pct"/>
            <w:tcBorders>
              <w:top w:val="nil"/>
              <w:bottom w:val="nil"/>
            </w:tcBorders>
            <w:noWrap/>
            <w:vAlign w:val="center"/>
            <w:hideMark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292" w:type="pct"/>
            <w:vAlign w:val="center"/>
          </w:tcPr>
          <w:p w:rsidR="00483A15" w:rsidRPr="00C12FAE" w:rsidRDefault="00483A15" w:rsidP="00483A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2F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13" w:type="pct"/>
            <w:vMerge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483A15" w:rsidRPr="00DA311A" w:rsidTr="00483A15">
        <w:trPr>
          <w:trHeight w:val="300"/>
        </w:trPr>
        <w:tc>
          <w:tcPr>
            <w:tcW w:w="801" w:type="pct"/>
            <w:vMerge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08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003" w:type="pct"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 xml:space="preserve">Binding of </w:t>
            </w:r>
            <w:proofErr w:type="spellStart"/>
            <w:r w:rsidRPr="00C12FAE">
              <w:rPr>
                <w:rFonts w:ascii="Times New Roman" w:hAnsi="Times New Roman" w:cs="Times New Roman"/>
                <w:sz w:val="20"/>
              </w:rPr>
              <w:t>Ets</w:t>
            </w:r>
            <w:proofErr w:type="spellEnd"/>
            <w:r w:rsidRPr="00C12FAE">
              <w:rPr>
                <w:rFonts w:ascii="Times New Roman" w:hAnsi="Times New Roman" w:cs="Times New Roman"/>
                <w:sz w:val="20"/>
              </w:rPr>
              <w:t xml:space="preserve"> element</w:t>
            </w:r>
          </w:p>
        </w:tc>
        <w:tc>
          <w:tcPr>
            <w:tcW w:w="359" w:type="pct"/>
            <w:noWrap/>
            <w:vAlign w:val="center"/>
            <w:hideMark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4.80E-02</w:t>
            </w:r>
          </w:p>
        </w:tc>
        <w:tc>
          <w:tcPr>
            <w:tcW w:w="324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292" w:type="pct"/>
            <w:tcBorders>
              <w:bottom w:val="single" w:sz="4" w:space="0" w:color="auto"/>
            </w:tcBorders>
            <w:vAlign w:val="center"/>
          </w:tcPr>
          <w:p w:rsidR="00483A15" w:rsidRPr="00C12FAE" w:rsidRDefault="00483A15" w:rsidP="00483A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2F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13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483A15" w:rsidRPr="00DA311A" w:rsidTr="00483A15">
        <w:trPr>
          <w:trHeight w:val="300"/>
        </w:trPr>
        <w:tc>
          <w:tcPr>
            <w:tcW w:w="801" w:type="pct"/>
            <w:vMerge w:val="restart"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b/>
                <w:bCs/>
                <w:sz w:val="20"/>
              </w:rPr>
              <w:t>Molecular transport</w:t>
            </w:r>
          </w:p>
        </w:tc>
        <w:tc>
          <w:tcPr>
            <w:tcW w:w="308" w:type="pct"/>
            <w:tcBorders>
              <w:bottom w:val="nil"/>
            </w:tcBorders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003" w:type="pct"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Release of nitrite</w:t>
            </w:r>
          </w:p>
        </w:tc>
        <w:tc>
          <w:tcPr>
            <w:tcW w:w="359" w:type="pct"/>
            <w:noWrap/>
            <w:vAlign w:val="center"/>
            <w:hideMark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4.24E-02</w:t>
            </w:r>
          </w:p>
        </w:tc>
        <w:tc>
          <w:tcPr>
            <w:tcW w:w="324" w:type="pct"/>
            <w:tcBorders>
              <w:bottom w:val="nil"/>
            </w:tcBorders>
            <w:noWrap/>
            <w:vAlign w:val="center"/>
            <w:hideMark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292" w:type="pct"/>
            <w:tcBorders>
              <w:bottom w:val="nil"/>
            </w:tcBorders>
            <w:vAlign w:val="center"/>
          </w:tcPr>
          <w:p w:rsidR="00483A15" w:rsidRPr="00C12FAE" w:rsidRDefault="00483A15" w:rsidP="00483A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2F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13" w:type="pct"/>
            <w:tcBorders>
              <w:bottom w:val="nil"/>
            </w:tcBorders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483A15" w:rsidRPr="00DA311A" w:rsidTr="00483A15">
        <w:trPr>
          <w:trHeight w:val="300"/>
        </w:trPr>
        <w:tc>
          <w:tcPr>
            <w:tcW w:w="801" w:type="pct"/>
            <w:vMerge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08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003" w:type="pct"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Transport of lactic acid</w:t>
            </w:r>
          </w:p>
        </w:tc>
        <w:tc>
          <w:tcPr>
            <w:tcW w:w="359" w:type="pct"/>
            <w:noWrap/>
            <w:vAlign w:val="center"/>
            <w:hideMark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4.24E-02</w:t>
            </w:r>
          </w:p>
        </w:tc>
        <w:tc>
          <w:tcPr>
            <w:tcW w:w="324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292" w:type="pct"/>
            <w:tcBorders>
              <w:top w:val="nil"/>
            </w:tcBorders>
            <w:vAlign w:val="center"/>
          </w:tcPr>
          <w:p w:rsidR="00483A15" w:rsidRPr="00C12FAE" w:rsidRDefault="00483A15" w:rsidP="00483A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2F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13" w:type="pct"/>
            <w:tcBorders>
              <w:top w:val="nil"/>
            </w:tcBorders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483A15" w:rsidRPr="00DA311A" w:rsidTr="00483A15">
        <w:trPr>
          <w:trHeight w:val="300"/>
        </w:trPr>
        <w:tc>
          <w:tcPr>
            <w:tcW w:w="801" w:type="pct"/>
            <w:vMerge w:val="restart"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b/>
                <w:bCs/>
                <w:sz w:val="20"/>
              </w:rPr>
              <w:t>Cell signaling and interaction</w:t>
            </w:r>
          </w:p>
        </w:tc>
        <w:tc>
          <w:tcPr>
            <w:tcW w:w="308" w:type="pct"/>
            <w:tcBorders>
              <w:bottom w:val="nil"/>
            </w:tcBorders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003" w:type="pct"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Recruitment of antigen presenting cells</w:t>
            </w:r>
          </w:p>
        </w:tc>
        <w:tc>
          <w:tcPr>
            <w:tcW w:w="359" w:type="pct"/>
            <w:noWrap/>
            <w:vAlign w:val="center"/>
            <w:hideMark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4.30E-02</w:t>
            </w:r>
          </w:p>
        </w:tc>
        <w:tc>
          <w:tcPr>
            <w:tcW w:w="324" w:type="pct"/>
            <w:tcBorders>
              <w:bottom w:val="nil"/>
            </w:tcBorders>
            <w:noWrap/>
            <w:vAlign w:val="center"/>
            <w:hideMark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292" w:type="pct"/>
            <w:vAlign w:val="center"/>
          </w:tcPr>
          <w:p w:rsidR="00483A15" w:rsidRPr="00C12FAE" w:rsidRDefault="00483A15" w:rsidP="00483A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2F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13" w:type="pct"/>
            <w:vMerge w:val="restart"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CNR2, NFKBIA</w:t>
            </w:r>
          </w:p>
        </w:tc>
      </w:tr>
      <w:tr w:rsidR="00483A15" w:rsidRPr="00DA311A" w:rsidTr="00483A15">
        <w:trPr>
          <w:trHeight w:val="300"/>
        </w:trPr>
        <w:tc>
          <w:tcPr>
            <w:tcW w:w="801" w:type="pct"/>
            <w:vMerge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08" w:type="pct"/>
            <w:tcBorders>
              <w:top w:val="nil"/>
            </w:tcBorders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003" w:type="pct"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Binding of nervous tissue cell lines</w:t>
            </w:r>
          </w:p>
        </w:tc>
        <w:tc>
          <w:tcPr>
            <w:tcW w:w="359" w:type="pct"/>
            <w:noWrap/>
            <w:vAlign w:val="center"/>
            <w:hideMark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4.05E-02</w:t>
            </w:r>
          </w:p>
        </w:tc>
        <w:tc>
          <w:tcPr>
            <w:tcW w:w="324" w:type="pct"/>
            <w:tcBorders>
              <w:top w:val="nil"/>
            </w:tcBorders>
            <w:noWrap/>
            <w:vAlign w:val="center"/>
            <w:hideMark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292" w:type="pct"/>
            <w:vAlign w:val="center"/>
          </w:tcPr>
          <w:p w:rsidR="00483A15" w:rsidRPr="00C12FAE" w:rsidRDefault="00483A15" w:rsidP="00483A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2F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13" w:type="pct"/>
            <w:vMerge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483A15" w:rsidRPr="00DA311A" w:rsidTr="00483A15">
        <w:trPr>
          <w:trHeight w:val="300"/>
        </w:trPr>
        <w:tc>
          <w:tcPr>
            <w:tcW w:w="801" w:type="pct"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b/>
                <w:bCs/>
                <w:sz w:val="20"/>
              </w:rPr>
              <w:t>Small molecule biochemistry</w:t>
            </w:r>
          </w:p>
        </w:tc>
        <w:tc>
          <w:tcPr>
            <w:tcW w:w="308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003" w:type="pct"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Conversion of ATP</w:t>
            </w:r>
          </w:p>
        </w:tc>
        <w:tc>
          <w:tcPr>
            <w:tcW w:w="359" w:type="pct"/>
            <w:noWrap/>
            <w:vAlign w:val="center"/>
            <w:hideMark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4.05E-02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292" w:type="pct"/>
            <w:vAlign w:val="center"/>
          </w:tcPr>
          <w:p w:rsidR="00483A15" w:rsidRPr="00C12FAE" w:rsidRDefault="00483A15" w:rsidP="00483A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2F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13" w:type="pct"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483A15" w:rsidRPr="00DA311A" w:rsidTr="00483A15">
        <w:trPr>
          <w:trHeight w:val="300"/>
        </w:trPr>
        <w:tc>
          <w:tcPr>
            <w:tcW w:w="801" w:type="pct"/>
            <w:vMerge w:val="restart"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b/>
                <w:bCs/>
                <w:sz w:val="20"/>
              </w:rPr>
              <w:t>Response to stimuli</w:t>
            </w:r>
          </w:p>
        </w:tc>
        <w:tc>
          <w:tcPr>
            <w:tcW w:w="308" w:type="pct"/>
            <w:tcBorders>
              <w:bottom w:val="nil"/>
            </w:tcBorders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003" w:type="pct"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proofErr w:type="spellStart"/>
            <w:r w:rsidRPr="00C12FAE">
              <w:rPr>
                <w:rFonts w:ascii="Times New Roman" w:hAnsi="Times New Roman" w:cs="Times New Roman"/>
                <w:sz w:val="20"/>
              </w:rPr>
              <w:t>Relocalization</w:t>
            </w:r>
            <w:proofErr w:type="spellEnd"/>
            <w:r w:rsidRPr="00C12FAE">
              <w:rPr>
                <w:rFonts w:ascii="Times New Roman" w:hAnsi="Times New Roman" w:cs="Times New Roman"/>
                <w:sz w:val="20"/>
              </w:rPr>
              <w:t xml:space="preserve"> of marginal-zone B lymphocytes</w:t>
            </w:r>
          </w:p>
        </w:tc>
        <w:tc>
          <w:tcPr>
            <w:tcW w:w="359" w:type="pct"/>
            <w:noWrap/>
            <w:vAlign w:val="center"/>
            <w:hideMark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2.80E-02</w:t>
            </w:r>
          </w:p>
        </w:tc>
        <w:tc>
          <w:tcPr>
            <w:tcW w:w="324" w:type="pct"/>
            <w:tcBorders>
              <w:bottom w:val="nil"/>
            </w:tcBorders>
            <w:noWrap/>
            <w:vAlign w:val="center"/>
            <w:hideMark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292" w:type="pct"/>
            <w:vAlign w:val="center"/>
          </w:tcPr>
          <w:p w:rsidR="00483A15" w:rsidRPr="00C12FAE" w:rsidRDefault="00483A15" w:rsidP="00483A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2F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13" w:type="pct"/>
            <w:vMerge w:val="restart"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CNR2, ETV6, NFKBIA</w:t>
            </w:r>
          </w:p>
        </w:tc>
      </w:tr>
      <w:tr w:rsidR="00483A15" w:rsidRPr="00DA311A" w:rsidTr="00483A15">
        <w:trPr>
          <w:trHeight w:val="300"/>
        </w:trPr>
        <w:tc>
          <w:tcPr>
            <w:tcW w:w="801" w:type="pct"/>
            <w:vMerge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08" w:type="pct"/>
            <w:tcBorders>
              <w:top w:val="nil"/>
              <w:bottom w:val="nil"/>
            </w:tcBorders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003" w:type="pct"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Invasion of T lymphocytes</w:t>
            </w:r>
          </w:p>
        </w:tc>
        <w:tc>
          <w:tcPr>
            <w:tcW w:w="359" w:type="pct"/>
            <w:noWrap/>
            <w:vAlign w:val="center"/>
            <w:hideMark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3.90E-02</w:t>
            </w:r>
          </w:p>
        </w:tc>
        <w:tc>
          <w:tcPr>
            <w:tcW w:w="324" w:type="pct"/>
            <w:tcBorders>
              <w:top w:val="nil"/>
              <w:bottom w:val="nil"/>
            </w:tcBorders>
            <w:noWrap/>
            <w:vAlign w:val="center"/>
            <w:hideMark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292" w:type="pct"/>
            <w:vAlign w:val="center"/>
          </w:tcPr>
          <w:p w:rsidR="00483A15" w:rsidRPr="00C12FAE" w:rsidRDefault="00483A15" w:rsidP="00483A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2F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13" w:type="pct"/>
            <w:vMerge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483A15" w:rsidRPr="00DA311A" w:rsidTr="00483A15">
        <w:trPr>
          <w:trHeight w:val="300"/>
        </w:trPr>
        <w:tc>
          <w:tcPr>
            <w:tcW w:w="801" w:type="pct"/>
            <w:vMerge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08" w:type="pct"/>
            <w:tcBorders>
              <w:top w:val="nil"/>
              <w:bottom w:val="nil"/>
            </w:tcBorders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003" w:type="pct"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Inflammation of synovial membrane</w:t>
            </w:r>
          </w:p>
        </w:tc>
        <w:tc>
          <w:tcPr>
            <w:tcW w:w="359" w:type="pct"/>
            <w:noWrap/>
            <w:vAlign w:val="center"/>
            <w:hideMark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4.05E-02</w:t>
            </w:r>
          </w:p>
        </w:tc>
        <w:tc>
          <w:tcPr>
            <w:tcW w:w="324" w:type="pct"/>
            <w:tcBorders>
              <w:top w:val="nil"/>
              <w:bottom w:val="nil"/>
            </w:tcBorders>
            <w:noWrap/>
            <w:vAlign w:val="center"/>
            <w:hideMark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292" w:type="pct"/>
            <w:vAlign w:val="center"/>
          </w:tcPr>
          <w:p w:rsidR="00483A15" w:rsidRPr="00C12FAE" w:rsidRDefault="00483A15" w:rsidP="00483A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2F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13" w:type="pct"/>
            <w:vMerge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483A15" w:rsidRPr="00DA311A" w:rsidTr="00483A15">
        <w:trPr>
          <w:trHeight w:val="300"/>
        </w:trPr>
        <w:tc>
          <w:tcPr>
            <w:tcW w:w="801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08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003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Inflammation of interstitial tissue</w:t>
            </w:r>
          </w:p>
        </w:tc>
        <w:tc>
          <w:tcPr>
            <w:tcW w:w="359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4.31E-02</w:t>
            </w:r>
          </w:p>
        </w:tc>
        <w:tc>
          <w:tcPr>
            <w:tcW w:w="324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292" w:type="pct"/>
            <w:tcBorders>
              <w:bottom w:val="single" w:sz="4" w:space="0" w:color="auto"/>
            </w:tcBorders>
            <w:vAlign w:val="center"/>
          </w:tcPr>
          <w:p w:rsidR="00483A15" w:rsidRPr="00C12FAE" w:rsidRDefault="00483A15" w:rsidP="00483A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2F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13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483A15" w:rsidRPr="00DA311A" w:rsidTr="00483A15">
        <w:trPr>
          <w:trHeight w:val="215"/>
        </w:trPr>
        <w:tc>
          <w:tcPr>
            <w:tcW w:w="801" w:type="pct"/>
            <w:tcBorders>
              <w:right w:val="nil"/>
            </w:tcBorders>
            <w:noWrap/>
            <w:vAlign w:val="center"/>
            <w:hideMark/>
          </w:tcPr>
          <w:p w:rsidR="00483A15" w:rsidRPr="00C12FAE" w:rsidRDefault="00483A15" w:rsidP="009514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b/>
                <w:bCs/>
                <w:sz w:val="20"/>
              </w:rPr>
              <w:t>L10DΔC</w:t>
            </w:r>
          </w:p>
        </w:tc>
        <w:tc>
          <w:tcPr>
            <w:tcW w:w="308" w:type="pct"/>
            <w:tcBorders>
              <w:left w:val="nil"/>
              <w:right w:val="nil"/>
            </w:tcBorders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003" w:type="pct"/>
            <w:tcBorders>
              <w:left w:val="nil"/>
              <w:right w:val="nil"/>
            </w:tcBorders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59" w:type="pct"/>
            <w:tcBorders>
              <w:left w:val="nil"/>
              <w:right w:val="nil"/>
            </w:tcBorders>
            <w:noWrap/>
            <w:vAlign w:val="center"/>
            <w:hideMark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24" w:type="pct"/>
            <w:tcBorders>
              <w:left w:val="nil"/>
              <w:right w:val="nil"/>
            </w:tcBorders>
            <w:noWrap/>
            <w:vAlign w:val="center"/>
            <w:hideMark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292" w:type="pct"/>
            <w:tcBorders>
              <w:left w:val="nil"/>
              <w:right w:val="nil"/>
            </w:tcBorders>
            <w:vAlign w:val="center"/>
          </w:tcPr>
          <w:p w:rsidR="00483A15" w:rsidRPr="00C12FAE" w:rsidRDefault="00483A15" w:rsidP="00483A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13" w:type="pct"/>
            <w:tcBorders>
              <w:left w:val="nil"/>
            </w:tcBorders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483A15" w:rsidRPr="00DA311A" w:rsidTr="00483A15">
        <w:trPr>
          <w:trHeight w:val="300"/>
        </w:trPr>
        <w:tc>
          <w:tcPr>
            <w:tcW w:w="801" w:type="pct"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b/>
                <w:bCs/>
                <w:sz w:val="20"/>
              </w:rPr>
              <w:t>Organismal, organ and tissue development</w:t>
            </w:r>
          </w:p>
        </w:tc>
        <w:tc>
          <w:tcPr>
            <w:tcW w:w="308" w:type="pct"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003" w:type="pct"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proofErr w:type="spellStart"/>
            <w:r w:rsidRPr="00C12FAE">
              <w:rPr>
                <w:rFonts w:ascii="Times New Roman" w:hAnsi="Times New Roman" w:cs="Times New Roman"/>
                <w:sz w:val="20"/>
              </w:rPr>
              <w:t>Cardiogenesis</w:t>
            </w:r>
            <w:proofErr w:type="spellEnd"/>
          </w:p>
        </w:tc>
        <w:tc>
          <w:tcPr>
            <w:tcW w:w="359" w:type="pct"/>
            <w:noWrap/>
            <w:vAlign w:val="center"/>
            <w:hideMark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1.34E-02</w:t>
            </w:r>
          </w:p>
        </w:tc>
        <w:tc>
          <w:tcPr>
            <w:tcW w:w="324" w:type="pct"/>
            <w:noWrap/>
            <w:vAlign w:val="center"/>
            <w:hideMark/>
          </w:tcPr>
          <w:p w:rsidR="00483A15" w:rsidRPr="00C12FAE" w:rsidRDefault="00483A15" w:rsidP="00483A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292" w:type="pct"/>
            <w:vAlign w:val="center"/>
          </w:tcPr>
          <w:p w:rsidR="00483A15" w:rsidRPr="00C12FAE" w:rsidRDefault="00483A15" w:rsidP="00483A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2F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13" w:type="pct"/>
            <w:noWrap/>
            <w:vAlign w:val="center"/>
            <w:hideMark/>
          </w:tcPr>
          <w:p w:rsidR="00483A15" w:rsidRPr="00C12FAE" w:rsidRDefault="00483A15" w:rsidP="009514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12FAE">
              <w:rPr>
                <w:rFonts w:ascii="Times New Roman" w:hAnsi="Times New Roman" w:cs="Times New Roman"/>
                <w:sz w:val="20"/>
              </w:rPr>
              <w:t>CASP7, CHD7, HIF1A, PTPN11, REST, SEMA3C, SMARCD3, TTN, USP8, XIRP1</w:t>
            </w:r>
          </w:p>
        </w:tc>
      </w:tr>
    </w:tbl>
    <w:p w:rsidR="00483A15" w:rsidRDefault="00483A15" w:rsidP="00483A15">
      <w:pPr>
        <w:pStyle w:val="Listenabsatz"/>
        <w:spacing w:after="0" w:line="360" w:lineRule="auto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*</w:t>
      </w:r>
      <w:r w:rsidR="00C12FAE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between</w:t>
      </w:r>
      <w:proofErr w:type="gramEnd"/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positive and negative </w:t>
      </w:r>
      <w:r w:rsidR="00C12FAE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Z</w:t>
      </w: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-score </w:t>
      </w:r>
    </w:p>
    <w:p w:rsidR="00483A15" w:rsidRPr="00D318E4" w:rsidRDefault="00483A15" w:rsidP="00483A15">
      <w:pPr>
        <w:pStyle w:val="Listenabsatz"/>
        <w:spacing w:after="0" w:line="360" w:lineRule="auto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 w:rsidRPr="00A64FA5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*</w:t>
      </w: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*</w:t>
      </w:r>
      <w:r w:rsidR="00C12FAE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at maximum </w:t>
      </w:r>
      <w:r w:rsidRPr="00A64FA5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10 genes are shown</w:t>
      </w:r>
    </w:p>
    <w:p w:rsidR="00F773CB" w:rsidRDefault="00F773CB">
      <w:bookmarkStart w:id="0" w:name="_GoBack"/>
      <w:bookmarkEnd w:id="0"/>
    </w:p>
    <w:sectPr w:rsidR="00F773CB" w:rsidSect="00A7009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DEyMTUyMTewMDI0NTVV0lEKTi0uzszPAykwrAUA0KEb9SwAAAA="/>
  </w:docVars>
  <w:rsids>
    <w:rsidRoot w:val="00A70094"/>
    <w:rsid w:val="00483A15"/>
    <w:rsid w:val="00923E34"/>
    <w:rsid w:val="00A70094"/>
    <w:rsid w:val="00C12FAE"/>
    <w:rsid w:val="00F7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AngsanaUPC"/>
        <w:sz w:val="24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70094"/>
    <w:rPr>
      <w:rFonts w:ascii="Arial" w:hAnsi="Arial" w:cs="CordiaUPC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2">
    <w:name w:val="Table Grid2"/>
    <w:basedOn w:val="NormaleTabelle"/>
    <w:next w:val="Tabellenraster"/>
    <w:uiPriority w:val="59"/>
    <w:rsid w:val="00A70094"/>
    <w:pPr>
      <w:spacing w:after="0" w:line="240" w:lineRule="auto"/>
    </w:pPr>
    <w:rPr>
      <w:rFonts w:ascii="Arial" w:hAnsi="Arial"/>
      <w:color w:val="000000" w:themeColor="text1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59"/>
    <w:rsid w:val="00A70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83A15"/>
    <w:pPr>
      <w:ind w:left="720"/>
      <w:contextualSpacing/>
    </w:pPr>
    <w:rPr>
      <w:rFonts w:cs="Angsana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AngsanaUPC"/>
        <w:sz w:val="24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70094"/>
    <w:rPr>
      <w:rFonts w:ascii="Arial" w:hAnsi="Arial" w:cs="CordiaUPC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2">
    <w:name w:val="Table Grid2"/>
    <w:basedOn w:val="NormaleTabelle"/>
    <w:next w:val="Tabellenraster"/>
    <w:uiPriority w:val="59"/>
    <w:rsid w:val="00A70094"/>
    <w:pPr>
      <w:spacing w:after="0" w:line="240" w:lineRule="auto"/>
    </w:pPr>
    <w:rPr>
      <w:rFonts w:ascii="Arial" w:hAnsi="Arial"/>
      <w:color w:val="000000" w:themeColor="text1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59"/>
    <w:rsid w:val="00A70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83A15"/>
    <w:pPr>
      <w:ind w:left="720"/>
      <w:contextualSpacing/>
    </w:pPr>
    <w:rPr>
      <w:rFonts w:cs="Angsan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485</Words>
  <Characters>3060</Characters>
  <Application>Microsoft Office Word</Application>
  <DocSecurity>0</DocSecurity>
  <Lines>25</Lines>
  <Paragraphs>7</Paragraphs>
  <ScaleCrop>false</ScaleCrop>
  <Company/>
  <LinksUpToDate>false</LinksUpToDate>
  <CharactersWithSpaces>3538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Naraballobh, Watcharapong</dc:creator>
  <cp:lastModifiedBy>Wimmers, Klaus</cp:lastModifiedBy>
  <cp:revision>5</cp:revision>
  <dcterms:created xsi:type="dcterms:W3CDTF">2016-01-05T11:21:00Z</dcterms:created>
  <dcterms:modified xsi:type="dcterms:W3CDTF">2016-04-11T21:36:00Z</dcterms:modified>
</cp:coreProperties>
</file>