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F5E" w:rsidRDefault="00433F5E" w:rsidP="00433F5E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433F5E" w:rsidRDefault="00D63028" w:rsidP="00433F5E">
      <w:pPr>
        <w:spacing w:line="240" w:lineRule="auto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b/>
          <w:lang w:val="en-US"/>
        </w:rPr>
        <w:t xml:space="preserve">Additional file </w:t>
      </w:r>
      <w:r w:rsidR="0086084B">
        <w:rPr>
          <w:rFonts w:ascii="Times New Roman" w:hAnsi="Times New Roman" w:cs="Times New Roman"/>
          <w:b/>
          <w:lang w:val="en-US"/>
        </w:rPr>
        <w:t>9</w:t>
      </w:r>
      <w:bookmarkStart w:id="0" w:name="_GoBack"/>
      <w:bookmarkEnd w:id="0"/>
      <w:r>
        <w:rPr>
          <w:rFonts w:ascii="Times New Roman" w:hAnsi="Times New Roman" w:cs="Times New Roman"/>
          <w:b/>
          <w:lang w:val="en-US"/>
        </w:rPr>
        <w:t>.</w:t>
      </w:r>
      <w:proofErr w:type="gramEnd"/>
      <w:r w:rsidR="00433F5E">
        <w:rPr>
          <w:rFonts w:ascii="Times New Roman" w:hAnsi="Times New Roman" w:cs="Times New Roman"/>
          <w:lang w:val="en-US"/>
        </w:rPr>
        <w:t xml:space="preserve"> </w:t>
      </w:r>
      <w:proofErr w:type="gramStart"/>
      <w:r w:rsidR="00433F5E">
        <w:rPr>
          <w:rFonts w:ascii="Times New Roman" w:hAnsi="Times New Roman" w:cs="Times New Roman"/>
          <w:lang w:val="en-US"/>
        </w:rPr>
        <w:t>List of the most representative metabolic pathways in the head, skin and GI-tract transcriptomes using KEGG analysis.</w:t>
      </w:r>
      <w:proofErr w:type="gramEnd"/>
    </w:p>
    <w:tbl>
      <w:tblPr>
        <w:tblW w:w="93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60"/>
        <w:gridCol w:w="1020"/>
        <w:gridCol w:w="1020"/>
        <w:gridCol w:w="1020"/>
        <w:gridCol w:w="1020"/>
      </w:tblGrid>
      <w:tr w:rsidR="00433F5E" w:rsidRPr="00D63028" w:rsidTr="00E67F27">
        <w:trPr>
          <w:gridAfter w:val="1"/>
          <w:wAfter w:w="1020" w:type="dxa"/>
          <w:trHeight w:val="288"/>
        </w:trPr>
        <w:tc>
          <w:tcPr>
            <w:tcW w:w="5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33F5E" w:rsidRDefault="00433F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pt-PT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pt-PT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433F5E" w:rsidRPr="00E93B11" w:rsidRDefault="00433F5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val="en-US" w:eastAsia="pt-PT"/>
              </w:rPr>
            </w:pPr>
            <w:r w:rsidRPr="00E93B11">
              <w:rPr>
                <w:rFonts w:ascii="Times New Roman" w:hAnsi="Times New Roman" w:cs="Times New Roman"/>
                <w:b/>
                <w:bCs/>
                <w:color w:val="000000"/>
                <w:lang w:val="en-US" w:eastAsia="pt-PT"/>
              </w:rPr>
              <w:t>Number of enzyme codes (EC)</w:t>
            </w:r>
          </w:p>
        </w:tc>
      </w:tr>
      <w:tr w:rsidR="00E67F27" w:rsidRPr="00D63028" w:rsidTr="00E67F27">
        <w:trPr>
          <w:trHeight w:val="288"/>
        </w:trPr>
        <w:tc>
          <w:tcPr>
            <w:tcW w:w="5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E67F27" w:rsidRPr="00D63028" w:rsidRDefault="00E67F2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val="en-US" w:eastAsia="pt-PT"/>
              </w:rPr>
            </w:pPr>
            <w:r w:rsidRPr="00D63028">
              <w:rPr>
                <w:rFonts w:ascii="Times New Roman" w:hAnsi="Times New Roman" w:cs="Times New Roman"/>
                <w:b/>
                <w:bCs/>
                <w:color w:val="000000"/>
                <w:lang w:val="en-US" w:eastAsia="pt-PT"/>
              </w:rPr>
              <w:t>KEGG pathway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:rsidR="00E67F27" w:rsidRPr="00D63028" w:rsidRDefault="00E67F27" w:rsidP="00E67C1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val="en-US" w:eastAsia="pt-PT"/>
              </w:rPr>
            </w:pPr>
            <w:r w:rsidRPr="00D63028">
              <w:rPr>
                <w:rFonts w:ascii="Times New Roman" w:hAnsi="Times New Roman" w:cs="Times New Roman"/>
                <w:b/>
                <w:bCs/>
                <w:color w:val="000000"/>
                <w:lang w:val="en-US" w:eastAsia="pt-PT"/>
              </w:rPr>
              <w:t xml:space="preserve">Skin 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:rsidR="00E67F27" w:rsidRPr="00D63028" w:rsidRDefault="00E67F27" w:rsidP="00E67C1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val="en-US" w:eastAsia="pt-PT"/>
              </w:rPr>
            </w:pPr>
            <w:r w:rsidRPr="00D63028">
              <w:rPr>
                <w:rFonts w:ascii="Times New Roman" w:hAnsi="Times New Roman" w:cs="Times New Roman"/>
                <w:b/>
                <w:bCs/>
                <w:color w:val="000000"/>
                <w:lang w:val="en-US" w:eastAsia="pt-PT"/>
              </w:rPr>
              <w:t>GI-tract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</w:tcPr>
          <w:p w:rsidR="00E67F27" w:rsidRPr="00D63028" w:rsidRDefault="00E67F27" w:rsidP="00E67C1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val="en-US" w:eastAsia="pt-PT"/>
              </w:rPr>
            </w:pPr>
            <w:r w:rsidRPr="00D63028">
              <w:rPr>
                <w:rFonts w:ascii="Times New Roman" w:hAnsi="Times New Roman" w:cs="Times New Roman"/>
                <w:b/>
                <w:bCs/>
                <w:color w:val="000000"/>
                <w:lang w:val="en-US" w:eastAsia="pt-PT"/>
              </w:rPr>
              <w:t>Head</w:t>
            </w:r>
          </w:p>
        </w:tc>
        <w:tc>
          <w:tcPr>
            <w:tcW w:w="1020" w:type="dxa"/>
            <w:vAlign w:val="center"/>
          </w:tcPr>
          <w:p w:rsidR="00E67F27" w:rsidRPr="00D63028" w:rsidRDefault="00E67F27" w:rsidP="00E67C1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val="en-US" w:eastAsia="pt-PT"/>
              </w:rPr>
            </w:pPr>
          </w:p>
        </w:tc>
      </w:tr>
      <w:tr w:rsidR="00E67F27" w:rsidTr="00E67F27">
        <w:trPr>
          <w:trHeight w:val="288"/>
        </w:trPr>
        <w:tc>
          <w:tcPr>
            <w:tcW w:w="52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E67F27" w:rsidRPr="00D63028" w:rsidRDefault="00E67F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 w:eastAsia="pt-PT"/>
              </w:rPr>
            </w:pPr>
            <w:r w:rsidRPr="00D63028">
              <w:rPr>
                <w:rFonts w:ascii="Times New Roman" w:hAnsi="Times New Roman" w:cs="Times New Roman"/>
                <w:color w:val="000000"/>
                <w:lang w:val="en-US" w:eastAsia="pt-PT"/>
              </w:rPr>
              <w:t xml:space="preserve"> Purine metabolism                                         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E67F27" w:rsidRDefault="00E67F27" w:rsidP="00E67C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  <w:t>56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E67F27" w:rsidRDefault="00E67F27" w:rsidP="00E67C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  <w:t>51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E67F27" w:rsidRDefault="00E67F27" w:rsidP="00E67C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  <w:t>58</w:t>
            </w:r>
          </w:p>
        </w:tc>
        <w:tc>
          <w:tcPr>
            <w:tcW w:w="1020" w:type="dxa"/>
            <w:vAlign w:val="center"/>
          </w:tcPr>
          <w:p w:rsidR="00E67F27" w:rsidRDefault="00E67F27" w:rsidP="00E67C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</w:pPr>
          </w:p>
        </w:tc>
      </w:tr>
      <w:tr w:rsidR="00E67F27" w:rsidTr="00E67F27">
        <w:trPr>
          <w:trHeight w:val="288"/>
        </w:trPr>
        <w:tc>
          <w:tcPr>
            <w:tcW w:w="5260" w:type="dxa"/>
            <w:noWrap/>
            <w:vAlign w:val="center"/>
            <w:hideMark/>
          </w:tcPr>
          <w:p w:rsidR="00E67F27" w:rsidRPr="00E93B11" w:rsidRDefault="00E67F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pt-PT"/>
              </w:rPr>
            </w:pPr>
            <w:r w:rsidRPr="00E93B11">
              <w:rPr>
                <w:rFonts w:ascii="Times New Roman" w:hAnsi="Times New Roman" w:cs="Times New Roman"/>
                <w:color w:val="000000"/>
                <w:lang w:eastAsia="pt-PT"/>
              </w:rPr>
              <w:t xml:space="preserve"> Amino sugar and nucleotide sugar metabolism               </w:t>
            </w:r>
          </w:p>
        </w:tc>
        <w:tc>
          <w:tcPr>
            <w:tcW w:w="1020" w:type="dxa"/>
            <w:noWrap/>
            <w:vAlign w:val="center"/>
          </w:tcPr>
          <w:p w:rsidR="00E67F27" w:rsidRDefault="00E67F27" w:rsidP="00E67C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  <w:t>31</w:t>
            </w:r>
          </w:p>
        </w:tc>
        <w:tc>
          <w:tcPr>
            <w:tcW w:w="1020" w:type="dxa"/>
            <w:noWrap/>
            <w:vAlign w:val="center"/>
          </w:tcPr>
          <w:p w:rsidR="00E67F27" w:rsidRDefault="00E67F27" w:rsidP="00E67C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  <w:t>31</w:t>
            </w:r>
          </w:p>
        </w:tc>
        <w:tc>
          <w:tcPr>
            <w:tcW w:w="1020" w:type="dxa"/>
            <w:noWrap/>
            <w:vAlign w:val="center"/>
          </w:tcPr>
          <w:p w:rsidR="00E67F27" w:rsidRDefault="00E67F27" w:rsidP="00E67C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  <w:t>35</w:t>
            </w:r>
          </w:p>
        </w:tc>
        <w:tc>
          <w:tcPr>
            <w:tcW w:w="1020" w:type="dxa"/>
            <w:vAlign w:val="center"/>
          </w:tcPr>
          <w:p w:rsidR="00E67F27" w:rsidRDefault="00E67F27" w:rsidP="00E67C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</w:pPr>
          </w:p>
        </w:tc>
      </w:tr>
      <w:tr w:rsidR="00E67F27" w:rsidTr="00E67F27">
        <w:trPr>
          <w:trHeight w:val="288"/>
        </w:trPr>
        <w:tc>
          <w:tcPr>
            <w:tcW w:w="5260" w:type="dxa"/>
            <w:noWrap/>
            <w:vAlign w:val="center"/>
            <w:hideMark/>
          </w:tcPr>
          <w:p w:rsidR="00E67F27" w:rsidRPr="00E93B11" w:rsidRDefault="00E67F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pt-PT"/>
              </w:rPr>
            </w:pPr>
            <w:r w:rsidRPr="00E93B11">
              <w:rPr>
                <w:rFonts w:ascii="Times New Roman" w:hAnsi="Times New Roman" w:cs="Times New Roman"/>
                <w:color w:val="000000"/>
                <w:lang w:eastAsia="pt-PT"/>
              </w:rPr>
              <w:t xml:space="preserve"> Pyrimidine metabolism                                     </w:t>
            </w:r>
          </w:p>
        </w:tc>
        <w:tc>
          <w:tcPr>
            <w:tcW w:w="1020" w:type="dxa"/>
            <w:noWrap/>
            <w:vAlign w:val="center"/>
          </w:tcPr>
          <w:p w:rsidR="00E67F27" w:rsidRDefault="00E67F27" w:rsidP="00E67C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  <w:t>36</w:t>
            </w:r>
          </w:p>
        </w:tc>
        <w:tc>
          <w:tcPr>
            <w:tcW w:w="1020" w:type="dxa"/>
            <w:noWrap/>
            <w:vAlign w:val="center"/>
          </w:tcPr>
          <w:p w:rsidR="00E67F27" w:rsidRDefault="00E67F27" w:rsidP="00E67C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  <w:t>33</w:t>
            </w:r>
          </w:p>
        </w:tc>
        <w:tc>
          <w:tcPr>
            <w:tcW w:w="1020" w:type="dxa"/>
            <w:noWrap/>
            <w:vAlign w:val="center"/>
          </w:tcPr>
          <w:p w:rsidR="00E67F27" w:rsidRDefault="00E67F27" w:rsidP="00E67C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  <w:t>34</w:t>
            </w:r>
          </w:p>
        </w:tc>
        <w:tc>
          <w:tcPr>
            <w:tcW w:w="1020" w:type="dxa"/>
            <w:vAlign w:val="center"/>
          </w:tcPr>
          <w:p w:rsidR="00E67F27" w:rsidRDefault="00E67F27" w:rsidP="00E67C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</w:pPr>
          </w:p>
        </w:tc>
      </w:tr>
      <w:tr w:rsidR="00E67F27" w:rsidTr="00E67F27">
        <w:trPr>
          <w:trHeight w:val="288"/>
        </w:trPr>
        <w:tc>
          <w:tcPr>
            <w:tcW w:w="5260" w:type="dxa"/>
            <w:noWrap/>
            <w:vAlign w:val="center"/>
            <w:hideMark/>
          </w:tcPr>
          <w:p w:rsidR="00E67F27" w:rsidRPr="00E93B11" w:rsidRDefault="00E67F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pt-PT"/>
              </w:rPr>
            </w:pPr>
            <w:r w:rsidRPr="00E93B11">
              <w:rPr>
                <w:rFonts w:ascii="Times New Roman" w:hAnsi="Times New Roman" w:cs="Times New Roman"/>
                <w:color w:val="000000"/>
                <w:lang w:eastAsia="pt-PT"/>
              </w:rPr>
              <w:t xml:space="preserve"> Arginine and proline metabolism                           </w:t>
            </w:r>
          </w:p>
        </w:tc>
        <w:tc>
          <w:tcPr>
            <w:tcW w:w="1020" w:type="dxa"/>
            <w:noWrap/>
            <w:vAlign w:val="center"/>
          </w:tcPr>
          <w:p w:rsidR="00E67F27" w:rsidRDefault="00E67F27" w:rsidP="00E67C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  <w:t>35</w:t>
            </w:r>
          </w:p>
        </w:tc>
        <w:tc>
          <w:tcPr>
            <w:tcW w:w="1020" w:type="dxa"/>
            <w:noWrap/>
            <w:vAlign w:val="center"/>
          </w:tcPr>
          <w:p w:rsidR="00E67F27" w:rsidRDefault="00E67F27" w:rsidP="00E67C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  <w:t>30</w:t>
            </w:r>
          </w:p>
        </w:tc>
        <w:tc>
          <w:tcPr>
            <w:tcW w:w="1020" w:type="dxa"/>
            <w:noWrap/>
            <w:vAlign w:val="center"/>
          </w:tcPr>
          <w:p w:rsidR="00E67F27" w:rsidRDefault="00E67F27" w:rsidP="00E67C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  <w:t>32</w:t>
            </w:r>
          </w:p>
        </w:tc>
        <w:tc>
          <w:tcPr>
            <w:tcW w:w="1020" w:type="dxa"/>
            <w:vAlign w:val="center"/>
          </w:tcPr>
          <w:p w:rsidR="00E67F27" w:rsidRDefault="00E67F27" w:rsidP="00E67C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</w:pPr>
          </w:p>
        </w:tc>
      </w:tr>
      <w:tr w:rsidR="00E67F27" w:rsidTr="00E67F27">
        <w:trPr>
          <w:trHeight w:val="288"/>
        </w:trPr>
        <w:tc>
          <w:tcPr>
            <w:tcW w:w="5260" w:type="dxa"/>
            <w:noWrap/>
            <w:vAlign w:val="center"/>
            <w:hideMark/>
          </w:tcPr>
          <w:p w:rsidR="00E67F27" w:rsidRPr="00E93B11" w:rsidRDefault="00E67F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pt-PT"/>
              </w:rPr>
            </w:pPr>
            <w:r w:rsidRPr="00E93B11">
              <w:rPr>
                <w:rFonts w:ascii="Times New Roman" w:hAnsi="Times New Roman" w:cs="Times New Roman"/>
                <w:color w:val="000000"/>
                <w:lang w:eastAsia="pt-PT"/>
              </w:rPr>
              <w:t xml:space="preserve"> Glycerophospholipid metabolism                            </w:t>
            </w:r>
          </w:p>
        </w:tc>
        <w:tc>
          <w:tcPr>
            <w:tcW w:w="1020" w:type="dxa"/>
            <w:noWrap/>
            <w:vAlign w:val="center"/>
          </w:tcPr>
          <w:p w:rsidR="00E67F27" w:rsidRDefault="00E67F27" w:rsidP="00E67C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  <w:t>30</w:t>
            </w:r>
          </w:p>
        </w:tc>
        <w:tc>
          <w:tcPr>
            <w:tcW w:w="1020" w:type="dxa"/>
            <w:noWrap/>
            <w:vAlign w:val="center"/>
          </w:tcPr>
          <w:p w:rsidR="00E67F27" w:rsidRDefault="00E67F27" w:rsidP="00E67C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  <w:t>26*</w:t>
            </w:r>
          </w:p>
        </w:tc>
        <w:tc>
          <w:tcPr>
            <w:tcW w:w="1020" w:type="dxa"/>
            <w:noWrap/>
            <w:vAlign w:val="center"/>
          </w:tcPr>
          <w:p w:rsidR="00E67F27" w:rsidRDefault="00E67F27" w:rsidP="00E67C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  <w:t>29</w:t>
            </w:r>
          </w:p>
        </w:tc>
        <w:tc>
          <w:tcPr>
            <w:tcW w:w="1020" w:type="dxa"/>
            <w:vAlign w:val="center"/>
          </w:tcPr>
          <w:p w:rsidR="00E67F27" w:rsidRDefault="00E67F27" w:rsidP="00E67C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</w:pPr>
          </w:p>
        </w:tc>
      </w:tr>
      <w:tr w:rsidR="00E67F27" w:rsidTr="00E67F27">
        <w:trPr>
          <w:trHeight w:val="288"/>
        </w:trPr>
        <w:tc>
          <w:tcPr>
            <w:tcW w:w="5260" w:type="dxa"/>
            <w:noWrap/>
            <w:vAlign w:val="center"/>
            <w:hideMark/>
          </w:tcPr>
          <w:p w:rsidR="00E67F27" w:rsidRPr="00E93B11" w:rsidRDefault="00E67F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 w:eastAsia="pt-PT"/>
              </w:rPr>
            </w:pPr>
            <w:r w:rsidRPr="00E93B11">
              <w:rPr>
                <w:rFonts w:ascii="Times New Roman" w:hAnsi="Times New Roman" w:cs="Times New Roman"/>
                <w:color w:val="000000"/>
                <w:lang w:val="en-US" w:eastAsia="pt-PT"/>
              </w:rPr>
              <w:t xml:space="preserve"> Glycine, serine and threonine metabolism                  </w:t>
            </w:r>
          </w:p>
        </w:tc>
        <w:tc>
          <w:tcPr>
            <w:tcW w:w="1020" w:type="dxa"/>
            <w:noWrap/>
            <w:vAlign w:val="center"/>
          </w:tcPr>
          <w:p w:rsidR="00E67F27" w:rsidRDefault="00E67F27" w:rsidP="00E67C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  <w:t>32</w:t>
            </w:r>
          </w:p>
        </w:tc>
        <w:tc>
          <w:tcPr>
            <w:tcW w:w="1020" w:type="dxa"/>
            <w:noWrap/>
            <w:vAlign w:val="center"/>
          </w:tcPr>
          <w:p w:rsidR="00E67F27" w:rsidRDefault="00E67F27" w:rsidP="00E67C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  <w:t>29</w:t>
            </w:r>
          </w:p>
        </w:tc>
        <w:tc>
          <w:tcPr>
            <w:tcW w:w="1020" w:type="dxa"/>
            <w:noWrap/>
            <w:vAlign w:val="center"/>
          </w:tcPr>
          <w:p w:rsidR="00E67F27" w:rsidRDefault="00E67F27" w:rsidP="00E67C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  <w:t>29</w:t>
            </w:r>
          </w:p>
        </w:tc>
        <w:tc>
          <w:tcPr>
            <w:tcW w:w="1020" w:type="dxa"/>
            <w:vAlign w:val="center"/>
          </w:tcPr>
          <w:p w:rsidR="00E67F27" w:rsidRDefault="00E67F27" w:rsidP="00E67C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</w:pPr>
          </w:p>
        </w:tc>
      </w:tr>
      <w:tr w:rsidR="00E67F27" w:rsidTr="00E67F27">
        <w:trPr>
          <w:trHeight w:val="288"/>
        </w:trPr>
        <w:tc>
          <w:tcPr>
            <w:tcW w:w="5260" w:type="dxa"/>
            <w:noWrap/>
            <w:vAlign w:val="center"/>
            <w:hideMark/>
          </w:tcPr>
          <w:p w:rsidR="00E67F27" w:rsidRPr="00E93B11" w:rsidRDefault="00E67F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pt-PT"/>
              </w:rPr>
            </w:pPr>
            <w:r w:rsidRPr="00E93B11">
              <w:rPr>
                <w:rFonts w:ascii="Times New Roman" w:hAnsi="Times New Roman" w:cs="Times New Roman"/>
                <w:color w:val="000000"/>
                <w:lang w:eastAsia="pt-PT"/>
              </w:rPr>
              <w:t xml:space="preserve"> Glycolysis / Gluconeogenesis                              </w:t>
            </w:r>
          </w:p>
        </w:tc>
        <w:tc>
          <w:tcPr>
            <w:tcW w:w="1020" w:type="dxa"/>
            <w:noWrap/>
            <w:vAlign w:val="center"/>
          </w:tcPr>
          <w:p w:rsidR="00E67F27" w:rsidRDefault="00E67F27" w:rsidP="00E67C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  <w:t>28</w:t>
            </w:r>
          </w:p>
        </w:tc>
        <w:tc>
          <w:tcPr>
            <w:tcW w:w="1020" w:type="dxa"/>
            <w:noWrap/>
            <w:vAlign w:val="center"/>
          </w:tcPr>
          <w:p w:rsidR="00E67F27" w:rsidRDefault="00E67F27" w:rsidP="00E67C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  <w:t>27</w:t>
            </w:r>
          </w:p>
        </w:tc>
        <w:tc>
          <w:tcPr>
            <w:tcW w:w="1020" w:type="dxa"/>
            <w:noWrap/>
            <w:vAlign w:val="center"/>
          </w:tcPr>
          <w:p w:rsidR="00E67F27" w:rsidRDefault="00E67F27" w:rsidP="00E67C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  <w:t>26</w:t>
            </w:r>
          </w:p>
        </w:tc>
        <w:tc>
          <w:tcPr>
            <w:tcW w:w="1020" w:type="dxa"/>
            <w:vAlign w:val="center"/>
          </w:tcPr>
          <w:p w:rsidR="00E67F27" w:rsidRDefault="00E67F27" w:rsidP="00E67C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</w:pPr>
          </w:p>
        </w:tc>
      </w:tr>
      <w:tr w:rsidR="00E67F27" w:rsidTr="00E67F27">
        <w:trPr>
          <w:trHeight w:val="288"/>
        </w:trPr>
        <w:tc>
          <w:tcPr>
            <w:tcW w:w="5260" w:type="dxa"/>
            <w:noWrap/>
            <w:vAlign w:val="center"/>
            <w:hideMark/>
          </w:tcPr>
          <w:p w:rsidR="00E67F27" w:rsidRPr="00E93B11" w:rsidRDefault="00E67F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pt-PT"/>
              </w:rPr>
            </w:pPr>
            <w:r w:rsidRPr="00E93B11">
              <w:rPr>
                <w:rFonts w:ascii="Times New Roman" w:hAnsi="Times New Roman" w:cs="Times New Roman"/>
                <w:color w:val="000000"/>
                <w:lang w:eastAsia="pt-PT"/>
              </w:rPr>
              <w:t xml:space="preserve"> Alanine, aspartate and glutamate metabolism               </w:t>
            </w:r>
          </w:p>
        </w:tc>
        <w:tc>
          <w:tcPr>
            <w:tcW w:w="1020" w:type="dxa"/>
            <w:noWrap/>
            <w:vAlign w:val="center"/>
          </w:tcPr>
          <w:p w:rsidR="00E67F27" w:rsidRDefault="00E67F27" w:rsidP="00E67C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  <w:t>23</w:t>
            </w:r>
          </w:p>
        </w:tc>
        <w:tc>
          <w:tcPr>
            <w:tcW w:w="1020" w:type="dxa"/>
            <w:noWrap/>
            <w:vAlign w:val="center"/>
          </w:tcPr>
          <w:p w:rsidR="00E67F27" w:rsidRDefault="00E67F27" w:rsidP="00E67C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  <w:t>18</w:t>
            </w:r>
          </w:p>
        </w:tc>
        <w:tc>
          <w:tcPr>
            <w:tcW w:w="1020" w:type="dxa"/>
            <w:noWrap/>
            <w:vAlign w:val="center"/>
          </w:tcPr>
          <w:p w:rsidR="00E67F27" w:rsidRDefault="00E67F27" w:rsidP="00E67C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  <w:t>25</w:t>
            </w:r>
          </w:p>
        </w:tc>
        <w:tc>
          <w:tcPr>
            <w:tcW w:w="1020" w:type="dxa"/>
            <w:vAlign w:val="center"/>
          </w:tcPr>
          <w:p w:rsidR="00E67F27" w:rsidRDefault="00E67F27" w:rsidP="00E67C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</w:pPr>
          </w:p>
        </w:tc>
      </w:tr>
      <w:tr w:rsidR="00E67F27" w:rsidTr="00E67F27">
        <w:trPr>
          <w:trHeight w:val="288"/>
        </w:trPr>
        <w:tc>
          <w:tcPr>
            <w:tcW w:w="5260" w:type="dxa"/>
            <w:noWrap/>
            <w:vAlign w:val="center"/>
            <w:hideMark/>
          </w:tcPr>
          <w:p w:rsidR="00E67F27" w:rsidRPr="00E93B11" w:rsidRDefault="00E67F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pt-PT"/>
              </w:rPr>
            </w:pPr>
            <w:r w:rsidRPr="00E93B11">
              <w:rPr>
                <w:rFonts w:ascii="Times New Roman" w:hAnsi="Times New Roman" w:cs="Times New Roman"/>
                <w:color w:val="000000"/>
                <w:lang w:eastAsia="pt-PT"/>
              </w:rPr>
              <w:t xml:space="preserve"> Cysteine and methionine metabolism                        </w:t>
            </w:r>
          </w:p>
        </w:tc>
        <w:tc>
          <w:tcPr>
            <w:tcW w:w="1020" w:type="dxa"/>
            <w:noWrap/>
            <w:vAlign w:val="center"/>
          </w:tcPr>
          <w:p w:rsidR="00E67F27" w:rsidRDefault="00E67F27" w:rsidP="00E67C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  <w:t>24</w:t>
            </w:r>
          </w:p>
        </w:tc>
        <w:tc>
          <w:tcPr>
            <w:tcW w:w="1020" w:type="dxa"/>
            <w:noWrap/>
            <w:vAlign w:val="center"/>
          </w:tcPr>
          <w:p w:rsidR="00E67F27" w:rsidRDefault="00E67F27" w:rsidP="00E67C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  <w:t>20</w:t>
            </w:r>
          </w:p>
        </w:tc>
        <w:tc>
          <w:tcPr>
            <w:tcW w:w="1020" w:type="dxa"/>
            <w:noWrap/>
            <w:vAlign w:val="center"/>
          </w:tcPr>
          <w:p w:rsidR="00E67F27" w:rsidRDefault="00E67F27" w:rsidP="00E67C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  <w:t>25</w:t>
            </w:r>
          </w:p>
        </w:tc>
        <w:tc>
          <w:tcPr>
            <w:tcW w:w="1020" w:type="dxa"/>
            <w:vAlign w:val="center"/>
          </w:tcPr>
          <w:p w:rsidR="00E67F27" w:rsidRDefault="00E67F27" w:rsidP="00E67C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</w:pPr>
          </w:p>
        </w:tc>
      </w:tr>
      <w:tr w:rsidR="00E67F27" w:rsidTr="00E67F27">
        <w:trPr>
          <w:trHeight w:val="288"/>
        </w:trPr>
        <w:tc>
          <w:tcPr>
            <w:tcW w:w="5260" w:type="dxa"/>
            <w:noWrap/>
            <w:vAlign w:val="center"/>
            <w:hideMark/>
          </w:tcPr>
          <w:p w:rsidR="00E67F27" w:rsidRPr="00E93B11" w:rsidRDefault="00E67F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pt-PT"/>
              </w:rPr>
            </w:pPr>
            <w:r w:rsidRPr="00E93B11">
              <w:rPr>
                <w:rFonts w:ascii="Times New Roman" w:hAnsi="Times New Roman" w:cs="Times New Roman"/>
                <w:color w:val="000000"/>
                <w:lang w:eastAsia="pt-PT"/>
              </w:rPr>
              <w:t xml:space="preserve"> Inositol phosphate metabolism                             </w:t>
            </w:r>
          </w:p>
        </w:tc>
        <w:tc>
          <w:tcPr>
            <w:tcW w:w="1020" w:type="dxa"/>
            <w:noWrap/>
            <w:vAlign w:val="center"/>
          </w:tcPr>
          <w:p w:rsidR="00E67F27" w:rsidRDefault="00E67F27" w:rsidP="00E67C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  <w:t>22</w:t>
            </w:r>
          </w:p>
        </w:tc>
        <w:tc>
          <w:tcPr>
            <w:tcW w:w="1020" w:type="dxa"/>
            <w:noWrap/>
            <w:vAlign w:val="center"/>
          </w:tcPr>
          <w:p w:rsidR="00E67F27" w:rsidRDefault="00E67F27" w:rsidP="00E67C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  <w:t>20*</w:t>
            </w:r>
          </w:p>
        </w:tc>
        <w:tc>
          <w:tcPr>
            <w:tcW w:w="1020" w:type="dxa"/>
            <w:noWrap/>
            <w:vAlign w:val="center"/>
          </w:tcPr>
          <w:p w:rsidR="00E67F27" w:rsidRDefault="00E67F27" w:rsidP="00E67C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  <w:t>24</w:t>
            </w:r>
          </w:p>
        </w:tc>
        <w:tc>
          <w:tcPr>
            <w:tcW w:w="1020" w:type="dxa"/>
            <w:vAlign w:val="center"/>
          </w:tcPr>
          <w:p w:rsidR="00E67F27" w:rsidRDefault="00E67F27" w:rsidP="00E67C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</w:pPr>
          </w:p>
        </w:tc>
      </w:tr>
      <w:tr w:rsidR="00E67F27" w:rsidTr="00E67F27">
        <w:trPr>
          <w:trHeight w:val="288"/>
        </w:trPr>
        <w:tc>
          <w:tcPr>
            <w:tcW w:w="5260" w:type="dxa"/>
            <w:noWrap/>
            <w:vAlign w:val="center"/>
            <w:hideMark/>
          </w:tcPr>
          <w:p w:rsidR="00E67F27" w:rsidRPr="00E93B11" w:rsidRDefault="00E67F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pt-PT"/>
              </w:rPr>
            </w:pPr>
            <w:r w:rsidRPr="00E93B11">
              <w:rPr>
                <w:rFonts w:ascii="Times New Roman" w:hAnsi="Times New Roman" w:cs="Times New Roman"/>
                <w:color w:val="000000"/>
                <w:lang w:eastAsia="pt-PT"/>
              </w:rPr>
              <w:t xml:space="preserve"> Pyruvate metabolism                                       </w:t>
            </w:r>
          </w:p>
        </w:tc>
        <w:tc>
          <w:tcPr>
            <w:tcW w:w="1020" w:type="dxa"/>
            <w:noWrap/>
            <w:vAlign w:val="center"/>
          </w:tcPr>
          <w:p w:rsidR="00E67F27" w:rsidRDefault="00E67F27" w:rsidP="00E67C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  <w:t>24</w:t>
            </w:r>
          </w:p>
        </w:tc>
        <w:tc>
          <w:tcPr>
            <w:tcW w:w="1020" w:type="dxa"/>
            <w:noWrap/>
            <w:vAlign w:val="center"/>
          </w:tcPr>
          <w:p w:rsidR="00E67F27" w:rsidRDefault="00E67F27" w:rsidP="00E67C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  <w:t>23</w:t>
            </w:r>
          </w:p>
        </w:tc>
        <w:tc>
          <w:tcPr>
            <w:tcW w:w="1020" w:type="dxa"/>
            <w:noWrap/>
            <w:vAlign w:val="center"/>
          </w:tcPr>
          <w:p w:rsidR="00E67F27" w:rsidRDefault="00E67F27" w:rsidP="00E67C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  <w:t>24</w:t>
            </w:r>
          </w:p>
        </w:tc>
        <w:tc>
          <w:tcPr>
            <w:tcW w:w="1020" w:type="dxa"/>
            <w:vAlign w:val="center"/>
          </w:tcPr>
          <w:p w:rsidR="00E67F27" w:rsidRDefault="00E67F27" w:rsidP="00E67C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</w:pPr>
          </w:p>
        </w:tc>
      </w:tr>
      <w:tr w:rsidR="00E67F27" w:rsidTr="00E67F27">
        <w:trPr>
          <w:trHeight w:val="288"/>
        </w:trPr>
        <w:tc>
          <w:tcPr>
            <w:tcW w:w="5260" w:type="dxa"/>
            <w:noWrap/>
            <w:vAlign w:val="center"/>
            <w:hideMark/>
          </w:tcPr>
          <w:p w:rsidR="00E67F27" w:rsidRPr="00E93B11" w:rsidRDefault="00E67F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pt-PT"/>
              </w:rPr>
            </w:pPr>
            <w:r w:rsidRPr="00E93B11">
              <w:rPr>
                <w:rFonts w:ascii="Times New Roman" w:hAnsi="Times New Roman" w:cs="Times New Roman"/>
                <w:color w:val="000000"/>
                <w:lang w:eastAsia="pt-PT"/>
              </w:rPr>
              <w:t xml:space="preserve"> Aminoacyl-tRNA biosynthesis                               </w:t>
            </w:r>
          </w:p>
        </w:tc>
        <w:tc>
          <w:tcPr>
            <w:tcW w:w="1020" w:type="dxa"/>
            <w:noWrap/>
            <w:vAlign w:val="center"/>
          </w:tcPr>
          <w:p w:rsidR="00E67F27" w:rsidRDefault="00E67F27" w:rsidP="00E67C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  <w:t>22</w:t>
            </w:r>
          </w:p>
        </w:tc>
        <w:tc>
          <w:tcPr>
            <w:tcW w:w="1020" w:type="dxa"/>
            <w:noWrap/>
            <w:vAlign w:val="center"/>
          </w:tcPr>
          <w:p w:rsidR="00E67F27" w:rsidRDefault="00E67F27" w:rsidP="00E67C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  <w:t>22</w:t>
            </w:r>
          </w:p>
        </w:tc>
        <w:tc>
          <w:tcPr>
            <w:tcW w:w="1020" w:type="dxa"/>
            <w:noWrap/>
            <w:vAlign w:val="center"/>
          </w:tcPr>
          <w:p w:rsidR="00E67F27" w:rsidRDefault="00E67F27" w:rsidP="00E67C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  <w:t>23</w:t>
            </w:r>
          </w:p>
        </w:tc>
        <w:tc>
          <w:tcPr>
            <w:tcW w:w="1020" w:type="dxa"/>
            <w:vAlign w:val="center"/>
          </w:tcPr>
          <w:p w:rsidR="00E67F27" w:rsidRDefault="00E67F27" w:rsidP="00E67C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</w:pPr>
          </w:p>
        </w:tc>
      </w:tr>
      <w:tr w:rsidR="00E67F27" w:rsidTr="00E67F27">
        <w:trPr>
          <w:trHeight w:val="288"/>
        </w:trPr>
        <w:tc>
          <w:tcPr>
            <w:tcW w:w="5260" w:type="dxa"/>
            <w:noWrap/>
            <w:vAlign w:val="center"/>
            <w:hideMark/>
          </w:tcPr>
          <w:p w:rsidR="00E67F27" w:rsidRPr="00E93B11" w:rsidRDefault="00E67F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en-US" w:eastAsia="pt-PT"/>
              </w:rPr>
            </w:pPr>
            <w:r w:rsidRPr="00E93B11">
              <w:rPr>
                <w:rFonts w:ascii="Times New Roman" w:hAnsi="Times New Roman" w:cs="Times New Roman"/>
                <w:color w:val="000000"/>
                <w:lang w:val="en-US" w:eastAsia="pt-PT"/>
              </w:rPr>
              <w:t xml:space="preserve"> </w:t>
            </w:r>
            <w:proofErr w:type="spellStart"/>
            <w:r w:rsidRPr="00E93B11">
              <w:rPr>
                <w:rFonts w:ascii="Times New Roman" w:hAnsi="Times New Roman" w:cs="Times New Roman"/>
                <w:color w:val="000000"/>
                <w:lang w:val="en-US" w:eastAsia="pt-PT"/>
              </w:rPr>
              <w:t>Valine</w:t>
            </w:r>
            <w:proofErr w:type="spellEnd"/>
            <w:r w:rsidRPr="00E93B11">
              <w:rPr>
                <w:rFonts w:ascii="Times New Roman" w:hAnsi="Times New Roman" w:cs="Times New Roman"/>
                <w:color w:val="000000"/>
                <w:lang w:val="en-US" w:eastAsia="pt-PT"/>
              </w:rPr>
              <w:t xml:space="preserve">, </w:t>
            </w:r>
            <w:proofErr w:type="spellStart"/>
            <w:r w:rsidRPr="00E93B11">
              <w:rPr>
                <w:rFonts w:ascii="Times New Roman" w:hAnsi="Times New Roman" w:cs="Times New Roman"/>
                <w:color w:val="000000"/>
                <w:lang w:val="en-US" w:eastAsia="pt-PT"/>
              </w:rPr>
              <w:t>leucine</w:t>
            </w:r>
            <w:proofErr w:type="spellEnd"/>
            <w:r w:rsidRPr="00E93B11">
              <w:rPr>
                <w:rFonts w:ascii="Times New Roman" w:hAnsi="Times New Roman" w:cs="Times New Roman"/>
                <w:color w:val="000000"/>
                <w:lang w:val="en-US" w:eastAsia="pt-PT"/>
              </w:rPr>
              <w:t xml:space="preserve"> and isoleucine degradation                </w:t>
            </w:r>
          </w:p>
        </w:tc>
        <w:tc>
          <w:tcPr>
            <w:tcW w:w="1020" w:type="dxa"/>
            <w:noWrap/>
            <w:vAlign w:val="center"/>
          </w:tcPr>
          <w:p w:rsidR="00E67F27" w:rsidRDefault="00E67F27" w:rsidP="00E67C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  <w:t>22</w:t>
            </w:r>
          </w:p>
        </w:tc>
        <w:tc>
          <w:tcPr>
            <w:tcW w:w="1020" w:type="dxa"/>
            <w:noWrap/>
            <w:vAlign w:val="center"/>
          </w:tcPr>
          <w:p w:rsidR="00E67F27" w:rsidRDefault="00E67F27" w:rsidP="00E67C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  <w:t>20</w:t>
            </w:r>
          </w:p>
        </w:tc>
        <w:tc>
          <w:tcPr>
            <w:tcW w:w="1020" w:type="dxa"/>
            <w:noWrap/>
            <w:vAlign w:val="center"/>
          </w:tcPr>
          <w:p w:rsidR="00E67F27" w:rsidRDefault="00E67F27" w:rsidP="00E67C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  <w:t>22</w:t>
            </w:r>
          </w:p>
        </w:tc>
        <w:tc>
          <w:tcPr>
            <w:tcW w:w="1020" w:type="dxa"/>
            <w:vAlign w:val="center"/>
          </w:tcPr>
          <w:p w:rsidR="00E67F27" w:rsidRDefault="00E67F27" w:rsidP="00E67C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</w:pPr>
          </w:p>
        </w:tc>
      </w:tr>
      <w:tr w:rsidR="00E67F27" w:rsidTr="00E67F27">
        <w:trPr>
          <w:trHeight w:val="288"/>
        </w:trPr>
        <w:tc>
          <w:tcPr>
            <w:tcW w:w="5260" w:type="dxa"/>
            <w:noWrap/>
            <w:vAlign w:val="center"/>
            <w:hideMark/>
          </w:tcPr>
          <w:p w:rsidR="00E67F27" w:rsidRPr="00E93B11" w:rsidRDefault="00E67F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pt-PT"/>
              </w:rPr>
            </w:pPr>
            <w:r w:rsidRPr="00E93B11">
              <w:rPr>
                <w:rFonts w:ascii="Times New Roman" w:hAnsi="Times New Roman" w:cs="Times New Roman"/>
                <w:color w:val="000000"/>
                <w:lang w:eastAsia="pt-PT"/>
              </w:rPr>
              <w:t xml:space="preserve"> Phosphatidylinositol signaling system                     </w:t>
            </w:r>
          </w:p>
        </w:tc>
        <w:tc>
          <w:tcPr>
            <w:tcW w:w="1020" w:type="dxa"/>
            <w:noWrap/>
            <w:vAlign w:val="center"/>
          </w:tcPr>
          <w:p w:rsidR="00E67F27" w:rsidRDefault="00E67F27" w:rsidP="00E67C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  <w:t>20</w:t>
            </w:r>
          </w:p>
        </w:tc>
        <w:tc>
          <w:tcPr>
            <w:tcW w:w="1020" w:type="dxa"/>
            <w:noWrap/>
            <w:vAlign w:val="center"/>
          </w:tcPr>
          <w:p w:rsidR="00E67F27" w:rsidRDefault="00E67F27" w:rsidP="00E67C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  <w:t>18*</w:t>
            </w:r>
          </w:p>
        </w:tc>
        <w:tc>
          <w:tcPr>
            <w:tcW w:w="1020" w:type="dxa"/>
            <w:noWrap/>
            <w:vAlign w:val="center"/>
          </w:tcPr>
          <w:p w:rsidR="00E67F27" w:rsidRDefault="00E67F27" w:rsidP="00E67C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  <w:t>20</w:t>
            </w:r>
          </w:p>
        </w:tc>
        <w:tc>
          <w:tcPr>
            <w:tcW w:w="1020" w:type="dxa"/>
            <w:vAlign w:val="center"/>
          </w:tcPr>
          <w:p w:rsidR="00E67F27" w:rsidRDefault="00E67F27" w:rsidP="00E67C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</w:pPr>
          </w:p>
        </w:tc>
      </w:tr>
      <w:tr w:rsidR="00E67F27" w:rsidTr="00E67F27">
        <w:trPr>
          <w:trHeight w:val="288"/>
        </w:trPr>
        <w:tc>
          <w:tcPr>
            <w:tcW w:w="5260" w:type="dxa"/>
            <w:noWrap/>
            <w:vAlign w:val="center"/>
            <w:hideMark/>
          </w:tcPr>
          <w:p w:rsidR="00E67F27" w:rsidRPr="00E93B11" w:rsidRDefault="00E67F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pt-PT"/>
              </w:rPr>
            </w:pPr>
            <w:r w:rsidRPr="00E93B11">
              <w:rPr>
                <w:rFonts w:ascii="Times New Roman" w:hAnsi="Times New Roman" w:cs="Times New Roman"/>
                <w:color w:val="000000"/>
                <w:lang w:eastAsia="pt-PT"/>
              </w:rPr>
              <w:t xml:space="preserve"> Sphingolipid metabolism                                   </w:t>
            </w:r>
          </w:p>
        </w:tc>
        <w:tc>
          <w:tcPr>
            <w:tcW w:w="1020" w:type="dxa"/>
            <w:noWrap/>
            <w:vAlign w:val="center"/>
          </w:tcPr>
          <w:p w:rsidR="00E67F27" w:rsidRDefault="00E67F27" w:rsidP="00E67C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  <w:t>19</w:t>
            </w:r>
          </w:p>
        </w:tc>
        <w:tc>
          <w:tcPr>
            <w:tcW w:w="1020" w:type="dxa"/>
            <w:noWrap/>
            <w:vAlign w:val="center"/>
          </w:tcPr>
          <w:p w:rsidR="00E67F27" w:rsidRDefault="00E67F27" w:rsidP="00E67C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  <w:t>17*</w:t>
            </w:r>
          </w:p>
        </w:tc>
        <w:tc>
          <w:tcPr>
            <w:tcW w:w="1020" w:type="dxa"/>
            <w:noWrap/>
            <w:vAlign w:val="center"/>
          </w:tcPr>
          <w:p w:rsidR="00E67F27" w:rsidRDefault="00E67F27" w:rsidP="00E67C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  <w:t>20</w:t>
            </w:r>
          </w:p>
        </w:tc>
        <w:tc>
          <w:tcPr>
            <w:tcW w:w="1020" w:type="dxa"/>
            <w:vAlign w:val="center"/>
          </w:tcPr>
          <w:p w:rsidR="00E67F27" w:rsidRDefault="00E67F27" w:rsidP="00E67C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</w:pPr>
          </w:p>
        </w:tc>
      </w:tr>
      <w:tr w:rsidR="00E67F27" w:rsidTr="00E67F27">
        <w:trPr>
          <w:trHeight w:val="288"/>
        </w:trPr>
        <w:tc>
          <w:tcPr>
            <w:tcW w:w="5260" w:type="dxa"/>
            <w:noWrap/>
            <w:vAlign w:val="center"/>
            <w:hideMark/>
          </w:tcPr>
          <w:p w:rsidR="00E67F27" w:rsidRPr="00E93B11" w:rsidRDefault="00E67F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pt-PT"/>
              </w:rPr>
            </w:pPr>
            <w:r w:rsidRPr="00E93B11">
              <w:rPr>
                <w:rFonts w:ascii="Times New Roman" w:hAnsi="Times New Roman" w:cs="Times New Roman"/>
                <w:color w:val="000000"/>
                <w:lang w:eastAsia="pt-PT"/>
              </w:rPr>
              <w:t xml:space="preserve"> Citrate cycle (TCA cycle)                                 </w:t>
            </w:r>
          </w:p>
        </w:tc>
        <w:tc>
          <w:tcPr>
            <w:tcW w:w="1020" w:type="dxa"/>
            <w:noWrap/>
            <w:vAlign w:val="center"/>
          </w:tcPr>
          <w:p w:rsidR="00E67F27" w:rsidRDefault="00E67F27" w:rsidP="00E67C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  <w:t>19</w:t>
            </w:r>
          </w:p>
        </w:tc>
        <w:tc>
          <w:tcPr>
            <w:tcW w:w="1020" w:type="dxa"/>
            <w:noWrap/>
            <w:vAlign w:val="center"/>
          </w:tcPr>
          <w:p w:rsidR="00E67F27" w:rsidRDefault="00E67F27" w:rsidP="00E67C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  <w:t>18</w:t>
            </w:r>
          </w:p>
        </w:tc>
        <w:tc>
          <w:tcPr>
            <w:tcW w:w="1020" w:type="dxa"/>
            <w:noWrap/>
            <w:vAlign w:val="center"/>
          </w:tcPr>
          <w:p w:rsidR="00E67F27" w:rsidRDefault="00E67F27" w:rsidP="00E67C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  <w:t>19</w:t>
            </w:r>
          </w:p>
        </w:tc>
        <w:tc>
          <w:tcPr>
            <w:tcW w:w="1020" w:type="dxa"/>
            <w:vAlign w:val="center"/>
          </w:tcPr>
          <w:p w:rsidR="00E67F27" w:rsidRDefault="00E67F27" w:rsidP="00E67C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</w:pPr>
          </w:p>
        </w:tc>
      </w:tr>
      <w:tr w:rsidR="00E67F27" w:rsidTr="00E67F27">
        <w:trPr>
          <w:trHeight w:val="288"/>
        </w:trPr>
        <w:tc>
          <w:tcPr>
            <w:tcW w:w="5260" w:type="dxa"/>
            <w:noWrap/>
            <w:vAlign w:val="center"/>
            <w:hideMark/>
          </w:tcPr>
          <w:p w:rsidR="00E67F27" w:rsidRPr="00E93B11" w:rsidRDefault="00E67F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pt-PT"/>
              </w:rPr>
            </w:pPr>
            <w:r w:rsidRPr="00E93B11">
              <w:rPr>
                <w:rFonts w:ascii="Times New Roman" w:hAnsi="Times New Roman" w:cs="Times New Roman"/>
                <w:color w:val="000000"/>
                <w:lang w:eastAsia="pt-PT"/>
              </w:rPr>
              <w:t xml:space="preserve"> Glutathione metabolism                                    </w:t>
            </w:r>
          </w:p>
        </w:tc>
        <w:tc>
          <w:tcPr>
            <w:tcW w:w="1020" w:type="dxa"/>
            <w:noWrap/>
            <w:vAlign w:val="center"/>
          </w:tcPr>
          <w:p w:rsidR="00E67F27" w:rsidRDefault="00E67F27" w:rsidP="00E67C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  <w:t>19</w:t>
            </w:r>
          </w:p>
        </w:tc>
        <w:tc>
          <w:tcPr>
            <w:tcW w:w="1020" w:type="dxa"/>
            <w:noWrap/>
            <w:vAlign w:val="center"/>
          </w:tcPr>
          <w:p w:rsidR="00E67F27" w:rsidRDefault="00E67F27" w:rsidP="00E67C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  <w:t>18</w:t>
            </w:r>
          </w:p>
        </w:tc>
        <w:tc>
          <w:tcPr>
            <w:tcW w:w="1020" w:type="dxa"/>
            <w:noWrap/>
            <w:vAlign w:val="center"/>
          </w:tcPr>
          <w:p w:rsidR="00E67F27" w:rsidRDefault="00E67F27" w:rsidP="00E67C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  <w:t>19</w:t>
            </w:r>
          </w:p>
        </w:tc>
        <w:tc>
          <w:tcPr>
            <w:tcW w:w="1020" w:type="dxa"/>
            <w:vAlign w:val="center"/>
          </w:tcPr>
          <w:p w:rsidR="00E67F27" w:rsidRDefault="00E67F27" w:rsidP="00E67C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</w:pPr>
          </w:p>
        </w:tc>
      </w:tr>
      <w:tr w:rsidR="00E67F27" w:rsidTr="00E67F27">
        <w:trPr>
          <w:trHeight w:val="288"/>
        </w:trPr>
        <w:tc>
          <w:tcPr>
            <w:tcW w:w="5260" w:type="dxa"/>
            <w:noWrap/>
            <w:vAlign w:val="center"/>
            <w:hideMark/>
          </w:tcPr>
          <w:p w:rsidR="00E67F27" w:rsidRPr="00E93B11" w:rsidRDefault="00E67F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pt-PT"/>
              </w:rPr>
            </w:pPr>
            <w:r w:rsidRPr="00E93B11">
              <w:rPr>
                <w:rFonts w:ascii="Times New Roman" w:hAnsi="Times New Roman" w:cs="Times New Roman"/>
                <w:color w:val="000000"/>
                <w:lang w:eastAsia="pt-PT"/>
              </w:rPr>
              <w:t xml:space="preserve"> Starch and sucrose metabolism                             </w:t>
            </w:r>
          </w:p>
        </w:tc>
        <w:tc>
          <w:tcPr>
            <w:tcW w:w="1020" w:type="dxa"/>
            <w:noWrap/>
            <w:vAlign w:val="center"/>
          </w:tcPr>
          <w:p w:rsidR="00E67F27" w:rsidRDefault="00E67F27" w:rsidP="00E67C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  <w:t>23</w:t>
            </w:r>
          </w:p>
        </w:tc>
        <w:tc>
          <w:tcPr>
            <w:tcW w:w="1020" w:type="dxa"/>
            <w:noWrap/>
            <w:vAlign w:val="center"/>
          </w:tcPr>
          <w:p w:rsidR="00E67F27" w:rsidRDefault="00E67F27" w:rsidP="00E67C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  <w:t>24</w:t>
            </w:r>
          </w:p>
        </w:tc>
        <w:tc>
          <w:tcPr>
            <w:tcW w:w="1020" w:type="dxa"/>
            <w:noWrap/>
            <w:vAlign w:val="center"/>
          </w:tcPr>
          <w:p w:rsidR="00E67F27" w:rsidRDefault="00E67F27" w:rsidP="00E67C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  <w:t>19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  <w:sym w:font="Wingdings" w:char="F0AB"/>
            </w:r>
          </w:p>
        </w:tc>
        <w:tc>
          <w:tcPr>
            <w:tcW w:w="1020" w:type="dxa"/>
            <w:vAlign w:val="center"/>
          </w:tcPr>
          <w:p w:rsidR="00E67F27" w:rsidRDefault="00E67F27" w:rsidP="00E67C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</w:pPr>
          </w:p>
        </w:tc>
      </w:tr>
      <w:tr w:rsidR="00E67F27" w:rsidTr="00E67F27">
        <w:trPr>
          <w:trHeight w:val="288"/>
        </w:trPr>
        <w:tc>
          <w:tcPr>
            <w:tcW w:w="5260" w:type="dxa"/>
            <w:noWrap/>
            <w:vAlign w:val="center"/>
            <w:hideMark/>
          </w:tcPr>
          <w:p w:rsidR="00E67F27" w:rsidRPr="00E93B11" w:rsidRDefault="00E67F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pt-PT"/>
              </w:rPr>
            </w:pPr>
            <w:r w:rsidRPr="00E93B11">
              <w:rPr>
                <w:rFonts w:ascii="Times New Roman" w:hAnsi="Times New Roman" w:cs="Times New Roman"/>
                <w:color w:val="000000"/>
                <w:lang w:eastAsia="pt-PT"/>
              </w:rPr>
              <w:t xml:space="preserve"> Drug metabolism - other enzymes                           </w:t>
            </w:r>
          </w:p>
        </w:tc>
        <w:tc>
          <w:tcPr>
            <w:tcW w:w="1020" w:type="dxa"/>
            <w:noWrap/>
            <w:vAlign w:val="center"/>
          </w:tcPr>
          <w:p w:rsidR="00E67F27" w:rsidRDefault="00E67F27" w:rsidP="00E67C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  <w:t>18</w:t>
            </w:r>
          </w:p>
        </w:tc>
        <w:tc>
          <w:tcPr>
            <w:tcW w:w="1020" w:type="dxa"/>
            <w:noWrap/>
            <w:vAlign w:val="center"/>
          </w:tcPr>
          <w:p w:rsidR="00E67F27" w:rsidRDefault="00E67F27" w:rsidP="00E67C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  <w:t>18</w:t>
            </w:r>
          </w:p>
        </w:tc>
        <w:tc>
          <w:tcPr>
            <w:tcW w:w="1020" w:type="dxa"/>
            <w:noWrap/>
            <w:vAlign w:val="center"/>
          </w:tcPr>
          <w:p w:rsidR="00E67F27" w:rsidRDefault="00E67F27" w:rsidP="00E67C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  <w:t>18</w:t>
            </w:r>
          </w:p>
        </w:tc>
        <w:tc>
          <w:tcPr>
            <w:tcW w:w="1020" w:type="dxa"/>
            <w:vAlign w:val="center"/>
          </w:tcPr>
          <w:p w:rsidR="00E67F27" w:rsidRDefault="00E67F27" w:rsidP="00E67C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</w:pPr>
          </w:p>
        </w:tc>
      </w:tr>
      <w:tr w:rsidR="00E67F27" w:rsidTr="00E67F27">
        <w:trPr>
          <w:trHeight w:val="288"/>
        </w:trPr>
        <w:tc>
          <w:tcPr>
            <w:tcW w:w="5260" w:type="dxa"/>
            <w:noWrap/>
            <w:vAlign w:val="center"/>
            <w:hideMark/>
          </w:tcPr>
          <w:p w:rsidR="00E67F27" w:rsidRPr="00E93B11" w:rsidRDefault="00E67F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pt-PT"/>
              </w:rPr>
            </w:pPr>
            <w:r w:rsidRPr="00E93B11">
              <w:rPr>
                <w:rFonts w:ascii="Times New Roman" w:hAnsi="Times New Roman" w:cs="Times New Roman"/>
                <w:color w:val="000000"/>
                <w:lang w:eastAsia="pt-PT"/>
              </w:rPr>
              <w:t xml:space="preserve"> Glycosaminoglycan biosynthesis - chondroitin sulfate      </w:t>
            </w:r>
          </w:p>
        </w:tc>
        <w:tc>
          <w:tcPr>
            <w:tcW w:w="1020" w:type="dxa"/>
            <w:noWrap/>
            <w:vAlign w:val="center"/>
          </w:tcPr>
          <w:p w:rsidR="00E67F27" w:rsidRDefault="00E67F27" w:rsidP="00E67C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  <w:t>10</w:t>
            </w:r>
          </w:p>
        </w:tc>
        <w:tc>
          <w:tcPr>
            <w:tcW w:w="1020" w:type="dxa"/>
            <w:noWrap/>
            <w:vAlign w:val="center"/>
          </w:tcPr>
          <w:p w:rsidR="00E67F27" w:rsidRDefault="00E67F27" w:rsidP="00E67C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  <w:sym w:font="Wingdings 2" w:char="F0E6"/>
            </w:r>
          </w:p>
        </w:tc>
        <w:tc>
          <w:tcPr>
            <w:tcW w:w="1020" w:type="dxa"/>
            <w:noWrap/>
            <w:vAlign w:val="center"/>
          </w:tcPr>
          <w:p w:rsidR="00E67F27" w:rsidRDefault="00E67F27" w:rsidP="00E67C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  <w:t>11</w:t>
            </w:r>
          </w:p>
        </w:tc>
        <w:tc>
          <w:tcPr>
            <w:tcW w:w="1020" w:type="dxa"/>
            <w:vAlign w:val="center"/>
          </w:tcPr>
          <w:p w:rsidR="00E67F27" w:rsidRDefault="00E67F27" w:rsidP="00E67C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</w:pPr>
          </w:p>
        </w:tc>
      </w:tr>
      <w:tr w:rsidR="00E67F27" w:rsidTr="00E67F27">
        <w:trPr>
          <w:trHeight w:val="288"/>
        </w:trPr>
        <w:tc>
          <w:tcPr>
            <w:tcW w:w="5260" w:type="dxa"/>
            <w:noWrap/>
            <w:vAlign w:val="center"/>
            <w:hideMark/>
          </w:tcPr>
          <w:p w:rsidR="00E67F27" w:rsidRPr="00E93B11" w:rsidRDefault="00E67F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pt-PT"/>
              </w:rPr>
            </w:pPr>
            <w:r w:rsidRPr="00E93B11">
              <w:rPr>
                <w:rFonts w:ascii="Times New Roman" w:hAnsi="Times New Roman" w:cs="Times New Roman"/>
                <w:color w:val="000000"/>
                <w:lang w:eastAsia="pt-PT"/>
              </w:rPr>
              <w:t xml:space="preserve"> Glycosaminoglycan biosynthesis - heparan sulfate          </w:t>
            </w:r>
          </w:p>
        </w:tc>
        <w:tc>
          <w:tcPr>
            <w:tcW w:w="1020" w:type="dxa"/>
            <w:noWrap/>
            <w:vAlign w:val="center"/>
          </w:tcPr>
          <w:p w:rsidR="00E67F27" w:rsidRDefault="00E67F27" w:rsidP="00E67C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  <w:t>8</w:t>
            </w:r>
          </w:p>
        </w:tc>
        <w:tc>
          <w:tcPr>
            <w:tcW w:w="1020" w:type="dxa"/>
            <w:noWrap/>
            <w:vAlign w:val="center"/>
          </w:tcPr>
          <w:p w:rsidR="00E67F27" w:rsidRDefault="00E67F27" w:rsidP="00E67C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  <w:sym w:font="Wingdings 2" w:char="F0E6"/>
            </w:r>
          </w:p>
        </w:tc>
        <w:tc>
          <w:tcPr>
            <w:tcW w:w="1020" w:type="dxa"/>
            <w:noWrap/>
            <w:vAlign w:val="center"/>
          </w:tcPr>
          <w:p w:rsidR="00E67F27" w:rsidRDefault="00E67F27" w:rsidP="00E67C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  <w:t>10</w:t>
            </w:r>
          </w:p>
        </w:tc>
        <w:tc>
          <w:tcPr>
            <w:tcW w:w="1020" w:type="dxa"/>
            <w:vAlign w:val="center"/>
          </w:tcPr>
          <w:p w:rsidR="00E67F27" w:rsidRDefault="00E67F27" w:rsidP="00E67C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</w:pPr>
          </w:p>
        </w:tc>
      </w:tr>
      <w:tr w:rsidR="00E67F27" w:rsidTr="00E67F27">
        <w:trPr>
          <w:trHeight w:val="288"/>
        </w:trPr>
        <w:tc>
          <w:tcPr>
            <w:tcW w:w="5260" w:type="dxa"/>
            <w:noWrap/>
            <w:vAlign w:val="center"/>
            <w:hideMark/>
          </w:tcPr>
          <w:p w:rsidR="00E67F27" w:rsidRPr="00E93B11" w:rsidRDefault="00E67F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pt-PT"/>
              </w:rPr>
            </w:pPr>
            <w:r w:rsidRPr="00E93B11">
              <w:rPr>
                <w:rFonts w:ascii="Times New Roman" w:hAnsi="Times New Roman" w:cs="Times New Roman"/>
                <w:color w:val="000000"/>
                <w:lang w:eastAsia="pt-PT"/>
              </w:rPr>
              <w:t xml:space="preserve"> Steroid biosynthesis                                      </w:t>
            </w:r>
          </w:p>
        </w:tc>
        <w:tc>
          <w:tcPr>
            <w:tcW w:w="1020" w:type="dxa"/>
            <w:noWrap/>
            <w:vAlign w:val="center"/>
          </w:tcPr>
          <w:p w:rsidR="00E67F27" w:rsidRDefault="00E67F27" w:rsidP="00E67C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  <w:t>13</w:t>
            </w:r>
          </w:p>
        </w:tc>
        <w:tc>
          <w:tcPr>
            <w:tcW w:w="1020" w:type="dxa"/>
            <w:noWrap/>
            <w:vAlign w:val="center"/>
          </w:tcPr>
          <w:p w:rsidR="00E67F27" w:rsidRDefault="00E67F27" w:rsidP="00E67C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  <w:t>12</w:t>
            </w:r>
          </w:p>
        </w:tc>
        <w:tc>
          <w:tcPr>
            <w:tcW w:w="1020" w:type="dxa"/>
            <w:noWrap/>
            <w:vAlign w:val="center"/>
          </w:tcPr>
          <w:p w:rsidR="00E67F27" w:rsidRDefault="00E67F27" w:rsidP="00E67C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  <w:t>13</w:t>
            </w:r>
          </w:p>
        </w:tc>
        <w:tc>
          <w:tcPr>
            <w:tcW w:w="1020" w:type="dxa"/>
            <w:vAlign w:val="center"/>
          </w:tcPr>
          <w:p w:rsidR="00E67F27" w:rsidRDefault="00E67F27" w:rsidP="00E67C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</w:pPr>
          </w:p>
        </w:tc>
      </w:tr>
      <w:tr w:rsidR="00E67F27" w:rsidTr="00E67F27">
        <w:trPr>
          <w:trHeight w:val="288"/>
        </w:trPr>
        <w:tc>
          <w:tcPr>
            <w:tcW w:w="5260" w:type="dxa"/>
            <w:noWrap/>
            <w:vAlign w:val="center"/>
            <w:hideMark/>
          </w:tcPr>
          <w:p w:rsidR="00E67F27" w:rsidRPr="00E93B11" w:rsidRDefault="00E67F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pt-PT"/>
              </w:rPr>
            </w:pPr>
            <w:r w:rsidRPr="00E93B11">
              <w:rPr>
                <w:rFonts w:ascii="Times New Roman" w:hAnsi="Times New Roman" w:cs="Times New Roman"/>
                <w:color w:val="000000"/>
                <w:lang w:eastAsia="pt-PT"/>
              </w:rPr>
              <w:t xml:space="preserve"> Steroid degradation                                       </w:t>
            </w:r>
          </w:p>
        </w:tc>
        <w:tc>
          <w:tcPr>
            <w:tcW w:w="1020" w:type="dxa"/>
            <w:noWrap/>
            <w:vAlign w:val="center"/>
          </w:tcPr>
          <w:p w:rsidR="00E67F27" w:rsidRDefault="00E67F27" w:rsidP="00E67C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  <w:t>3</w:t>
            </w:r>
          </w:p>
        </w:tc>
        <w:tc>
          <w:tcPr>
            <w:tcW w:w="1020" w:type="dxa"/>
            <w:noWrap/>
            <w:vAlign w:val="center"/>
          </w:tcPr>
          <w:p w:rsidR="00E67F27" w:rsidRDefault="00E67F27" w:rsidP="00E67C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  <w:t>3</w:t>
            </w:r>
          </w:p>
        </w:tc>
        <w:tc>
          <w:tcPr>
            <w:tcW w:w="1020" w:type="dxa"/>
            <w:noWrap/>
            <w:vAlign w:val="center"/>
          </w:tcPr>
          <w:p w:rsidR="00E67F27" w:rsidRDefault="00E67F27" w:rsidP="00E67C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  <w:t>3</w:t>
            </w:r>
          </w:p>
        </w:tc>
        <w:tc>
          <w:tcPr>
            <w:tcW w:w="1020" w:type="dxa"/>
            <w:vAlign w:val="center"/>
          </w:tcPr>
          <w:p w:rsidR="00E67F27" w:rsidRDefault="00E67F27" w:rsidP="00E67C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</w:pPr>
          </w:p>
        </w:tc>
      </w:tr>
      <w:tr w:rsidR="00E67F27" w:rsidTr="00E67F27">
        <w:trPr>
          <w:trHeight w:val="288"/>
        </w:trPr>
        <w:tc>
          <w:tcPr>
            <w:tcW w:w="5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E67F27" w:rsidRPr="00E93B11" w:rsidRDefault="00E67F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pt-PT"/>
              </w:rPr>
            </w:pPr>
            <w:r w:rsidRPr="00E93B11">
              <w:rPr>
                <w:rFonts w:ascii="Times New Roman" w:hAnsi="Times New Roman" w:cs="Times New Roman"/>
                <w:color w:val="000000"/>
                <w:lang w:eastAsia="pt-PT"/>
              </w:rPr>
              <w:t xml:space="preserve"> Steroid hormone biosynthesis                            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E67F27" w:rsidRDefault="00E67F27" w:rsidP="00E67C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  <w:t>18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E67F27" w:rsidRDefault="00E67F27" w:rsidP="00E67C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  <w:t>15*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E67F27" w:rsidRDefault="00E67F27" w:rsidP="00E67C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  <w:t>18</w:t>
            </w:r>
          </w:p>
        </w:tc>
        <w:tc>
          <w:tcPr>
            <w:tcW w:w="1020" w:type="dxa"/>
            <w:vAlign w:val="center"/>
          </w:tcPr>
          <w:p w:rsidR="00E67F27" w:rsidRDefault="00E67F27" w:rsidP="00E67C1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PT"/>
              </w:rPr>
            </w:pPr>
          </w:p>
        </w:tc>
      </w:tr>
    </w:tbl>
    <w:p w:rsidR="00433F5E" w:rsidRPr="00E93B11" w:rsidRDefault="00433F5E" w:rsidP="00433F5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E93B11">
        <w:rPr>
          <w:rFonts w:ascii="Times New Roman" w:hAnsi="Times New Roman" w:cs="Times New Roman"/>
          <w:sz w:val="20"/>
          <w:szCs w:val="20"/>
          <w:lang w:val="en-US"/>
        </w:rPr>
        <w:t xml:space="preserve">* - indicates lipid related metabolic pathways </w:t>
      </w:r>
      <w:r w:rsidR="00633861" w:rsidRPr="00E93B11">
        <w:rPr>
          <w:rFonts w:ascii="Times New Roman" w:hAnsi="Times New Roman" w:cs="Times New Roman"/>
          <w:sz w:val="20"/>
          <w:szCs w:val="20"/>
          <w:lang w:val="en-US"/>
        </w:rPr>
        <w:t xml:space="preserve">substantially </w:t>
      </w:r>
      <w:r w:rsidRPr="00E93B11">
        <w:rPr>
          <w:rFonts w:ascii="Times New Roman" w:hAnsi="Times New Roman" w:cs="Times New Roman"/>
          <w:sz w:val="20"/>
          <w:szCs w:val="20"/>
          <w:lang w:val="en-US"/>
        </w:rPr>
        <w:t>modified between tissues</w:t>
      </w:r>
    </w:p>
    <w:p w:rsidR="00433F5E" w:rsidRPr="00E93B11" w:rsidRDefault="00433F5E" w:rsidP="00433F5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E93B11">
        <w:rPr>
          <w:rFonts w:ascii="Times New Roman" w:hAnsi="Times New Roman" w:cs="Times New Roman"/>
          <w:sz w:val="20"/>
          <w:szCs w:val="20"/>
          <w:lang w:val="en-US"/>
        </w:rPr>
        <w:sym w:font="Wingdings 2" w:char="F0E6"/>
      </w:r>
      <w:r w:rsidRPr="00E93B11">
        <w:rPr>
          <w:rFonts w:ascii="Times New Roman" w:hAnsi="Times New Roman" w:cs="Times New Roman"/>
          <w:sz w:val="20"/>
          <w:szCs w:val="20"/>
          <w:lang w:val="en-US"/>
        </w:rPr>
        <w:t xml:space="preserve"> - indicates metabolic pathways involved in </w:t>
      </w:r>
      <w:proofErr w:type="spellStart"/>
      <w:r w:rsidRPr="00E93B11">
        <w:rPr>
          <w:rFonts w:ascii="Times New Roman" w:hAnsi="Times New Roman" w:cs="Times New Roman"/>
          <w:sz w:val="20"/>
          <w:szCs w:val="20"/>
          <w:lang w:val="en-US"/>
        </w:rPr>
        <w:t>chondrogenic</w:t>
      </w:r>
      <w:proofErr w:type="spellEnd"/>
      <w:r w:rsidRPr="00E93B11">
        <w:rPr>
          <w:rFonts w:ascii="Times New Roman" w:hAnsi="Times New Roman" w:cs="Times New Roman"/>
          <w:sz w:val="20"/>
          <w:szCs w:val="20"/>
          <w:lang w:val="en-US"/>
        </w:rPr>
        <w:t xml:space="preserve"> matrix generation </w:t>
      </w:r>
      <w:r w:rsidR="00633861" w:rsidRPr="00E93B11">
        <w:rPr>
          <w:rFonts w:ascii="Times New Roman" w:hAnsi="Times New Roman" w:cs="Times New Roman"/>
          <w:sz w:val="20"/>
          <w:szCs w:val="20"/>
          <w:lang w:val="en-US"/>
        </w:rPr>
        <w:t xml:space="preserve">substantially </w:t>
      </w:r>
      <w:r w:rsidRPr="00E93B11">
        <w:rPr>
          <w:rFonts w:ascii="Times New Roman" w:hAnsi="Times New Roman" w:cs="Times New Roman"/>
          <w:sz w:val="20"/>
          <w:szCs w:val="20"/>
          <w:lang w:val="en-US"/>
        </w:rPr>
        <w:t>differ</w:t>
      </w:r>
      <w:r w:rsidR="00633861" w:rsidRPr="00E93B11">
        <w:rPr>
          <w:rFonts w:ascii="Times New Roman" w:hAnsi="Times New Roman" w:cs="Times New Roman"/>
          <w:sz w:val="20"/>
          <w:szCs w:val="20"/>
          <w:lang w:val="en-US"/>
        </w:rPr>
        <w:t>ent</w:t>
      </w:r>
      <w:r w:rsidRPr="00E93B11">
        <w:rPr>
          <w:rFonts w:ascii="Times New Roman" w:hAnsi="Times New Roman" w:cs="Times New Roman"/>
          <w:sz w:val="20"/>
          <w:szCs w:val="20"/>
          <w:lang w:val="en-US"/>
        </w:rPr>
        <w:t xml:space="preserve"> between tissues</w:t>
      </w:r>
    </w:p>
    <w:p w:rsidR="00633861" w:rsidRPr="00E93B11" w:rsidRDefault="00633861" w:rsidP="0063386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E93B11">
        <w:rPr>
          <w:rFonts w:ascii="Times New Roman" w:hAnsi="Times New Roman" w:cs="Times New Roman"/>
          <w:color w:val="000000"/>
          <w:sz w:val="20"/>
          <w:szCs w:val="20"/>
          <w:lang w:eastAsia="pt-PT"/>
        </w:rPr>
        <w:sym w:font="Wingdings" w:char="F0AB"/>
      </w:r>
      <w:r w:rsidRPr="00D63028">
        <w:rPr>
          <w:rFonts w:ascii="Times New Roman" w:hAnsi="Times New Roman" w:cs="Times New Roman"/>
          <w:color w:val="000000"/>
          <w:sz w:val="20"/>
          <w:szCs w:val="20"/>
          <w:lang w:val="en-US" w:eastAsia="pt-PT"/>
        </w:rPr>
        <w:t xml:space="preserve"> - indicates starch and sucrose metabolism is </w:t>
      </w:r>
      <w:r w:rsidRPr="00E93B11">
        <w:rPr>
          <w:rFonts w:ascii="Times New Roman" w:hAnsi="Times New Roman" w:cs="Times New Roman"/>
          <w:sz w:val="20"/>
          <w:szCs w:val="20"/>
          <w:lang w:val="en-US"/>
        </w:rPr>
        <w:t>substantially different between tissues</w:t>
      </w:r>
    </w:p>
    <w:p w:rsidR="00633861" w:rsidRDefault="00633861" w:rsidP="00433F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7A4F32" w:rsidRPr="00433F5E" w:rsidRDefault="0086084B">
      <w:pPr>
        <w:rPr>
          <w:lang w:val="en-US"/>
        </w:rPr>
      </w:pPr>
    </w:p>
    <w:sectPr w:rsidR="007A4F32" w:rsidRPr="00433F5E" w:rsidSect="00B710F8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F5E"/>
    <w:rsid w:val="00433F5E"/>
    <w:rsid w:val="00633861"/>
    <w:rsid w:val="0086084B"/>
    <w:rsid w:val="008E744E"/>
    <w:rsid w:val="00B0257C"/>
    <w:rsid w:val="00B710F8"/>
    <w:rsid w:val="00D63028"/>
    <w:rsid w:val="00E67F27"/>
    <w:rsid w:val="00E80377"/>
    <w:rsid w:val="00E93B11"/>
    <w:rsid w:val="00F52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3F5E"/>
    <w:rPr>
      <w:rFonts w:eastAsiaTheme="minorEastAsia"/>
      <w:lang w:val="nb-NO" w:eastAsia="nb-N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3F5E"/>
    <w:rPr>
      <w:rFonts w:eastAsiaTheme="minorEastAsia"/>
      <w:lang w:val="nb-NO" w:eastAsia="nb-N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874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343</Words>
  <Characters>1858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Ricardo</dc:creator>
  <cp:lastModifiedBy>Ricardo</cp:lastModifiedBy>
  <cp:revision>2</cp:revision>
  <dcterms:created xsi:type="dcterms:W3CDTF">2015-09-25T06:50:00Z</dcterms:created>
  <dcterms:modified xsi:type="dcterms:W3CDTF">2015-09-25T06:50:00Z</dcterms:modified>
</cp:coreProperties>
</file>