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971" w:rsidRDefault="00504D89" w:rsidP="00F65971">
      <w:pPr>
        <w:spacing w:line="480" w:lineRule="auto"/>
        <w:rPr>
          <w:rFonts w:ascii="Arial" w:hAnsi="Arial" w:cs="Arial"/>
          <w:b/>
        </w:rPr>
      </w:pPr>
      <w:r>
        <w:rPr>
          <w:rFonts w:ascii="Arial" w:hAnsi="Arial" w:cs="Arial"/>
          <w:b/>
        </w:rPr>
        <w:t xml:space="preserve">Additional file 4: </w:t>
      </w:r>
      <w:r w:rsidR="0099206F">
        <w:rPr>
          <w:rFonts w:ascii="Arial" w:hAnsi="Arial" w:cs="Arial"/>
          <w:b/>
        </w:rPr>
        <w:t>Supplementary Methods:</w:t>
      </w:r>
      <w:r w:rsidR="00F65971">
        <w:rPr>
          <w:rFonts w:ascii="Arial" w:hAnsi="Arial" w:cs="Arial"/>
          <w:b/>
        </w:rPr>
        <w:t xml:space="preserve"> Introduction of network construction algorithm </w:t>
      </w:r>
    </w:p>
    <w:p w:rsidR="00F65971" w:rsidRPr="008823ED" w:rsidRDefault="00F65971" w:rsidP="00F65971">
      <w:pPr>
        <w:spacing w:line="480" w:lineRule="auto"/>
        <w:rPr>
          <w:rFonts w:ascii="Arial" w:hAnsi="Arial" w:cs="Arial"/>
          <w:b/>
        </w:rPr>
      </w:pPr>
    </w:p>
    <w:p w:rsidR="00F65971" w:rsidRPr="008823ED" w:rsidRDefault="00F65971" w:rsidP="00F65971">
      <w:pPr>
        <w:spacing w:line="480" w:lineRule="auto"/>
        <w:rPr>
          <w:rFonts w:ascii="Arial" w:hAnsi="Arial" w:cs="Arial"/>
        </w:rPr>
      </w:pPr>
      <w:r w:rsidRPr="00E52795">
        <w:rPr>
          <w:rFonts w:ascii="Arial" w:hAnsi="Arial" w:cs="Arial"/>
          <w:i/>
        </w:rPr>
        <w:t>Model</w:t>
      </w:r>
    </w:p>
    <w:p w:rsidR="00F65971" w:rsidRPr="008823ED" w:rsidRDefault="00F65971" w:rsidP="00F65971">
      <w:pPr>
        <w:spacing w:line="480" w:lineRule="auto"/>
        <w:rPr>
          <w:rFonts w:ascii="Arial" w:hAnsi="Arial" w:cs="Arial"/>
        </w:rPr>
      </w:pPr>
      <w:r w:rsidRPr="00E52795">
        <w:rPr>
          <w:rFonts w:ascii="Arial" w:hAnsi="Arial" w:cs="Arial"/>
        </w:rPr>
        <w:t xml:space="preserve">We assume that the joint probability mass function of the expression of m transcripts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m</m:t>
                </m:r>
              </m:sub>
            </m:sSub>
          </m:e>
        </m:d>
      </m:oMath>
      <w:r w:rsidRPr="00E52795">
        <w:rPr>
          <w:rFonts w:ascii="Arial" w:hAnsi="Arial" w:cs="Arial"/>
        </w:rPr>
        <w:t xml:space="preserve"> may be represented by individual expression levels </w:t>
      </w:r>
      <m:oMath>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,i=1,2,…,m</m:t>
        </m:r>
      </m:oMath>
      <w:r w:rsidRPr="00E52795">
        <w:rPr>
          <w:rFonts w:ascii="Arial" w:hAnsi="Arial" w:cs="Arial"/>
        </w:rPr>
        <w:t xml:space="preserve"> and pairwise interactions (co-expressions)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r>
          <w:rPr>
            <w:rFonts w:ascii="Cambria Math" w:hAnsi="Cambria Math" w:cs="Arial"/>
          </w:rPr>
          <m:t>,i≠j,i,j=1,2,…,</m:t>
        </m:r>
      </m:oMath>
      <w:r w:rsidRPr="00E52795">
        <w:rPr>
          <w:rFonts w:ascii="Arial" w:hAnsi="Arial" w:cs="Arial"/>
        </w:rPr>
        <w:t>. This is usually stated in terms of the Gibbs measure</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"10.1090/conm/001", "ISBN" : "9780821850015", "ISSN" : "0271-4132", "author" : [ { "dropping-particle" : "", "family" : "Kindermann", "given" : "Ross", "non-dropping-particle" : "", "parse-names" : false, "suffix" : "" }, { "dropping-particle" : "", "family" : "Snell", "given" : "J. Laurie", "non-dropping-particle" : "", "parse-names" : false, "suffix" : "" } ], "collection-title" : "Contemporary Mathematics", "id" : "ITEM-1", "issued" : { "date-parts" : [ [ "1980" ] ] }, "publisher" : "American Mathematical Society", "publisher-place" : "Providence, Rhode Island", "title" : "Markov Random Fields and Their Applications", "type" : "book", "volume" : "1" }, "uris" : [ "http://www.mendeley.com/documents/?uuid=d6c21191-7a00-4458-a4fc-2e267d1173c2" ] } ], "mendeley" : { "formattedCitation" : "[1]", "plainTextFormattedCitation" : "[1]", "previouslyFormattedCitation" : "[1]"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[1]</w:t>
      </w:r>
      <w:r w:rsidR="00C55B92" w:rsidRPr="00E52795">
        <w:rPr>
          <w:rFonts w:ascii="Arial" w:hAnsi="Arial" w:cs="Arial"/>
        </w:rPr>
        <w:fldChar w:fldCharType="end"/>
      </w:r>
      <w:r w:rsidRPr="00E52795">
        <w:rPr>
          <w:rFonts w:ascii="Arial" w:hAnsi="Arial" w:cs="Arial"/>
        </w:rPr>
        <w:t>, or the Hamiltonian of the system, as follows:</w:t>
      </w:r>
    </w:p>
    <w:p w:rsidR="00F65971" w:rsidRPr="008823ED" w:rsidRDefault="00F65971" w:rsidP="00F65971">
      <w:pPr>
        <w:spacing w:line="480" w:lineRule="auto"/>
        <w:rPr>
          <w:rFonts w:ascii="Arial" w:hAnsi="Arial" w:cs="Arial"/>
        </w:rPr>
      </w:pPr>
      <m:oMathPara>
        <m:oMath>
          <m: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m</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m</m:t>
                  </m:r>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Z</m:t>
              </m:r>
            </m:den>
          </m:f>
          <m:r>
            <w:rPr>
              <w:rFonts w:ascii="Cambria Math" w:hAnsi="Cambria Math" w:cs="Arial"/>
            </w:rPr>
            <m:t>exp</m:t>
          </m:r>
          <m:d>
            <m:dPr>
              <m:ctrlPr>
                <w:rPr>
                  <w:rFonts w:ascii="Cambria Math" w:hAnsi="Cambria Math" w:cs="Arial"/>
                </w:rPr>
              </m:ctrlPr>
            </m:dPr>
            <m:e>
              <m:r>
                <w:rPr>
                  <w:rFonts w:ascii="Cambria Math" w:hAnsi="Cambria Math" w:cs="Arial"/>
                </w:rPr>
                <m:t>-</m:t>
              </m:r>
              <m:nary>
                <m:naryPr>
                  <m:chr m:val="∑"/>
                  <m:subHide m:val="on"/>
                  <m:supHide m:val="on"/>
                  <m:ctrlPr>
                    <w:rPr>
                      <w:rFonts w:ascii="Cambria Math" w:hAnsi="Cambria Math" w:cs="Arial"/>
                    </w:rPr>
                  </m:ctrlPr>
                </m:naryPr>
                <m:sub/>
                <m:sup/>
                <m:e>
                  <m:sSub>
                    <m:sSubPr>
                      <m:ctrlPr>
                        <w:rPr>
                          <w:rFonts w:ascii="Cambria Math" w:hAnsi="Cambria Math" w:cs="Arial"/>
                        </w:rPr>
                      </m:ctrlPr>
                    </m:sSubPr>
                    <m:e>
                      <m:r>
                        <w:rPr>
                          <w:rFonts w:ascii="Cambria Math" w:hAnsi="Cambria Math" w:cs="Arial"/>
                        </w:rPr>
                        <m:t>ϕ</m:t>
                      </m:r>
                    </m:e>
                    <m:sub>
                      <m:r>
                        <w:rPr>
                          <w:rFonts w:ascii="Cambria Math" w:hAnsi="Cambria Math" w:cs="Arial"/>
                        </w:rPr>
                        <m:t>i</m:t>
                      </m:r>
                    </m:sub>
                  </m:sSub>
                </m:e>
              </m:nary>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e>
              </m:d>
              <m:r>
                <w:rPr>
                  <w:rFonts w:ascii="Cambria Math" w:hAnsi="Cambria Math" w:cs="Arial"/>
                </w:rPr>
                <m:t>-</m:t>
              </m:r>
              <m:nary>
                <m:naryPr>
                  <m:chr m:val="∑"/>
                  <m:subHide m:val="on"/>
                  <m:supHide m:val="on"/>
                  <m:ctrlPr>
                    <w:rPr>
                      <w:rFonts w:ascii="Cambria Math" w:hAnsi="Cambria Math" w:cs="Arial"/>
                    </w:rPr>
                  </m:ctrlPr>
                </m:naryPr>
                <m:sub/>
                <m:sup/>
                <m:e>
                  <m:sSub>
                    <m:sSubPr>
                      <m:ctrlPr>
                        <w:rPr>
                          <w:rFonts w:ascii="Cambria Math" w:hAnsi="Cambria Math" w:cs="Arial"/>
                        </w:rPr>
                      </m:ctrlPr>
                    </m:sSubPr>
                    <m:e>
                      <m:r>
                        <w:rPr>
                          <w:rFonts w:ascii="Cambria Math" w:hAnsi="Cambria Math" w:cs="Arial"/>
                        </w:rPr>
                        <m:t>ϕ</m:t>
                      </m:r>
                    </m:e>
                    <m:sub>
                      <m:r>
                        <w:rPr>
                          <w:rFonts w:ascii="Cambria Math" w:hAnsi="Cambria Math" w:cs="Arial"/>
                        </w:rPr>
                        <m:t>ij</m:t>
                      </m:r>
                    </m:sub>
                  </m:sSub>
                </m:e>
              </m:nary>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e>
          </m:d>
        </m:oMath>
      </m:oMathPara>
    </w:p>
    <w:p w:rsidR="00F65971" w:rsidRPr="008823ED" w:rsidRDefault="00F65971" w:rsidP="00F65971">
      <w:pPr>
        <w:spacing w:line="480" w:lineRule="auto"/>
        <w:rPr>
          <w:rFonts w:ascii="Arial" w:hAnsi="Arial" w:cs="Arial"/>
        </w:rPr>
      </w:pPr>
      <w:r w:rsidRPr="00E52795">
        <w:rPr>
          <w:rFonts w:ascii="Arial" w:hAnsi="Arial" w:cs="Arial"/>
        </w:rPr>
        <w:t xml:space="preserve">where Z is the normalization constant and </w:t>
      </w:r>
      <m:oMath>
        <m:sSub>
          <m:sSubPr>
            <m:ctrlPr>
              <w:rPr>
                <w:rFonts w:ascii="Cambria Math" w:hAnsi="Cambria Math" w:cs="Arial"/>
              </w:rPr>
            </m:ctrlPr>
          </m:sSubPr>
          <m:e>
            <m:r>
              <w:rPr>
                <w:rFonts w:ascii="Cambria Math" w:hAnsi="Cambria Math" w:cs="Arial"/>
              </w:rPr>
              <m:t>ϕ</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ϕ</m:t>
            </m:r>
          </m:e>
          <m:sub>
            <m:r>
              <w:rPr>
                <w:rFonts w:ascii="Cambria Math" w:hAnsi="Cambria Math" w:cs="Arial"/>
              </w:rPr>
              <m:t>ij</m:t>
            </m:r>
          </m:sub>
        </m:sSub>
        <m:r>
          <w:rPr>
            <w:rFonts w:ascii="Cambria Math" w:hAnsi="Cambria Math" w:cs="Arial"/>
          </w:rPr>
          <m:t>,i≠j,i,j=1,2,…,m</m:t>
        </m:r>
      </m:oMath>
      <w:r w:rsidRPr="00E52795">
        <w:rPr>
          <w:rFonts w:ascii="Arial" w:hAnsi="Arial" w:cs="Arial"/>
        </w:rPr>
        <w:t xml:space="preserve"> are potential functions.  Such assumptions have been exploited in </w:t>
      </w:r>
      <w:r w:rsidRPr="008823ED">
        <w:rPr>
          <w:rFonts w:ascii="Arial" w:hAnsi="Arial" w:cs="Arial"/>
        </w:rPr>
        <w:t>many methods for building genetic co-expression networks</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"10.1186/1471-2105-7-S1-S7", "ISSN" : "1471-2105", "PMID" : "16723010", "abstract" : "BACKGROUND: Elucidating gene regulatory networks is crucial for understanding normal cell physiology and complex pathologic phenotypes. Existing computational methods for the genome-wide \"reverse engineering\" of such networks have been successful only for lower eukaryotes with simple genomes. Here we present ARACNE, a novel algorithm, using microarray expression profiles, specifically designed to scale up to the complexity of regulatory networks in mammalian cells, yet general enough to address a wider range of network deconvolution problems. This method uses an information theoretic approach to eliminate the majority of indirect interactions inferred by co-expression methods.\n\nRESULTS: We prove that ARACNE reconstructs the network exactly (asymptotically) if the effect of loops in the network topology is negligible, and we show that the algorithm works well in practice, even in the presence of numerous loops and complex topologies. We assess ARACNE's ability to reconstruct transcriptional regulatory networks using both a realistic synthetic dataset and a microarray dataset from human B cells. On synthetic datasets ARACNE achieves very low error rates and outperforms established methods, such as Relevance Networks and Bayesian Networks. Application to the deconvolution of genetic networks in human B cells demonstrates ARACNE's ability to infer validated transcriptional targets of the cMYC proto-oncogene. We also study the effects of misestimation of mutual information on network reconstruction, and show that algorithms based on mutual information ranking are more resilient to estimation errors.\n\nCONCLUSION: ARACNE shows promise in identifying direct transcriptional interactions in mammalian cellular networks, a problem that has challenged existing reverse engineering algorithms. This approach should enhance our ability to use microarray data to elucidate functional mechanisms that underlie cellular processes and to identify molecular targets of pharmacological compounds in mammalian cellular networks.", "author" : [ { "dropping-particle" : "", "family" : "Margolin", "given" : "Adam A", "non-dropping-particle" : "", "parse-names" : false, "suffix" : "" }, { "dropping-particle" : "", "family" : "Nemenman", "given" : "Ilya", "non-dropping-particle" : "", "parse-names" : false, "suffix" : "" }, { "dropping-particle" : "", "family" : "Basso", "given" : "Katia", "non-dropping-particle" : "", "parse-names" : false, "suffix" : "" }, { "dropping-particle" : "", "family" : "Wiggins", "given" : "Chris", "non-dropping-particle" : "", "parse-names" : false, "suffix" : "" }, { "dropping-particle" : "", "family" : "Stolovitzky", "given" : "Gustavo", "non-dropping-particle" : "", "parse-names" : false, "suffix" : "" }, { "dropping-particle" : "", "family" : "Dalla Favera", "given" : "Riccardo", "non-dropping-particle" : "", "parse-names" : false, "suffix" : "" }, { "dropping-particle" : "", "family" : "Califano", "given" : "Andrea", "non-dropping-particle" : "", "parse-names" : false, "suffix" : "" } ], "container-title" : "BMC bioinformatics", "id" : "ITEM-1", "issue" : "Suppl 1", "issued" : { "date-parts" : [ [ "2006", "1" ] ] }, "page" : "S7", "title" : "ARACNE: an algorithm for the reconstruction of gene regulatory networks in a mammalian cellular context.", "type" : "article-journal", "volume" : "7 Suppl 1" }, "uris" : [ "http://www.mendeley.com/documents/?uuid=74dcece9-1114-4da2-bb2f-1318f4b64aa8" ] } ], "mendeley" : { "formattedCitation" : "[2]", "plainTextFormattedCitation" : "[2]", "previouslyFormattedCitation" : "[2]"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[2]</w:t>
      </w:r>
      <w:r w:rsidR="00C55B92" w:rsidRPr="00E52795">
        <w:rPr>
          <w:rFonts w:ascii="Arial" w:hAnsi="Arial" w:cs="Arial"/>
        </w:rPr>
        <w:fldChar w:fldCharType="end"/>
      </w:r>
      <w:r w:rsidRPr="00E52795">
        <w:rPr>
          <w:rFonts w:ascii="Arial" w:hAnsi="Arial" w:cs="Arial"/>
        </w:rPr>
        <w:t xml:space="preserve"> and also in the theory of Markov random fields</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"10.1090/conm/001", "ISBN" : "9780821850015", "ISSN" : "0271-4132", "author" : [ { "dropping-particle" : "", "family" : "Kindermann", "given" : "Ross", "non-dropping-particle" : "", "parse-names" : false, "suffix" : "" }, { "dropping-particle" : "", "family" : "Snell", "given" : "J. Laurie", "non-dropping-particle" : "", "parse-names" : false, "suffix" : "" } ], "collection-title" : "Contemporary Mathematics", "id" : "ITEM-1", "issued" : { "date-parts" : [ [ "1980" ] ] }, "publisher" : "American Mathematical Society", "publisher-place" : "Providence, Rhode Island", "title" : "Markov Random Fields and Their Applications", "type" : "book", "volume" : "1" }, "uris" : [ "http://www.mendeley.com/documents/?uuid=d6c21191-7a00-4458-a4fc-2e267d1173c2" ] } ], "mendeley" : { "formattedCitation" : "[1]", "plainTextFormattedCitation" : "[1]", "previouslyFormattedCitation" : "[1]"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[1]</w:t>
      </w:r>
      <w:r w:rsidR="00C55B92" w:rsidRPr="00E52795">
        <w:rPr>
          <w:rFonts w:ascii="Arial" w:hAnsi="Arial" w:cs="Arial"/>
        </w:rPr>
        <w:fldChar w:fldCharType="end"/>
      </w:r>
      <w:r w:rsidRPr="00E52795">
        <w:rPr>
          <w:rFonts w:ascii="Arial" w:hAnsi="Arial" w:cs="Arial"/>
        </w:rPr>
        <w:t xml:space="preserve">. </w:t>
      </w:r>
    </w:p>
    <w:p w:rsidR="00F65971" w:rsidRPr="00E52795" w:rsidRDefault="00F65971" w:rsidP="00F65971">
      <w:pPr>
        <w:spacing w:line="480" w:lineRule="auto"/>
        <w:rPr>
          <w:rFonts w:ascii="Arial" w:hAnsi="Arial" w:cs="Arial"/>
        </w:rPr>
      </w:pPr>
    </w:p>
    <w:p w:rsidR="00F65971" w:rsidRPr="008823ED" w:rsidRDefault="00F65971" w:rsidP="00F65971">
      <w:pPr>
        <w:spacing w:line="480" w:lineRule="auto"/>
        <w:rPr>
          <w:rFonts w:ascii="Arial" w:hAnsi="Arial" w:cs="Arial"/>
        </w:rPr>
      </w:pPr>
      <w:r w:rsidRPr="00E52795">
        <w:rPr>
          <w:rFonts w:ascii="Arial" w:hAnsi="Arial" w:cs="Arial"/>
          <w:i/>
        </w:rPr>
        <w:t>Measure of co-expression</w:t>
      </w:r>
    </w:p>
    <w:p w:rsidR="00F65971" w:rsidRPr="008823ED" w:rsidRDefault="00F65971" w:rsidP="00F65971">
      <w:pPr>
        <w:spacing w:line="480" w:lineRule="auto"/>
        <w:rPr>
          <w:rFonts w:ascii="Arial" w:hAnsi="Arial" w:cs="Arial"/>
        </w:rPr>
      </w:pPr>
      <w:r w:rsidRPr="00E52795">
        <w:rPr>
          <w:rFonts w:ascii="Arial" w:hAnsi="Arial" w:cs="Arial"/>
        </w:rPr>
        <w:t>To quantify co-expression of transcripts we use the generalized one parameter family of Renyi divergence measures</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"ISSN" : "0097-0433", "author" : [ { "dropping-particle" : "", "family" : "R\u00e9nyi", "given" : "Alfr\u00e9d", "non-dropping-particle" : "", "parse-names" : false, "suffix" : "" } ], "container-title" : "Proceedings of the Fourth Berkeley Symposium on Mathematical Statistics and Probability, Volume 1: Contributions to the Theory of Statistics", "id" : "ITEM-1", "issued" : { "date-parts" : [ [ "1961" ] ] }, "language" : "EN", "publisher" : "The Regents of the University of California", "title" : "On Measures of Entropy and Information", "type" : "paper-conference" }, "uris" : [ "http://www.mendeley.com/documents/?uuid=3c8cfbed-c0f8-4729-9763-5dcbb8c63b76" ] } ], "mendeley" : { "formattedCitation" : "[3]", "plainTextFormattedCitation" : "[3]", "previouslyFormattedCitation" : "[3]"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[3]</w:t>
      </w:r>
      <w:r w:rsidR="00C55B92" w:rsidRPr="00E52795">
        <w:rPr>
          <w:rFonts w:ascii="Arial" w:hAnsi="Arial" w:cs="Arial"/>
        </w:rPr>
        <w:fldChar w:fldCharType="end"/>
      </w:r>
      <w:r w:rsidRPr="00E52795">
        <w:rPr>
          <w:rFonts w:ascii="Arial" w:hAnsi="Arial" w:cs="Arial"/>
        </w:rPr>
        <w:t xml:space="preserve">: </w:t>
      </w:r>
    </w:p>
    <w:p w:rsidR="00F65971" w:rsidRPr="00E52795" w:rsidRDefault="00F65971" w:rsidP="00F65971">
      <w:pPr>
        <w:spacing w:line="480" w:lineRule="auto"/>
        <w:rPr>
          <w:rFonts w:ascii="Arial" w:hAnsi="Arial" w:cs="Arial"/>
        </w:rPr>
      </w:pPr>
    </w:p>
    <w:p w:rsidR="00F65971" w:rsidRPr="008823ED" w:rsidRDefault="00C55B92" w:rsidP="00F65971">
      <w:pPr>
        <w:spacing w:line="480" w:lineRule="auto"/>
        <w:rPr>
          <w:rFonts w:ascii="Arial" w:hAnsi="Arial" w:cs="Arial"/>
        </w:rPr>
      </w:pPr>
      <m:oMath>
        <m:sSub>
          <m:sSubPr>
            <m:ctrlPr>
              <w:rPr>
                <w:rFonts w:ascii="Cambria Math" w:hAnsi="Cambria Math" w:cs="Arial"/>
              </w:rPr>
            </m:ctrlPr>
          </m:sSubPr>
          <m:e>
            <m:r>
              <w:rPr>
                <w:rFonts w:ascii="Cambria Math" w:hAnsi="Cambria Math" w:cs="Arial"/>
              </w:rPr>
              <m:t>D</m:t>
            </m:r>
          </m:e>
          <m:sub>
            <m:r>
              <w:rPr>
                <w:rFonts w:ascii="Cambria Math" w:hAnsi="Cambria Math" w:cs="Arial"/>
              </w:rPr>
              <m:t>α</m:t>
            </m:r>
          </m:sub>
        </m:sSub>
        <m:d>
          <m:dPr>
            <m:ctrlPr>
              <w:rPr>
                <w:rFonts w:ascii="Cambria Math" w:hAnsi="Cambria Math" w:cs="Arial"/>
              </w:rPr>
            </m:ctrlPr>
          </m:dPr>
          <m:e>
            <m:r>
              <w:rPr>
                <w:rFonts w:ascii="Cambria Math" w:hAnsi="Cambria Math" w:cs="Arial"/>
              </w:rPr>
              <m:t>p∥q</m:t>
            </m:r>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α-1</m:t>
            </m:r>
          </m:den>
        </m:f>
        <m:r>
          <w:rPr>
            <w:rFonts w:ascii="Cambria Math" w:hAnsi="Cambria Math" w:cs="Arial"/>
          </w:rPr>
          <m:t>ln</m:t>
        </m:r>
        <m:d>
          <m:dPr>
            <m:ctrlPr>
              <w:rPr>
                <w:rFonts w:ascii="Cambria Math" w:hAnsi="Cambria Math" w:cs="Arial"/>
              </w:rPr>
            </m:ctrlPr>
          </m:dPr>
          <m:e>
            <m:nary>
              <m:naryPr>
                <m:chr m:val="∑"/>
                <m:subHide m:val="on"/>
                <m:supHide m:val="on"/>
                <m:ctrlPr>
                  <w:rPr>
                    <w:rFonts w:ascii="Cambria Math" w:hAnsi="Cambria Math" w:cs="Arial"/>
                  </w:rPr>
                </m:ctrlPr>
              </m:naryPr>
              <m:sub/>
              <m:sup/>
              <m:e>
                <m:sSup>
                  <m:sSupPr>
                    <m:ctrlPr>
                      <w:rPr>
                        <w:rFonts w:ascii="Cambria Math" w:hAnsi="Cambria Math" w:cs="Arial"/>
                      </w:rPr>
                    </m:ctrlPr>
                  </m:sSupPr>
                  <m:e>
                    <m:r>
                      <w:rPr>
                        <w:rFonts w:ascii="Cambria Math" w:hAnsi="Cambria Math" w:cs="Arial"/>
                      </w:rPr>
                      <m:t>p</m:t>
                    </m:r>
                  </m:e>
                  <m:sup>
                    <m:r>
                      <w:rPr>
                        <w:rFonts w:ascii="Cambria Math" w:hAnsi="Cambria Math" w:cs="Arial"/>
                      </w:rPr>
                      <m:t>α</m:t>
                    </m:r>
                  </m:sup>
                </m:sSup>
              </m:e>
            </m:nary>
            <m:sSup>
              <m:sSupPr>
                <m:ctrlPr>
                  <w:rPr>
                    <w:rFonts w:ascii="Cambria Math" w:hAnsi="Cambria Math" w:cs="Arial"/>
                  </w:rPr>
                </m:ctrlPr>
              </m:sSupPr>
              <m:e>
                <m:r>
                  <w:rPr>
                    <w:rFonts w:ascii="Cambria Math" w:hAnsi="Cambria Math" w:cs="Arial"/>
                  </w:rPr>
                  <m:t>q</m:t>
                </m:r>
              </m:e>
              <m:sup>
                <m:r>
                  <w:rPr>
                    <w:rFonts w:ascii="Cambria Math" w:hAnsi="Cambria Math" w:cs="Arial"/>
                  </w:rPr>
                  <m:t>1-α</m:t>
                </m:r>
              </m:sup>
            </m:sSup>
          </m:e>
        </m:d>
      </m:oMath>
      <w:r w:rsidR="00F65971" w:rsidRPr="00E52795">
        <w:rPr>
          <w:rFonts w:ascii="Arial" w:hAnsi="Arial" w:cs="Arial"/>
        </w:rPr>
        <w:t xml:space="preserve"> where </w:t>
      </w:r>
      <m:oMath>
        <m: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k</m:t>
                </m:r>
              </m:sub>
            </m:sSub>
          </m:e>
        </m:d>
        <m:r>
          <w:rPr>
            <w:rFonts w:ascii="Cambria Math" w:hAnsi="Cambria Math" w:cs="Arial"/>
          </w:rPr>
          <m:t>,q=</m:t>
        </m:r>
        <m:d>
          <m:dPr>
            <m:ctrlPr>
              <w:rPr>
                <w:rFonts w:ascii="Cambria Math" w:hAnsi="Cambria Math" w:cs="Arial"/>
              </w:rPr>
            </m:ctrlPr>
          </m:dPr>
          <m:e>
            <m:sSub>
              <m:sSubPr>
                <m:ctrlPr>
                  <w:rPr>
                    <w:rFonts w:ascii="Cambria Math" w:hAnsi="Cambria Math" w:cs="Arial"/>
                  </w:rPr>
                </m:ctrlPr>
              </m:sSubPr>
              <m:e>
                <m:r>
                  <w:rPr>
                    <w:rFonts w:ascii="Cambria Math" w:hAnsi="Cambria Math" w:cs="Arial"/>
                  </w:rPr>
                  <m:t>q</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w:rPr>
                    <w:rFonts w:ascii="Cambria Math" w:hAnsi="Cambria Math" w:cs="Arial"/>
                  </w:rPr>
                  <m:t>q</m:t>
                </m:r>
              </m:e>
              <m:sub>
                <m:r>
                  <w:rPr>
                    <w:rFonts w:ascii="Cambria Math" w:hAnsi="Cambria Math" w:cs="Arial"/>
                  </w:rPr>
                  <m:t>k</m:t>
                </m:r>
              </m:sub>
            </m:sSub>
          </m:e>
        </m:d>
      </m:oMath>
    </w:p>
    <w:p w:rsidR="00F65971" w:rsidRPr="008823ED" w:rsidRDefault="00F65971" w:rsidP="00F65971">
      <w:pPr>
        <w:spacing w:line="480" w:lineRule="auto"/>
        <w:rPr>
          <w:rFonts w:ascii="Arial" w:hAnsi="Arial" w:cs="Arial"/>
        </w:rPr>
      </w:pPr>
      <w:r w:rsidRPr="00E52795">
        <w:rPr>
          <w:rFonts w:ascii="Arial" w:hAnsi="Arial" w:cs="Arial"/>
        </w:rPr>
        <w:t>are probability vectors. For discrete distributions, the Renyi divergence shares a wide variety of properties with the standard Kullback-Leibler divergence</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"10.1109/TIT.2014.2320500", "ISSN" : "0018-9448", "abstract" : "Re\u0301nyi divergence is related to Re\u0301nyi entropy much like Kullback-Leibler divergence is related to Shannon's entropy, and comes up in many settings. It was introduced by Re\u0301nyi as a measure of information that satisfies almost the same axioms as Kullback-Leibler divergence, and depends on a parameter that is called its order. In particular, the Re\u0301nyi divergence of order 1 equals the Kullback-Leibler divergence. We review and extend the most important properties of Re\u0301nyi divergence and Kullback- Leibler divergence, including convexity, continuity, limits of \u03c3-algebras, and the relation of the special order 0 to the Gaussian dichotomy and contiguity. We also show how to generalize the Pythagorean inequality to orders different from 1, and we extend the known equivalence between channel capacity and minimax redundancy to continuous channel inputs (for all orders) and present several other minimax results.", "author" : [ { "dropping-particle" : "", "family" : "Erven", "given" : "Tim", "non-dropping-particle" : "van", "parse-names" : false, "suffix" : "" }, { "dropping-particle" : "", "family" : "Harremoes", "given" : "Peter", "non-dropping-particle" : "", "parse-names" : false, "suffix" : "" } ], "container-title" : "IEEE Transactions on Information Theory", "id" : "ITEM-1", "issue" : "7", "issued" : { "date-parts" : [ [ "2014", "7" ] ] }, "page" : "3797-3820", "title" : "R\u00e9nyi Divergence and Kullback-Leibler Divergence", "title-short" : "Information Theory, IEEE Transactions on", "type" : "article-journal", "volume" : "60" }, "uris" : [ "http://www.mendeley.com/documents/?uuid=a48bfd30-6abc-44a2-b968-32d44d451430" ] } ], "mendeley" : { "formattedCitation" : "[4]", "plainTextFormattedCitation" : "[4]", "previouslyFormattedCitation" : "[4]"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[4]</w:t>
      </w:r>
      <w:r w:rsidR="00C55B92" w:rsidRPr="00E52795">
        <w:rPr>
          <w:rFonts w:ascii="Arial" w:hAnsi="Arial" w:cs="Arial"/>
        </w:rPr>
        <w:fldChar w:fldCharType="end"/>
      </w:r>
      <w:r w:rsidRPr="00E52795">
        <w:rPr>
          <w:rFonts w:ascii="Arial" w:hAnsi="Arial" w:cs="Arial"/>
        </w:rPr>
        <w:t xml:space="preserve"> and the chi-square distance. We quantify the strength of pairwise interactions (RNA </w:t>
      </w:r>
      <w:r w:rsidRPr="00E52795">
        <w:rPr>
          <w:rFonts w:ascii="Arial" w:hAnsi="Arial" w:cs="Arial"/>
        </w:rPr>
        <w:lastRenderedPageBreak/>
        <w:t xml:space="preserve">co-expression) by measuring the ‘distance’ (Renyi divergence) between the (marginalized) bivariate distribution of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r>
          <w:rPr>
            <w:rFonts w:ascii="Cambria Math" w:hAnsi="Cambria Math" w:cs="Arial"/>
          </w:rPr>
          <m:t>,i≠j,i,j=1,…,m</m:t>
        </m:r>
      </m:oMath>
      <w:r w:rsidRPr="00E52795">
        <w:rPr>
          <w:rFonts w:ascii="Arial" w:hAnsi="Arial" w:cs="Arial"/>
        </w:rPr>
        <w:t xml:space="preserve"> and the product of its marginals:</w:t>
      </w:r>
    </w:p>
    <w:p w:rsidR="00F65971" w:rsidRPr="008823ED" w:rsidRDefault="00C55B92" w:rsidP="00F65971">
      <w:pPr>
        <w:spacing w:line="480" w:lineRule="auto"/>
        <w:rPr>
          <w:rFonts w:ascii="Arial" w:hAnsi="Arial" w:cs="Arial"/>
        </w:rPr>
      </w:pPr>
      <m:oMathPara>
        <m:oMath>
          <m:sSub>
            <m:sSubPr>
              <m:ctrlPr>
                <w:rPr>
                  <w:rFonts w:ascii="Cambria Math" w:hAnsi="Cambria Math" w:cs="Arial"/>
                </w:rPr>
              </m:ctrlPr>
            </m:sSubPr>
            <m:e>
              <m:r>
                <w:rPr>
                  <w:rFonts w:ascii="Cambria Math" w:hAnsi="Cambria Math" w:cs="Arial"/>
                </w:rPr>
                <m:t>D</m:t>
              </m:r>
            </m:e>
            <m:sub>
              <m:r>
                <w:rPr>
                  <w:rFonts w:ascii="Cambria Math" w:hAnsi="Cambria Math" w:cs="Arial"/>
                </w:rPr>
                <m:t>α</m:t>
              </m:r>
            </m:sub>
          </m:sSub>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α</m:t>
              </m:r>
            </m:sub>
          </m:sSub>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sub>
              </m:sSub>
              <m:r>
                <w:rPr>
                  <w:rFonts w:ascii="Cambria Math" w:hAnsi="Cambria Math" w:cs="Arial"/>
                </w:rPr>
                <m:t>∥</m:t>
              </m:r>
              <m:sSub>
                <m:sSubPr>
                  <m:ctrlPr>
                    <w:rPr>
                      <w:rFonts w:ascii="Cambria Math" w:hAnsi="Cambria Math" w:cs="Arial"/>
                    </w:rPr>
                  </m:ctrlPr>
                </m:sSubPr>
                <m:e>
                  <m:r>
                    <w:rPr>
                      <w:rFonts w:ascii="Cambria Math" w:hAnsi="Cambria Math" w:cs="Arial"/>
                    </w:rPr>
                    <m:t>P</m:t>
                  </m:r>
                </m:e>
                <m:sub>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sub>
              </m:sSub>
              <m:sSub>
                <m:sSubPr>
                  <m:ctrlPr>
                    <w:rPr>
                      <w:rFonts w:ascii="Cambria Math" w:hAnsi="Cambria Math" w:cs="Arial"/>
                    </w:rPr>
                  </m:ctrlPr>
                </m:sSubPr>
                <m:e>
                  <m:r>
                    <w:rPr>
                      <w:rFonts w:ascii="Cambria Math" w:hAnsi="Cambria Math" w:cs="Arial"/>
                    </w:rPr>
                    <m:t>P</m:t>
                  </m:r>
                </m:e>
                <m:sub>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sub>
              </m:sSub>
            </m:e>
          </m:d>
          <m: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α-1</m:t>
              </m:r>
            </m:den>
          </m:f>
          <m:r>
            <w:rPr>
              <w:rFonts w:ascii="Cambria Math" w:hAnsi="Cambria Math" w:cs="Arial"/>
            </w:rPr>
            <m:t>ln</m:t>
          </m:r>
          <m:d>
            <m:dPr>
              <m:ctrlPr>
                <w:rPr>
                  <w:rFonts w:ascii="Cambria Math" w:hAnsi="Cambria Math" w:cs="Arial"/>
                </w:rPr>
              </m:ctrlPr>
            </m:dPr>
            <m:e>
              <m:nary>
                <m:naryPr>
                  <m:chr m:val="∑"/>
                  <m:subHide m:val="on"/>
                  <m:supHide m:val="on"/>
                  <m:ctrlPr>
                    <w:rPr>
                      <w:rFonts w:ascii="Cambria Math" w:hAnsi="Cambria Math" w:cs="Arial"/>
                    </w:rPr>
                  </m:ctrlPr>
                </m:naryPr>
                <m:sub/>
                <m:sup/>
                <m:e>
                  <m:sSup>
                    <m:sSupPr>
                      <m:ctrlPr>
                        <w:rPr>
                          <w:rFonts w:ascii="Cambria Math" w:hAnsi="Cambria Math" w:cs="Arial"/>
                        </w:rPr>
                      </m:ctrlPr>
                    </m:sSupPr>
                    <m:e>
                      <m: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e>
                    <m:sup>
                      <m:r>
                        <w:rPr>
                          <w:rFonts w:ascii="Cambria Math" w:hAnsi="Cambria Math" w:cs="Arial"/>
                        </w:rPr>
                        <m:t>α</m:t>
                      </m:r>
                    </m:sup>
                  </m:sSup>
                </m:e>
              </m:nary>
              <m:sSup>
                <m:sSupPr>
                  <m:ctrlPr>
                    <w:rPr>
                      <w:rFonts w:ascii="Cambria Math" w:hAnsi="Cambria Math" w:cs="Arial"/>
                    </w:rPr>
                  </m:ctrlPr>
                </m:sSupPr>
                <m:e>
                  <m:d>
                    <m:dPr>
                      <m:ctrlPr>
                        <w:rPr>
                          <w:rFonts w:ascii="Cambria Math" w:hAnsi="Cambria Math" w:cs="Arial"/>
                        </w:rPr>
                      </m:ctrlPr>
                    </m:dPr>
                    <m:e>
                      <m: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e>
                      </m:d>
                      <m:r>
                        <w:rPr>
                          <w:rFonts w:ascii="Cambria Math" w:hAnsi="Cambria Math" w:cs="Arial"/>
                        </w:rPr>
                        <m:t>P</m:t>
                      </m:r>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e>
                  </m:d>
                </m:e>
                <m:sup>
                  <m:r>
                    <w:rPr>
                      <w:rFonts w:ascii="Cambria Math" w:hAnsi="Cambria Math" w:cs="Arial"/>
                    </w:rPr>
                    <m:t>1-α</m:t>
                  </m:r>
                </m:sup>
              </m:sSup>
            </m:e>
          </m:d>
        </m:oMath>
      </m:oMathPara>
    </w:p>
    <w:p w:rsidR="00F65971" w:rsidRPr="008823ED" w:rsidRDefault="00F65971" w:rsidP="00F65971">
      <w:pPr>
        <w:spacing w:line="480" w:lineRule="auto"/>
        <w:rPr>
          <w:rFonts w:ascii="Arial" w:hAnsi="Arial" w:cs="Arial"/>
        </w:rPr>
      </w:pPr>
      <w:r w:rsidRPr="00E52795">
        <w:rPr>
          <w:rFonts w:ascii="Arial" w:hAnsi="Arial" w:cs="Arial"/>
        </w:rPr>
        <w:t xml:space="preserve">Following the standard convention for </w:t>
      </w:r>
      <m:oMath>
        <m:r>
          <w:rPr>
            <w:rFonts w:ascii="Cambria Math" w:hAnsi="Cambria Math" w:cs="Arial"/>
          </w:rPr>
          <m:t>α=1</m:t>
        </m:r>
      </m:oMath>
      <w:r w:rsidRPr="00E52795">
        <w:rPr>
          <w:rFonts w:ascii="Arial" w:hAnsi="Arial" w:cs="Arial"/>
        </w:rPr>
        <w:t>, where the Kullback-Leibler divergence between the bivariate distribution and the product of its marginals is called ‘Mutual Information’, we call the above defined functionals ‘Renyi mutual information’.  It is i</w:t>
      </w:r>
      <w:r w:rsidRPr="008823ED">
        <w:rPr>
          <w:rFonts w:ascii="Arial" w:hAnsi="Arial" w:cs="Arial"/>
        </w:rPr>
        <w:t>mportant to note that the Renyi mutual information equals zero if and only if the bivariate distribution equals the product of its marginals (i.e. the expression levels of the two RNAs are independent).</w:t>
      </w:r>
    </w:p>
    <w:p w:rsidR="00F65971" w:rsidRPr="00E52795" w:rsidRDefault="00F65971" w:rsidP="00F65971">
      <w:pPr>
        <w:spacing w:line="480" w:lineRule="auto"/>
        <w:rPr>
          <w:rFonts w:ascii="Arial" w:hAnsi="Arial" w:cs="Arial"/>
          <w:i/>
        </w:rPr>
      </w:pPr>
    </w:p>
    <w:p w:rsidR="00F65971" w:rsidRPr="008823ED" w:rsidRDefault="00F65971" w:rsidP="00F65971">
      <w:pPr>
        <w:spacing w:line="480" w:lineRule="auto"/>
        <w:rPr>
          <w:rFonts w:ascii="Arial" w:hAnsi="Arial" w:cs="Arial"/>
        </w:rPr>
      </w:pPr>
      <w:r w:rsidRPr="00E52795">
        <w:rPr>
          <w:rFonts w:ascii="Arial" w:hAnsi="Arial" w:cs="Arial"/>
        </w:rPr>
        <w:t xml:space="preserve">The parameter </w:t>
      </w:r>
      <m:oMath>
        <m:r>
          <w:rPr>
            <w:rFonts w:ascii="Cambria Math" w:hAnsi="Cambria Math" w:cs="Arial"/>
          </w:rPr>
          <m:t>α</m:t>
        </m:r>
      </m:oMath>
      <w:r w:rsidRPr="00E52795">
        <w:rPr>
          <w:rFonts w:ascii="Arial" w:hAnsi="Arial" w:cs="Arial"/>
        </w:rPr>
        <w:t xml:space="preserve"> in the Renyi mutual information allows for up or down weighting of negative or positive dependencies in the considered two-dimensional contingency table corresponding to the empirical bivariate distribution </w:t>
      </w:r>
      <m:oMath>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rPr>
                </m:ctrlPr>
              </m:sSubPr>
              <m:e>
                <m:r>
                  <w:rPr>
                    <w:rFonts w:ascii="Cambria Math" w:hAnsi="Cambria Math" w:cs="Arial"/>
                  </w:rPr>
                  <m:t>X</m:t>
                </m:r>
              </m:e>
              <m:sub>
                <m:r>
                  <w:rPr>
                    <w:rFonts w:ascii="Cambria Math" w:hAnsi="Cambria Math" w:cs="Arial"/>
                  </w:rPr>
                  <m:t>j</m:t>
                </m:r>
              </m:sub>
            </m:sSub>
          </m:e>
        </m:d>
      </m:oMath>
      <w:r w:rsidR="00C55B92" w:rsidRPr="00E52795">
        <w:rPr>
          <w:rFonts w:ascii="Arial" w:hAnsi="Arial" w:cs="Arial"/>
        </w:rPr>
        <w:fldChar w:fldCharType="begin" w:fldLock="1"/>
      </w:r>
      <w:r w:rsidR="00265027">
        <w:rPr>
          <w:rFonts w:ascii="Arial" w:hAnsi="Arial" w:cs="Arial"/>
        </w:rPr>
        <w:instrText>ADDIN CSL_CITATION { "citationItems" : [ { "id" : "ITEM-1", "itemData" : { "ISBN" : "0-940600-23-4", "author" : [ { "dropping-particle" : "", "family" : "Kotz", "given" : "Samuel", "non-dropping-particle" : "", "parse-names" : false, "suffix" : "" }, { "dropping-particle" : "", "family" : "Wang", "given" : "Qiwen", "non-dropping-particle" : "", "parse-names" : false, "suffix" : "" }, { "dropping-particle" : "", "family" : "Hung", "given" : "Ken", "non-dropping-particle" : "", "parse-names" : false, "suffix" : "" } ], "id" : "ITEM-1", "issued" : { "date-parts" : [ [ "1990" ] ] }, "language" : "EN", "page" : "333-349", "publisher" : "Institute of Mathematical Statistics", "title" : "Interrelations among various definitions of bivariate positive dependence", "type" : "article-journal" }, "uris" : [ "http://www.mendeley.com/documents/?uuid=a16eedf4-e2c0-4add-8206-94c7ef63edd3" ] }, { "id" : "ITEM-2", "itemData" : { "ISSN" : "2168-8990", "author" : [ { "dropping-particle" : "", "family" : "Lehmann", "given" : "E. L.", "non-dropping-particle" : "", "parse-names" : false, "suffix" : "" } ], "container-title" : "The Annals of Mathematical Statistics", "id" : "ITEM-2", "issue" : "5", "issued" : { "date-parts" : [ [ "1966", "10", "1" ] ] }, "language" : "EN", "page" : "1137-1153", "publisher" : "Institute of Mathematical Statistics", "title" : "Some Concepts of Dependence", "type" : "article-journal", "volume" : "37" }, "uris" : [ "http://www.mendeley.com/documents/?uuid=7c46ee11-07b6-4ac5-b5b9-dd42155d9cfb" ] }, { "id" : "ITEM-3", "itemData" : { "DOI" : "10.1007/s00285-012-0589-7", "ISSN" : "1432-1416", "PMID" : "23007599", "abstract" : "The paper presents some novel approaches to the empirical analysis of diversity and similarity (overlap) in biological or ecological systems. The analysis is motivated by the molecular studies of highly diverse mammalian T-cell receptor (TCR) populations, and is related to the classical statistical problem of analyzing two-way contingency tables with missing cells and low cell counts. The new measures of diversity and overlap are proposed, based on the information-theoretic as well as geometric considerations, with the capacity to naturally up-weight or down-weight the rare and abundant population species. The consistent estimates are derived by applying the Good-Turing sample-coverage correction. In particular, novel consistent estimates of the Shannon entropy function and the Morisita-Horn index are provided. Data from TCR populations in mice are used to illustrate the empirical performance of the proposed methods vis a vis the existing alternatives.", "author" : [ { "dropping-particle" : "", "family" : "Rempala", "given" : "Grzegorz A", "non-dropping-particle" : "", "parse-names" : false, "suffix" : "" }, { "dropping-particle" : "", "family" : "Seweryn", "given" : "Michal", "non-dropping-particle" : "", "parse-names" : false, "suffix" : "" } ], "container-title" : "Journal of mathematical biology", "id" : "ITEM-3", "issue" : "6-7", "issued" : { "date-parts" : [ [ "2013", "12" ] ] }, "page" : "1339-68", "title" : "Methods for diversity and overlap analysis in T-cell receptor populations.", "type" : "article-journal", "volume" : "67" }, "uris" : [ "http://www.mendeley.com/documents/?uuid=1c48d90b-535b-40a0-bd49-49e207429968" ] } ], "mendeley" : { "formattedCitation" : "[5\u20137]", "plainTextFormattedCitation" : "[5\u20137]", "previouslyFormattedCitation" : "[5\u20137]"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[5–7]</w:t>
      </w:r>
      <w:r w:rsidR="00C55B92" w:rsidRPr="00E52795">
        <w:rPr>
          <w:rFonts w:ascii="Arial" w:hAnsi="Arial" w:cs="Arial"/>
        </w:rPr>
        <w:fldChar w:fldCharType="end"/>
      </w:r>
      <w:r w:rsidRPr="00E52795">
        <w:rPr>
          <w:rFonts w:ascii="Arial" w:hAnsi="Arial" w:cs="Arial"/>
        </w:rPr>
        <w:t xml:space="preserve">.  Here, we aimed to investigate context-dependent co-expression patterns (the context being varying genetic and environmental backgrounds). Therefore, in addition to the resampling procedure (see </w:t>
      </w:r>
      <w:r w:rsidR="00265027">
        <w:rPr>
          <w:rFonts w:ascii="Arial" w:hAnsi="Arial" w:cs="Arial"/>
        </w:rPr>
        <w:t>Additional file 6</w:t>
      </w:r>
      <w:r w:rsidRPr="00E52795">
        <w:rPr>
          <w:rFonts w:ascii="Arial" w:hAnsi="Arial" w:cs="Arial"/>
        </w:rPr>
        <w:t xml:space="preserve">), we investigated the impact of rare </w:t>
      </w:r>
      <w:r w:rsidRPr="00E52795">
        <w:rPr>
          <w:rFonts w:ascii="Arial" w:hAnsi="Arial" w:cs="Arial"/>
          <w:i/>
        </w:rPr>
        <w:t>versu</w:t>
      </w:r>
      <w:r w:rsidRPr="00E52795">
        <w:rPr>
          <w:rFonts w:ascii="Arial" w:hAnsi="Arial" w:cs="Arial"/>
        </w:rPr>
        <w:t xml:space="preserve">s frequent bins in the contingency table on co-expression by changing the free parameter </w:t>
      </w:r>
      <m:oMath>
        <m:r>
          <w:rPr>
            <w:rFonts w:ascii="Cambria Math" w:hAnsi="Cambria Math" w:cs="Arial"/>
          </w:rPr>
          <m:t>α</m:t>
        </m:r>
      </m:oMath>
      <w:r w:rsidRPr="00E52795">
        <w:rPr>
          <w:rFonts w:ascii="Arial" w:hAnsi="Arial" w:cs="Arial"/>
        </w:rPr>
        <w:t xml:space="preserve">. We selected several different values of this parameter (ranging form 0.1 to 3) and observed that the degree distribution of the graph remained unchained whereas we observed a small stability of individual </w:t>
      </w:r>
      <w:r w:rsidRPr="00E52795">
        <w:rPr>
          <w:rFonts w:ascii="Arial" w:hAnsi="Arial" w:cs="Arial"/>
        </w:rPr>
        <w:lastRenderedPageBreak/>
        <w:t>co-expressed pairs. It remains to be determined</w:t>
      </w:r>
      <w:r w:rsidRPr="001E388C">
        <w:rPr>
          <w:rFonts w:ascii="Arial" w:hAnsi="Arial" w:cs="Arial"/>
        </w:rPr>
        <w:t xml:space="preserve"> whether for specific, small scale systems of RNAs a higher (or lower) stability of interactions may be achieved </w:t>
      </w:r>
      <w:r w:rsidRPr="008823ED">
        <w:rPr>
          <w:rFonts w:ascii="Arial" w:hAnsi="Arial" w:cs="Arial"/>
          <w:i/>
        </w:rPr>
        <w:t>via</w:t>
      </w:r>
      <w:r w:rsidRPr="008823ED">
        <w:rPr>
          <w:rFonts w:ascii="Arial" w:hAnsi="Arial" w:cs="Arial"/>
        </w:rPr>
        <w:t xml:space="preserve"> the choice of the </w:t>
      </w:r>
      <m:oMath>
        <m:r>
          <w:rPr>
            <w:rFonts w:ascii="Cambria Math" w:hAnsi="Cambria Math" w:cs="Arial"/>
          </w:rPr>
          <m:t>α</m:t>
        </m:r>
      </m:oMath>
      <w:r w:rsidRPr="008823ED">
        <w:rPr>
          <w:rFonts w:ascii="Arial" w:hAnsi="Arial" w:cs="Arial"/>
        </w:rPr>
        <w:t xml:space="preserve"> parameter.  Nevertheless, we find that the impact of frequent </w:t>
      </w:r>
      <w:r w:rsidRPr="008823ED">
        <w:rPr>
          <w:rFonts w:ascii="Arial" w:hAnsi="Arial" w:cs="Arial"/>
          <w:i/>
        </w:rPr>
        <w:t>versus</w:t>
      </w:r>
      <w:r w:rsidRPr="008823ED">
        <w:rPr>
          <w:rFonts w:ascii="Arial" w:hAnsi="Arial" w:cs="Arial"/>
        </w:rPr>
        <w:t xml:space="preserve"> rare co-expressions may be changed by up- or down-weighting positive and negative dependencies using the free parameter</w:t>
      </w:r>
      <w:r w:rsidR="00C55B92" w:rsidRPr="00E52795">
        <w:rPr>
          <w:rFonts w:ascii="Arial" w:hAnsi="Arial" w:cs="Arial"/>
        </w:rPr>
        <w:fldChar w:fldCharType="begin" w:fldLock="1"/>
      </w:r>
      <w:r w:rsidR="00265027">
        <w:rPr>
          <w:rFonts w:ascii="Arial" w:hAnsi="Arial" w:cs="Arial"/>
        </w:rPr>
        <w:instrText>ADDIN CSL_CITATION { "citationItems" : [ { "id" : "ITEM-1", "itemData" : { "ISBN" : "0-940600-23-4", "author" : [ { "dropping-particle" : "", "family" : "Douglas", "given" : "Ruth", "non-dropping-particle" : "", "parse-names" : false, "suffix" : "" }, { "dropping-particle" : "", "family" : "Fienberg", "given" : "Stephen E.", "non-dropping-particle" : "", "parse-names" : false, "suffix" : "" }, { "dropping-particle" : "", "family" : "Lee", "given" : "Mei Ling T.", "non-dropping-particle" : "", "parse-names" : false, "suffix" : "" }, { "dropping-particle" : "", "family" : "Sampson", "given" : "Allan R.", "non-dropping-particle" : "", "parse-names" : false, "suffix" : "" }, { "dropping-particle" : "", "family" : "Whitaker", "given" : "Lyn R.", "non-dropping-particle" : "", "parse-names" : false, "suffix" : "" } ], "id" : "ITEM-1", "issued" : { "date-parts" : [ [ "1990" ] ] }, "language" : "EN", "page" : "189-202", "publisher" : "Institute of Mathematical Statistics", "title" : "Positive dependence concepts for ordinal contingency tables", "type" : "article-journal" }, "uris" : [ "http://www.mendeley.com/documents/?uuid=e48baaae-2bbb-4334-853c-c8990de7ebf8" ] } ], "mendeley" : { "formattedCitation" : "[8]", "plainTextFormattedCitation" : "[8]", "previouslyFormattedCitation" : "[8]"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[8]</w:t>
      </w:r>
      <w:r w:rsidR="00C55B92" w:rsidRPr="00E52795">
        <w:rPr>
          <w:rFonts w:ascii="Arial" w:hAnsi="Arial" w:cs="Arial"/>
        </w:rPr>
        <w:fldChar w:fldCharType="end"/>
      </w:r>
      <w:r w:rsidRPr="00E52795">
        <w:rPr>
          <w:rFonts w:ascii="Arial" w:hAnsi="Arial" w:cs="Arial"/>
        </w:rPr>
        <w:t>.</w:t>
      </w:r>
    </w:p>
    <w:p w:rsidR="00F65971" w:rsidRPr="00E52795" w:rsidRDefault="00F65971" w:rsidP="00F65971">
      <w:pPr>
        <w:spacing w:line="480" w:lineRule="auto"/>
        <w:rPr>
          <w:rFonts w:ascii="Arial" w:hAnsi="Arial" w:cs="Arial"/>
        </w:rPr>
      </w:pPr>
    </w:p>
    <w:p w:rsidR="00F65971" w:rsidRPr="008823ED" w:rsidRDefault="00F65971" w:rsidP="00F65971">
      <w:pPr>
        <w:spacing w:line="480" w:lineRule="auto"/>
        <w:rPr>
          <w:rFonts w:ascii="Arial" w:hAnsi="Arial" w:cs="Arial"/>
        </w:rPr>
      </w:pPr>
      <w:r w:rsidRPr="00E52795">
        <w:rPr>
          <w:rFonts w:ascii="Arial" w:hAnsi="Arial" w:cs="Arial"/>
          <w:i/>
        </w:rPr>
        <w:t>Data Processing Inequality</w:t>
      </w:r>
    </w:p>
    <w:p w:rsidR="00F65971" w:rsidRDefault="00F65971" w:rsidP="00F65971">
      <w:pPr>
        <w:spacing w:line="480" w:lineRule="auto"/>
        <w:rPr>
          <w:rFonts w:ascii="Arial" w:hAnsi="Arial" w:cs="Arial"/>
        </w:rPr>
      </w:pPr>
      <w:r w:rsidRPr="00E52795">
        <w:rPr>
          <w:rFonts w:ascii="Arial" w:hAnsi="Arial" w:cs="Arial"/>
        </w:rPr>
        <w:t xml:space="preserve">Note that we assume that the probability mass function may be written in the Gibbs form with only first and second order interactions. In such a setting, Margolin et. al. used the standard Mutual Information as measure of co-expression (estimated via </w:t>
      </w:r>
      <w:r w:rsidRPr="008823ED">
        <w:rPr>
          <w:rFonts w:ascii="Arial" w:hAnsi="Arial" w:cs="Arial"/>
        </w:rPr>
        <w:t>the Gaussian kernel method) and employed the Data Processing Inequality for pruning indirect interactions as part of the ARACNE algorithm for building co-expression networks</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"10.1186/1471-2105-7-S1-S7", "ISSN" : "1471-2105", "PMID" : "16723010", "abstract" : "BACKGROUND: Elucidating gene regulatory networks is crucial for understanding normal cell physiology and complex pathologic phenotypes. Existing computational methods for the genome-wide \"reverse engineering\" of such networks have been successful only for lower eukaryotes with simple genomes. Here we present ARACNE, a novel algorithm, using microarray expression profiles, specifically designed to scale up to the complexity of regulatory networks in mammalian cells, yet general enough to address a wider range of network deconvolution problems. This method uses an information theoretic approach to eliminate the majority of indirect interactions inferred by co-expression methods.\n\nRESULTS: We prove that ARACNE reconstructs the network exactly (asymptotically) if the effect of loops in the network topology is negligible, and we show that the algorithm works well in practice, even in the presence of numerous loops and complex topologies. We assess ARACNE's ability to reconstruct transcriptional regulatory networks using both a realistic synthetic dataset and a microarray dataset from human B cells. On synthetic datasets ARACNE achieves very low error rates and outperforms established methods, such as Relevance Networks and Bayesian Networks. Application to the deconvolution of genetic networks in human B cells demonstrates ARACNE's ability to infer validated transcriptional targets of the cMYC proto-oncogene. We also study the effects of misestimation of mutual information on network reconstruction, and show that algorithms based on mutual information ranking are more resilient to estimation errors.\n\nCONCLUSION: ARACNE shows promise in identifying direct transcriptional interactions in mammalian cellular networks, a problem that has challenged existing reverse engineering algorithms. This approach should enhance our ability to use microarray data to elucidate functional mechanisms that underlie cellular processes and to identify molecular targets of pharmacological compounds in mammalian cellular networks.", "author" : [ { "dropping-particle" : "", "family" : "Margolin", "given" : "Adam A", "non-dropping-particle" : "", "parse-names" : false, "suffix" : "" }, { "dropping-particle" : "", "family" : "Nemenman", "given" : "Ilya", "non-dropping-particle" : "", "parse-names" : false, "suffix" : "" }, { "dropping-particle" : "", "family" : "Basso", "given" : "Katia", "non-dropping-particle" : "", "parse-names" : false, "suffix" : "" }, { "dropping-particle" : "", "family" : "Wiggins", "given" : "Chris", "non-dropping-particle" : "", "parse-names" : false, "suffix" : "" }, { "dropping-particle" : "", "family" : "Stolovitzky", "given" : "Gustavo", "non-dropping-particle" : "", "parse-names" : false, "suffix" : "" }, { "dropping-particle" : "", "family" : "Dalla Favera", "given" : "Riccardo", "non-dropping-particle" : "", "parse-names" : false, "suffix" : "" }, { "dropping-particle" : "", "family" : "Califano", "given" : "Andrea", "non-dropping-particle" : "", "parse-names" : false, "suffix" : "" } ], "container-title" : "BMC bioinformatics", "id" : "ITEM-1", "issue" : "Suppl 1", "issued" : { "date-parts" : [ [ "2006", "1" ] ] }, "page" : "S7", "title" : "ARACNE: an algorithm for the reconstruction of gene regulatory networks in a mammalian cellular context.", "type" : "article-journal", "volume" : "7 Suppl 1" }, "uris" : [ "http://www.mendeley.com/documents/?uuid=74dcece9-1114-4da2-bb2f-1318f4b64aa8" ] } ], "mendeley" : { "formattedCitation" : "[2]", "plainTextFormattedCitation" : "[2]", "previouslyFormattedCitation" : "[2]"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[2]</w:t>
      </w:r>
      <w:r w:rsidR="00C55B92" w:rsidRPr="00E52795">
        <w:rPr>
          <w:rFonts w:ascii="Arial" w:hAnsi="Arial" w:cs="Arial"/>
        </w:rPr>
        <w:fldChar w:fldCharType="end"/>
      </w:r>
      <w:r w:rsidRPr="00E52795">
        <w:rPr>
          <w:rFonts w:ascii="Arial" w:hAnsi="Arial" w:cs="Arial"/>
        </w:rPr>
        <w:t>. We note that the Data Processing Inequality holds for the generalized Renyi divergence measures as well (see also Theorem 1 and Theorem 9 in van Erven &amp; Harremoes, 2014)</w:t>
      </w:r>
      <w:r w:rsidR="00265027">
        <w:rPr>
          <w:rFonts w:ascii="Arial" w:hAnsi="Arial" w:cs="Arial"/>
        </w:rPr>
        <w:t xml:space="preserve"> </w:t>
      </w:r>
      <w:r w:rsidR="00C55B92" w:rsidRPr="00E52795">
        <w:rPr>
          <w:rFonts w:ascii="Arial" w:hAnsi="Arial" w:cs="Arial"/>
        </w:rPr>
        <w:fldChar w:fldCharType="begin" w:fldLock="1"/>
      </w:r>
      <w:r w:rsidR="00265027">
        <w:rPr>
          <w:rFonts w:ascii="Arial" w:hAnsi="Arial" w:cs="Arial"/>
        </w:rPr>
        <w:instrText>ADDIN CSL_CITATION { "citationItems" : [ { "id" : "ITEM-1", "itemData" : { "DOI" : "10.1109/TIT.2014.2320500", "ISSN" : "0018-9448", "abstract" : "R\\'enyi divergence is related to R\\'enyi entropy much like Kullback-Leibler divergence is related to Shannon's entropy, and comes up in many settings. It was introduced by R\\'enyi as a measure of information that satisfies almost the same axioms as Kullback-Leibler divergence, and depends on a parameter that is called its order. In particular, the R\\'enyi divergence of order 1 equals the Kullback-Leibler divergence.   We review and extend the most important properties of R\\'enyi divergence and Kullback-Leibler divergence, including convexity, continuity, limits of $\\sigma$-algebras and the relation of the special order 0 to the Gaussian dichotomy and contiguity. We also show how to generalize the Pythagorean inequality to orders different from 1, and we extend the known equivalence between channel capacity and minimax redundancy to continuous channel inputs (for all orders) and present several other minimax results.", "author" : [ { "dropping-particle" : "", "family" : "Erven", "given" : "Tim", "non-dropping-particle" : "van", "parse-names" : false, "suffix" : "" }, { "dropping-particle" : "", "family" : "Harremoes", "given" : "Peter", "non-dropping-particle" : "", "parse-names" : false, "suffix" : "" } ], "container-title" : "IEEE Transactions on Information Theory", "genre" : "Information Theory; Information Theory; Statistics; Machine Learning; Theory", "id" : "ITEM-1", "issue" : "7", "issued" : { "date-parts" : [ [ "2014", "7", "12" ] ] }, "page" : "3797-3820", "title" : "R\u00e9nyi Divergence and Kullback-Leibler Divergence", "type" : "article-journal", "volume" : "60" }, "uris" : [ "http://www.mendeley.com/documents/?uuid=13678ddb-9f98-481a-8072-14245c91e35d" ] } ], "mendeley" : { "formattedCitation" : "[9]", "plainTextFormattedCitation" : "[9]", "previouslyFormattedCitation" : "[9]" }, "properties" : { "noteIndex" : 0 }, "schema" : "https://github.com/citation-style-language/schema/raw/master/csl-citation.json" }</w:instrText>
      </w:r>
      <w:r w:rsidR="00C55B92" w:rsidRPr="00E52795">
        <w:rPr>
          <w:rFonts w:ascii="Arial" w:hAnsi="Arial" w:cs="Arial"/>
        </w:rPr>
        <w:fldChar w:fldCharType="separate"/>
      </w:r>
      <w:r w:rsidR="00265027" w:rsidRPr="00265027">
        <w:rPr>
          <w:rFonts w:ascii="Arial" w:hAnsi="Arial" w:cs="Arial"/>
          <w:noProof/>
        </w:rPr>
        <w:t>[9]</w:t>
      </w:r>
      <w:r w:rsidR="00C55B92" w:rsidRPr="00E52795">
        <w:rPr>
          <w:rFonts w:ascii="Arial" w:hAnsi="Arial" w:cs="Arial"/>
        </w:rPr>
        <w:fldChar w:fldCharType="end"/>
      </w:r>
      <w:r w:rsidRPr="00E52795">
        <w:rPr>
          <w:rFonts w:ascii="Arial" w:hAnsi="Arial" w:cs="Arial"/>
        </w:rPr>
        <w:t>. Accordingly, we also employ the Data Processing Inequality to prune ‘indirect’ edges from the full graph. Therefore, at each repetition of the resampling procedure our algorithm considers all triangles in the full graph and removes the ‘weakest’ edge (i.e. the co-expression with the lowest value) o</w:t>
      </w:r>
      <w:r w:rsidRPr="008823ED">
        <w:rPr>
          <w:rFonts w:ascii="Arial" w:hAnsi="Arial" w:cs="Arial"/>
        </w:rPr>
        <w:t>f each triangle, since, in the simplest Markov-type model, the information represented by the weakest edge in a triangle is explained by the two stronger ones (i.e. the weakest interaction is indirect).</w:t>
      </w:r>
    </w:p>
    <w:p w:rsidR="00265027" w:rsidRDefault="00265027" w:rsidP="00F65971">
      <w:pPr>
        <w:spacing w:line="480" w:lineRule="auto"/>
        <w:rPr>
          <w:rFonts w:ascii="Arial" w:hAnsi="Arial" w:cs="Arial"/>
        </w:rPr>
      </w:pPr>
    </w:p>
    <w:p w:rsidR="00265027" w:rsidRPr="00265027" w:rsidRDefault="00C55B92">
      <w:pPr>
        <w:widowControl w:val="0"/>
        <w:autoSpaceDE w:val="0"/>
        <w:autoSpaceDN w:val="0"/>
        <w:adjustRightInd w:val="0"/>
        <w:spacing w:after="140" w:line="288" w:lineRule="auto"/>
        <w:rPr>
          <w:rFonts w:ascii="Arial" w:hAnsi="Arial" w:cs="Arial"/>
          <w:noProof/>
        </w:rPr>
      </w:pPr>
      <w:r>
        <w:rPr>
          <w:rFonts w:ascii="Arial" w:hAnsi="Arial" w:cs="Arial"/>
        </w:rPr>
        <w:fldChar w:fldCharType="begin" w:fldLock="1"/>
      </w:r>
      <w:r w:rsidR="00265027">
        <w:rPr>
          <w:rFonts w:ascii="Arial" w:hAnsi="Arial" w:cs="Arial"/>
        </w:rPr>
        <w:instrText xml:space="preserve">ADDIN Mendeley Bibliography CSL_BIBLIOGRAPHY </w:instrText>
      </w:r>
      <w:r>
        <w:rPr>
          <w:rFonts w:ascii="Arial" w:hAnsi="Arial" w:cs="Arial"/>
        </w:rPr>
        <w:fldChar w:fldCharType="separate"/>
      </w:r>
      <w:r w:rsidR="00265027" w:rsidRPr="00265027">
        <w:rPr>
          <w:rFonts w:ascii="Arial" w:hAnsi="Arial" w:cs="Arial"/>
          <w:noProof/>
        </w:rPr>
        <w:t xml:space="preserve">1. Kindermann R, Snell JL: </w:t>
      </w:r>
      <w:r w:rsidR="00265027" w:rsidRPr="00265027">
        <w:rPr>
          <w:rFonts w:ascii="Arial" w:hAnsi="Arial" w:cs="Arial"/>
          <w:i/>
          <w:iCs/>
          <w:noProof/>
        </w:rPr>
        <w:t>Markov Random Fields and Their Applications</w:t>
      </w:r>
      <w:r w:rsidR="00265027" w:rsidRPr="00265027">
        <w:rPr>
          <w:rFonts w:ascii="Arial" w:hAnsi="Arial" w:cs="Arial"/>
          <w:noProof/>
        </w:rPr>
        <w:t xml:space="preserve">. </w:t>
      </w:r>
      <w:r w:rsidR="00265027" w:rsidRPr="00265027">
        <w:rPr>
          <w:rFonts w:ascii="Arial" w:hAnsi="Arial" w:cs="Arial"/>
          <w:i/>
          <w:iCs/>
          <w:noProof/>
        </w:rPr>
        <w:t>Volume 1</w:t>
      </w:r>
      <w:r w:rsidR="00265027" w:rsidRPr="00265027">
        <w:rPr>
          <w:rFonts w:ascii="Arial" w:hAnsi="Arial" w:cs="Arial"/>
          <w:noProof/>
        </w:rPr>
        <w:t>. Providence, Rhode Island: American Mathematical Society; 1980. [</w:t>
      </w:r>
      <w:r w:rsidR="00265027" w:rsidRPr="00265027">
        <w:rPr>
          <w:rFonts w:ascii="Arial" w:hAnsi="Arial" w:cs="Arial"/>
          <w:i/>
          <w:iCs/>
          <w:noProof/>
        </w:rPr>
        <w:t>Contemporary Mathematics</w:t>
      </w:r>
      <w:r w:rsidR="00265027" w:rsidRPr="00265027">
        <w:rPr>
          <w:rFonts w:ascii="Arial" w:hAnsi="Arial" w:cs="Arial"/>
          <w:noProof/>
        </w:rPr>
        <w:t>]</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2. Margolin AA, Nemenman I, Basso K, Wiggins C, Stolovitzky G, Dalla Favera R, Califano A: </w:t>
      </w:r>
      <w:r w:rsidRPr="00265027">
        <w:rPr>
          <w:rFonts w:ascii="Arial" w:hAnsi="Arial" w:cs="Arial"/>
          <w:b/>
          <w:bCs/>
          <w:noProof/>
        </w:rPr>
        <w:t>ARACNE: an algorithm for the reconstruction of gene regulatory networks in a mammalian cellular context.</w:t>
      </w:r>
      <w:r w:rsidRPr="00265027">
        <w:rPr>
          <w:rFonts w:ascii="Arial" w:hAnsi="Arial" w:cs="Arial"/>
          <w:noProof/>
        </w:rPr>
        <w:t xml:space="preserve"> </w:t>
      </w:r>
      <w:r w:rsidRPr="00265027">
        <w:rPr>
          <w:rFonts w:ascii="Arial" w:hAnsi="Arial" w:cs="Arial"/>
          <w:i/>
          <w:iCs/>
          <w:noProof/>
        </w:rPr>
        <w:t>BMC Bioinformatics</w:t>
      </w:r>
      <w:r w:rsidRPr="00265027">
        <w:rPr>
          <w:rFonts w:ascii="Arial" w:hAnsi="Arial" w:cs="Arial"/>
          <w:noProof/>
        </w:rPr>
        <w:t xml:space="preserve"> 2006, </w:t>
      </w:r>
      <w:r w:rsidRPr="00265027">
        <w:rPr>
          <w:rFonts w:ascii="Arial" w:hAnsi="Arial" w:cs="Arial"/>
          <w:b/>
          <w:bCs/>
          <w:noProof/>
        </w:rPr>
        <w:t>7 Suppl 1</w:t>
      </w:r>
      <w:r w:rsidRPr="00265027">
        <w:rPr>
          <w:rFonts w:ascii="Arial" w:hAnsi="Arial" w:cs="Arial"/>
          <w:noProof/>
        </w:rPr>
        <w:t>(Suppl 1):S7.</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3. Rényi A: </w:t>
      </w:r>
      <w:r w:rsidRPr="00265027">
        <w:rPr>
          <w:rFonts w:ascii="Arial" w:hAnsi="Arial" w:cs="Arial"/>
          <w:b/>
          <w:bCs/>
          <w:noProof/>
        </w:rPr>
        <w:t>On Measures of Entropy and Information</w:t>
      </w:r>
      <w:r w:rsidRPr="00265027">
        <w:rPr>
          <w:rFonts w:ascii="Arial" w:hAnsi="Arial" w:cs="Arial"/>
          <w:noProof/>
        </w:rPr>
        <w:t xml:space="preserve">. In </w:t>
      </w:r>
      <w:r w:rsidRPr="00265027">
        <w:rPr>
          <w:rFonts w:ascii="Arial" w:hAnsi="Arial" w:cs="Arial"/>
          <w:i/>
          <w:iCs/>
          <w:noProof/>
        </w:rPr>
        <w:t>Proceedings of the Fourth Berkeley Symposium on Mathematical Statistics and Probability, Volume 1: Contributions to the Theory of Statistics</w:t>
      </w:r>
      <w:r w:rsidRPr="00265027">
        <w:rPr>
          <w:rFonts w:ascii="Arial" w:hAnsi="Arial" w:cs="Arial"/>
          <w:noProof/>
        </w:rPr>
        <w:t>. The Regents of the University of California; 1961.</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4. van Erven T, Harremoes P: </w:t>
      </w:r>
      <w:r w:rsidRPr="00265027">
        <w:rPr>
          <w:rFonts w:ascii="Arial" w:hAnsi="Arial" w:cs="Arial"/>
          <w:b/>
          <w:bCs/>
          <w:noProof/>
        </w:rPr>
        <w:t>Rényi Divergence and Kullback-Leibler Divergence</w:t>
      </w:r>
      <w:r w:rsidRPr="00265027">
        <w:rPr>
          <w:rFonts w:ascii="Arial" w:hAnsi="Arial" w:cs="Arial"/>
          <w:noProof/>
        </w:rPr>
        <w:t xml:space="preserve">. </w:t>
      </w:r>
      <w:r w:rsidRPr="00265027">
        <w:rPr>
          <w:rFonts w:ascii="Arial" w:hAnsi="Arial" w:cs="Arial"/>
          <w:i/>
          <w:iCs/>
          <w:noProof/>
        </w:rPr>
        <w:t>IEEE Trans Inf Theory</w:t>
      </w:r>
      <w:r w:rsidRPr="00265027">
        <w:rPr>
          <w:rFonts w:ascii="Arial" w:hAnsi="Arial" w:cs="Arial"/>
          <w:noProof/>
        </w:rPr>
        <w:t xml:space="preserve"> 2014, </w:t>
      </w:r>
      <w:r w:rsidRPr="00265027">
        <w:rPr>
          <w:rFonts w:ascii="Arial" w:hAnsi="Arial" w:cs="Arial"/>
          <w:b/>
          <w:bCs/>
          <w:noProof/>
        </w:rPr>
        <w:t>60</w:t>
      </w:r>
      <w:r w:rsidRPr="00265027">
        <w:rPr>
          <w:rFonts w:ascii="Arial" w:hAnsi="Arial" w:cs="Arial"/>
          <w:noProof/>
        </w:rPr>
        <w:t>:3797–3820.</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5. Kotz S, Wang Q, Hung K: </w:t>
      </w:r>
      <w:r w:rsidRPr="00265027">
        <w:rPr>
          <w:rFonts w:ascii="Arial" w:hAnsi="Arial" w:cs="Arial"/>
          <w:b/>
          <w:bCs/>
          <w:noProof/>
        </w:rPr>
        <w:t>Interrelations among various definitions of bivariate positive dependence</w:t>
      </w:r>
      <w:r w:rsidRPr="00265027">
        <w:rPr>
          <w:rFonts w:ascii="Arial" w:hAnsi="Arial" w:cs="Arial"/>
          <w:noProof/>
        </w:rPr>
        <w:t>. 1990:333–349.</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6. Lehmann EL: </w:t>
      </w:r>
      <w:r w:rsidRPr="00265027">
        <w:rPr>
          <w:rFonts w:ascii="Arial" w:hAnsi="Arial" w:cs="Arial"/>
          <w:b/>
          <w:bCs/>
          <w:noProof/>
        </w:rPr>
        <w:t>Some Concepts of Dependence</w:t>
      </w:r>
      <w:r w:rsidRPr="00265027">
        <w:rPr>
          <w:rFonts w:ascii="Arial" w:hAnsi="Arial" w:cs="Arial"/>
          <w:noProof/>
        </w:rPr>
        <w:t xml:space="preserve">. </w:t>
      </w:r>
      <w:r w:rsidRPr="00265027">
        <w:rPr>
          <w:rFonts w:ascii="Arial" w:hAnsi="Arial" w:cs="Arial"/>
          <w:i/>
          <w:iCs/>
          <w:noProof/>
        </w:rPr>
        <w:t>Ann Math Stat</w:t>
      </w:r>
      <w:r w:rsidRPr="00265027">
        <w:rPr>
          <w:rFonts w:ascii="Arial" w:hAnsi="Arial" w:cs="Arial"/>
          <w:noProof/>
        </w:rPr>
        <w:t xml:space="preserve"> 1966, </w:t>
      </w:r>
      <w:r w:rsidRPr="00265027">
        <w:rPr>
          <w:rFonts w:ascii="Arial" w:hAnsi="Arial" w:cs="Arial"/>
          <w:b/>
          <w:bCs/>
          <w:noProof/>
        </w:rPr>
        <w:t>37</w:t>
      </w:r>
      <w:r w:rsidRPr="00265027">
        <w:rPr>
          <w:rFonts w:ascii="Arial" w:hAnsi="Arial" w:cs="Arial"/>
          <w:noProof/>
        </w:rPr>
        <w:t>:1137–1153.</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7. Rempala GA, Seweryn M: </w:t>
      </w:r>
      <w:r w:rsidRPr="00265027">
        <w:rPr>
          <w:rFonts w:ascii="Arial" w:hAnsi="Arial" w:cs="Arial"/>
          <w:b/>
          <w:bCs/>
          <w:noProof/>
        </w:rPr>
        <w:t>Methods for diversity and overlap analysis in T-cell receptor populations.</w:t>
      </w:r>
      <w:r w:rsidRPr="00265027">
        <w:rPr>
          <w:rFonts w:ascii="Arial" w:hAnsi="Arial" w:cs="Arial"/>
          <w:noProof/>
        </w:rPr>
        <w:t xml:space="preserve"> </w:t>
      </w:r>
      <w:r w:rsidRPr="00265027">
        <w:rPr>
          <w:rFonts w:ascii="Arial" w:hAnsi="Arial" w:cs="Arial"/>
          <w:i/>
          <w:iCs/>
          <w:noProof/>
        </w:rPr>
        <w:t>J Math Biol</w:t>
      </w:r>
      <w:r w:rsidRPr="00265027">
        <w:rPr>
          <w:rFonts w:ascii="Arial" w:hAnsi="Arial" w:cs="Arial"/>
          <w:noProof/>
        </w:rPr>
        <w:t xml:space="preserve"> 2013, </w:t>
      </w:r>
      <w:r w:rsidRPr="00265027">
        <w:rPr>
          <w:rFonts w:ascii="Arial" w:hAnsi="Arial" w:cs="Arial"/>
          <w:b/>
          <w:bCs/>
          <w:noProof/>
        </w:rPr>
        <w:t>67</w:t>
      </w:r>
      <w:r w:rsidRPr="00265027">
        <w:rPr>
          <w:rFonts w:ascii="Arial" w:hAnsi="Arial" w:cs="Arial"/>
          <w:noProof/>
        </w:rPr>
        <w:t>:1339–68.</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8. Douglas R, Fienberg SE, Lee MLT, Sampson AR, Whitaker LR: </w:t>
      </w:r>
      <w:r w:rsidRPr="00265027">
        <w:rPr>
          <w:rFonts w:ascii="Arial" w:hAnsi="Arial" w:cs="Arial"/>
          <w:b/>
          <w:bCs/>
          <w:noProof/>
        </w:rPr>
        <w:t>Positive dependence concepts for ordinal contingency tables</w:t>
      </w:r>
      <w:r w:rsidRPr="00265027">
        <w:rPr>
          <w:rFonts w:ascii="Arial" w:hAnsi="Arial" w:cs="Arial"/>
          <w:noProof/>
        </w:rPr>
        <w:t>. 1990:189–202.</w:t>
      </w:r>
    </w:p>
    <w:p w:rsidR="00265027" w:rsidRPr="00265027" w:rsidRDefault="00265027">
      <w:pPr>
        <w:widowControl w:val="0"/>
        <w:autoSpaceDE w:val="0"/>
        <w:autoSpaceDN w:val="0"/>
        <w:adjustRightInd w:val="0"/>
        <w:spacing w:after="140" w:line="288" w:lineRule="auto"/>
        <w:rPr>
          <w:rFonts w:ascii="Arial" w:hAnsi="Arial" w:cs="Arial"/>
          <w:noProof/>
        </w:rPr>
      </w:pPr>
      <w:r w:rsidRPr="00265027">
        <w:rPr>
          <w:rFonts w:ascii="Arial" w:hAnsi="Arial" w:cs="Arial"/>
          <w:noProof/>
        </w:rPr>
        <w:t xml:space="preserve">9. van Erven T, Harremoes P: </w:t>
      </w:r>
      <w:r w:rsidRPr="00265027">
        <w:rPr>
          <w:rFonts w:ascii="Arial" w:hAnsi="Arial" w:cs="Arial"/>
          <w:b/>
          <w:bCs/>
          <w:noProof/>
        </w:rPr>
        <w:t>Rényi Divergence and Kullback-Leibler Divergence</w:t>
      </w:r>
      <w:r w:rsidRPr="00265027">
        <w:rPr>
          <w:rFonts w:ascii="Arial" w:hAnsi="Arial" w:cs="Arial"/>
          <w:noProof/>
        </w:rPr>
        <w:t xml:space="preserve">. </w:t>
      </w:r>
      <w:r w:rsidRPr="00265027">
        <w:rPr>
          <w:rFonts w:ascii="Arial" w:hAnsi="Arial" w:cs="Arial"/>
          <w:i/>
          <w:iCs/>
          <w:noProof/>
        </w:rPr>
        <w:t>IEEE Trans Inf Theory</w:t>
      </w:r>
      <w:r w:rsidRPr="00265027">
        <w:rPr>
          <w:rFonts w:ascii="Arial" w:hAnsi="Arial" w:cs="Arial"/>
          <w:noProof/>
        </w:rPr>
        <w:t xml:space="preserve"> 2014, </w:t>
      </w:r>
      <w:r w:rsidRPr="00265027">
        <w:rPr>
          <w:rFonts w:ascii="Arial" w:hAnsi="Arial" w:cs="Arial"/>
          <w:b/>
          <w:bCs/>
          <w:noProof/>
        </w:rPr>
        <w:t>60</w:t>
      </w:r>
      <w:r w:rsidRPr="00265027">
        <w:rPr>
          <w:rFonts w:ascii="Arial" w:hAnsi="Arial" w:cs="Arial"/>
          <w:noProof/>
        </w:rPr>
        <w:t>:3797–3820.</w:t>
      </w:r>
    </w:p>
    <w:p w:rsidR="00265027" w:rsidRPr="008823ED" w:rsidRDefault="00C55B92" w:rsidP="00F65971">
      <w:pPr>
        <w:spacing w:line="480" w:lineRule="auto"/>
        <w:rPr>
          <w:rFonts w:ascii="Arial" w:hAnsi="Arial" w:cs="Arial"/>
        </w:rPr>
      </w:pPr>
      <w:r>
        <w:rPr>
          <w:rFonts w:ascii="Arial" w:hAnsi="Arial" w:cs="Arial"/>
        </w:rPr>
        <w:fldChar w:fldCharType="end"/>
      </w:r>
      <w:bookmarkStart w:id="0" w:name="_GoBack"/>
      <w:bookmarkEnd w:id="0"/>
    </w:p>
    <w:p w:rsidR="0022154B" w:rsidRDefault="0022154B"/>
    <w:sectPr w:rsidR="0022154B" w:rsidSect="0022154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WenQuanYi Zen Hei Sharp">
    <w:altName w:val="Times New Roman"/>
    <w:panose1 w:val="00000000000000000000"/>
    <w:charset w:val="00"/>
    <w:family w:val="roman"/>
    <w:notTrueType/>
    <w:pitch w:val="default"/>
    <w:sig w:usb0="00000000" w:usb1="00000000" w:usb2="00000000" w:usb3="00000000" w:csb0="00000000"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docVars>
    <w:docVar w:name="Total_Editing_Time" w:val="2"/>
  </w:docVars>
  <w:rsids>
    <w:rsidRoot w:val="00F65971"/>
    <w:rsid w:val="0022154B"/>
    <w:rsid w:val="00265027"/>
    <w:rsid w:val="00504D89"/>
    <w:rsid w:val="0099206F"/>
    <w:rsid w:val="00C55B92"/>
    <w:rsid w:val="00DC30A8"/>
    <w:rsid w:val="00F6597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65971"/>
    <w:pPr>
      <w:suppressAutoHyphens/>
    </w:pPr>
    <w:rPr>
      <w:rFonts w:ascii="Cambria" w:eastAsia="WenQuanYi Zen Hei Sharp" w:hAnsi="Cambria"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30A8"/>
    <w:pPr>
      <w:suppressAutoHyphens w:val="0"/>
    </w:pPr>
    <w:rPr>
      <w:rFonts w:ascii="Lucida Grande" w:eastAsiaTheme="minorEastAsia" w:hAnsi="Lucida Grande" w:cs="Lucida Grande"/>
      <w:color w:val="auto"/>
      <w:sz w:val="18"/>
      <w:szCs w:val="18"/>
    </w:rPr>
  </w:style>
  <w:style w:type="character" w:customStyle="1" w:styleId="BalloonTextChar">
    <w:name w:val="Balloon Text Char"/>
    <w:basedOn w:val="DefaultParagraphFont"/>
    <w:link w:val="BalloonText"/>
    <w:uiPriority w:val="99"/>
    <w:semiHidden/>
    <w:rsid w:val="00DC30A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65971"/>
    <w:pPr>
      <w:suppressAutoHyphens/>
    </w:pPr>
    <w:rPr>
      <w:rFonts w:ascii="Cambria" w:eastAsia="WenQuanYi Zen Hei Sharp" w:hAnsi="Cambria"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30A8"/>
    <w:pPr>
      <w:suppressAutoHyphens w:val="0"/>
    </w:pPr>
    <w:rPr>
      <w:rFonts w:ascii="Lucida Grande" w:eastAsiaTheme="minorEastAsia" w:hAnsi="Lucida Grande" w:cs="Lucida Grande"/>
      <w:color w:val="auto"/>
      <w:sz w:val="18"/>
      <w:szCs w:val="18"/>
    </w:rPr>
  </w:style>
  <w:style w:type="character" w:customStyle="1" w:styleId="BalloonTextChar">
    <w:name w:val="Balloon Text Char"/>
    <w:basedOn w:val="DefaultParagraphFont"/>
    <w:link w:val="BalloonText"/>
    <w:uiPriority w:val="99"/>
    <w:semiHidden/>
    <w:rsid w:val="00DC30A8"/>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3751</Words>
  <Characters>22325</Characters>
  <Application>Microsoft Office Word</Application>
  <DocSecurity>0</DocSecurity>
  <Lines>437</Lines>
  <Paragraphs>127</Paragraphs>
  <ScaleCrop>false</ScaleCrop>
  <Company>The Ohio State University</Company>
  <LinksUpToDate>false</LinksUpToDate>
  <CharactersWithSpaces>25949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Hartmann</dc:creator>
  <cp:keywords/>
  <dc:description/>
  <cp:lastModifiedBy>JOLANO</cp:lastModifiedBy>
  <cp:revision>4</cp:revision>
  <dcterms:created xsi:type="dcterms:W3CDTF">2016-03-06T01:51:00Z</dcterms:created>
  <dcterms:modified xsi:type="dcterms:W3CDTF">2016-09-08T06:07:00Z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katherine.hartmann@osumc.edu@www.mendeley.com</vt:lpwstr>
  </property>
  <property fmtid="{D5CDD505-2E9C-101B-9397-08002B2CF9AE}" pid="4" name="Mendeley Citation Style_1">
    <vt:lpwstr>http://www.zotero.org/styles/bmc-genomics</vt:lpwstr>
  </property>
  <property fmtid="{D5CDD505-2E9C-101B-9397-08002B2CF9AE}" pid="5" name="Mendeley Recent Style Id 0_1">
    <vt:lpwstr>http://www.zotero.org/styles/american-journal-of-human-genetics</vt:lpwstr>
  </property>
  <property fmtid="{D5CDD505-2E9C-101B-9397-08002B2CF9AE}" pid="6" name="Mendeley Recent Style Name 0_1">
    <vt:lpwstr>American Journal of Human Genetics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http://www.zotero.org/styles/bmc-genomics</vt:lpwstr>
  </property>
  <property fmtid="{D5CDD505-2E9C-101B-9397-08002B2CF9AE}" pid="14" name="Mendeley Recent Style Name 4_1">
    <vt:lpwstr>BMC Genomics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