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D81" w:rsidRDefault="00C27022" w:rsidP="00C84D81">
      <w:pPr>
        <w:pStyle w:val="1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Additional file 13: </w:t>
      </w:r>
      <w:bookmarkStart w:id="0" w:name="_GoBack"/>
      <w:bookmarkEnd w:id="0"/>
      <w:r w:rsidR="00C84D81">
        <w:rPr>
          <w:rFonts w:ascii="Times New Roman" w:eastAsia="Times New Roman" w:hAnsi="Times New Roman" w:cs="Times New Roman"/>
          <w:b/>
          <w:sz w:val="24"/>
          <w:szCs w:val="24"/>
        </w:rPr>
        <w:t xml:space="preserve">Table </w:t>
      </w:r>
      <w:r w:rsidR="007D4AC7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C84D81">
        <w:rPr>
          <w:rFonts w:ascii="Times New Roman" w:hAnsi="Times New Roman" w:cs="Times New Roman"/>
          <w:b/>
          <w:sz w:val="24"/>
          <w:szCs w:val="24"/>
        </w:rPr>
        <w:t>3</w:t>
      </w:r>
      <w:r w:rsidR="00C84D8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C84D81">
        <w:rPr>
          <w:rFonts w:ascii="Times New Roman" w:hAnsi="Times New Roman" w:cs="Times New Roman"/>
          <w:sz w:val="24"/>
          <w:szCs w:val="24"/>
        </w:rPr>
        <w:t xml:space="preserve"> Number of peptides with charge 3+ at 1% FDR identified from search against real proteogenomic databases using Comet. </w:t>
      </w:r>
      <w:r w:rsidR="00C84D81">
        <w:rPr>
          <w:rFonts w:ascii="Times New Roman" w:eastAsia="Times New Roman" w:hAnsi="Times New Roman" w:cs="Times New Roman"/>
          <w:sz w:val="24"/>
          <w:szCs w:val="24"/>
        </w:rPr>
        <w:t>6FTT</w:t>
      </w:r>
      <w:r w:rsidR="00C84D81">
        <w:rPr>
          <w:rFonts w:ascii="Times New Roman" w:eastAsia="Times New Roman" w:hAnsi="Times New Roman" w:cs="Times New Roman"/>
          <w:sz w:val="24"/>
          <w:szCs w:val="24"/>
          <w:vertAlign w:val="subscript"/>
        </w:rPr>
        <w:t>y</w:t>
      </w:r>
      <w:r w:rsidR="00C84D81">
        <w:rPr>
          <w:rFonts w:ascii="Times New Roman" w:hAnsi="Times New Roman" w:cs="Times New Roman"/>
          <w:sz w:val="24"/>
          <w:szCs w:val="24"/>
        </w:rPr>
        <w:t xml:space="preserve"> (or 6FTT</w:t>
      </w:r>
      <w:r w:rsidR="00C84D81">
        <w:rPr>
          <w:rFonts w:ascii="Times New Roman" w:hAnsi="Times New Roman" w:cs="Times New Roman"/>
          <w:sz w:val="24"/>
          <w:szCs w:val="24"/>
          <w:vertAlign w:val="subscript"/>
        </w:rPr>
        <w:t>h</w:t>
      </w:r>
      <w:r w:rsidR="00C84D81">
        <w:rPr>
          <w:rFonts w:ascii="Times New Roman" w:hAnsi="Times New Roman" w:cs="Times New Roman"/>
          <w:sz w:val="24"/>
          <w:szCs w:val="24"/>
        </w:rPr>
        <w:t>)</w:t>
      </w:r>
      <w:r w:rsidR="00C84D81">
        <w:rPr>
          <w:rFonts w:ascii="Times New Roman" w:eastAsia="Times New Roman" w:hAnsi="Times New Roman" w:cs="Times New Roman"/>
          <w:sz w:val="24"/>
          <w:szCs w:val="24"/>
        </w:rPr>
        <w:t xml:space="preserve">: proteogenomic database constructed by 6-frame translation of yeast </w:t>
      </w:r>
      <w:r w:rsidR="00C84D81">
        <w:rPr>
          <w:rFonts w:ascii="Times New Roman" w:hAnsi="Times New Roman" w:cs="Times New Roman"/>
          <w:sz w:val="24"/>
          <w:szCs w:val="24"/>
        </w:rPr>
        <w:t xml:space="preserve">(or human) </w:t>
      </w:r>
      <w:r w:rsidR="00C84D81">
        <w:rPr>
          <w:rFonts w:ascii="Times New Roman" w:eastAsia="Times New Roman" w:hAnsi="Times New Roman" w:cs="Times New Roman"/>
          <w:sz w:val="24"/>
          <w:szCs w:val="24"/>
        </w:rPr>
        <w:t>genome. 6FTD</w:t>
      </w:r>
      <w:r w:rsidR="00C84D81">
        <w:rPr>
          <w:rFonts w:ascii="Times New Roman" w:eastAsia="Times New Roman" w:hAnsi="Times New Roman" w:cs="Times New Roman"/>
          <w:sz w:val="24"/>
          <w:szCs w:val="24"/>
          <w:vertAlign w:val="subscript"/>
        </w:rPr>
        <w:t>y</w:t>
      </w:r>
      <w:r w:rsidR="00C84D81">
        <w:rPr>
          <w:rFonts w:ascii="Times New Roman" w:hAnsi="Times New Roman" w:cs="Times New Roman"/>
          <w:sz w:val="24"/>
          <w:szCs w:val="24"/>
        </w:rPr>
        <w:t xml:space="preserve"> (or 6FTD</w:t>
      </w:r>
      <w:r w:rsidR="00C84D81">
        <w:rPr>
          <w:rFonts w:ascii="Times New Roman" w:hAnsi="Times New Roman" w:cs="Times New Roman"/>
          <w:sz w:val="24"/>
          <w:szCs w:val="24"/>
          <w:vertAlign w:val="subscript"/>
        </w:rPr>
        <w:t>h</w:t>
      </w:r>
      <w:r w:rsidR="00C84D81">
        <w:rPr>
          <w:rFonts w:ascii="Times New Roman" w:hAnsi="Times New Roman" w:cs="Times New Roman"/>
          <w:sz w:val="24"/>
          <w:szCs w:val="24"/>
        </w:rPr>
        <w:t>)</w:t>
      </w:r>
      <w:r w:rsidR="00C84D81">
        <w:rPr>
          <w:rFonts w:ascii="Times New Roman" w:eastAsia="Times New Roman" w:hAnsi="Times New Roman" w:cs="Times New Roman"/>
          <w:sz w:val="24"/>
          <w:szCs w:val="24"/>
        </w:rPr>
        <w:t>: decoy database for 6FTT</w:t>
      </w:r>
      <w:r w:rsidR="00C84D81">
        <w:rPr>
          <w:rFonts w:ascii="Times New Roman" w:eastAsia="Times New Roman" w:hAnsi="Times New Roman" w:cs="Times New Roman"/>
          <w:sz w:val="24"/>
          <w:szCs w:val="24"/>
          <w:vertAlign w:val="subscript"/>
        </w:rPr>
        <w:t>y</w:t>
      </w:r>
      <w:r w:rsidR="00C84D81">
        <w:rPr>
          <w:rFonts w:ascii="Times New Roman" w:hAnsi="Times New Roman" w:cs="Times New Roman"/>
          <w:sz w:val="24"/>
          <w:szCs w:val="24"/>
        </w:rPr>
        <w:t xml:space="preserve"> (or 6FTT</w:t>
      </w:r>
      <w:r w:rsidR="00C84D81">
        <w:rPr>
          <w:rFonts w:ascii="Times New Roman" w:hAnsi="Times New Roman" w:cs="Times New Roman"/>
          <w:sz w:val="24"/>
          <w:szCs w:val="24"/>
          <w:vertAlign w:val="subscript"/>
        </w:rPr>
        <w:t>h</w:t>
      </w:r>
      <w:r w:rsidR="00C84D81">
        <w:rPr>
          <w:rFonts w:ascii="Times New Roman" w:hAnsi="Times New Roman" w:cs="Times New Roman"/>
          <w:sz w:val="24"/>
          <w:szCs w:val="24"/>
        </w:rPr>
        <w:t>)</w:t>
      </w:r>
      <w:r w:rsidR="00C84D81">
        <w:rPr>
          <w:rFonts w:ascii="Times New Roman" w:eastAsia="Times New Roman" w:hAnsi="Times New Roman" w:cs="Times New Roman"/>
          <w:sz w:val="24"/>
          <w:szCs w:val="24"/>
        </w:rPr>
        <w:t>. SGT</w:t>
      </w:r>
      <w:r w:rsidR="00C84D81">
        <w:rPr>
          <w:rFonts w:ascii="Times New Roman" w:eastAsia="Times New Roman" w:hAnsi="Times New Roman" w:cs="Times New Roman"/>
          <w:sz w:val="24"/>
          <w:szCs w:val="24"/>
          <w:vertAlign w:val="subscript"/>
        </w:rPr>
        <w:t>h</w:t>
      </w:r>
      <w:r w:rsidR="00C84D81">
        <w:rPr>
          <w:rFonts w:ascii="Times New Roman" w:eastAsia="Times New Roman" w:hAnsi="Times New Roman" w:cs="Times New Roman"/>
          <w:sz w:val="24"/>
          <w:szCs w:val="24"/>
        </w:rPr>
        <w:t>: proteogenomic database constructed by splicing information obtained from human RNA</w:t>
      </w:r>
      <w:r w:rsidR="00C84D81">
        <w:rPr>
          <w:rFonts w:ascii="Times New Roman" w:hAnsi="Times New Roman" w:cs="Times New Roman"/>
          <w:sz w:val="24"/>
          <w:szCs w:val="24"/>
        </w:rPr>
        <w:t xml:space="preserve"> sequencing</w:t>
      </w:r>
      <w:r w:rsidR="00C84D81">
        <w:rPr>
          <w:rFonts w:ascii="Times New Roman" w:eastAsia="Times New Roman" w:hAnsi="Times New Roman" w:cs="Times New Roman"/>
          <w:sz w:val="24"/>
          <w:szCs w:val="24"/>
        </w:rPr>
        <w:t xml:space="preserve"> data. SGD</w:t>
      </w:r>
      <w:r w:rsidR="00C84D81">
        <w:rPr>
          <w:rFonts w:ascii="Times New Roman" w:eastAsia="Times New Roman" w:hAnsi="Times New Roman" w:cs="Times New Roman"/>
          <w:sz w:val="24"/>
          <w:szCs w:val="24"/>
          <w:vertAlign w:val="subscript"/>
        </w:rPr>
        <w:t>h</w:t>
      </w:r>
      <w:r w:rsidR="00C84D81">
        <w:rPr>
          <w:rFonts w:ascii="Times New Roman" w:eastAsia="Times New Roman" w:hAnsi="Times New Roman" w:cs="Times New Roman"/>
          <w:sz w:val="24"/>
          <w:szCs w:val="24"/>
        </w:rPr>
        <w:t>: decoy database for SGT</w:t>
      </w:r>
      <w:r w:rsidR="00C84D81">
        <w:rPr>
          <w:rFonts w:ascii="Times New Roman" w:eastAsia="Times New Roman" w:hAnsi="Times New Roman" w:cs="Times New Roman"/>
          <w:sz w:val="24"/>
          <w:szCs w:val="24"/>
          <w:vertAlign w:val="subscript"/>
        </w:rPr>
        <w:t>h</w:t>
      </w:r>
      <w:r w:rsidR="00C84D8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84D81">
        <w:rPr>
          <w:rFonts w:ascii="Times New Roman" w:hAnsi="Times New Roman" w:cs="Times New Roman"/>
          <w:sz w:val="24"/>
          <w:szCs w:val="24"/>
        </w:rPr>
        <w:t>TD: target-decoy strategy. BP: target-decoy strategy using a refined score calculated by the self-boosted Percolator. MB: mixture model-based method. SepTD, SepBP, and SepMB denote separate filtering of known and novel peptides using TD, BP, and MB, respectively.</w:t>
      </w:r>
    </w:p>
    <w:tbl>
      <w:tblPr>
        <w:tblW w:w="0" w:type="auto"/>
        <w:jc w:val="center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1"/>
          <w:insideH w:val="single" w:sz="8" w:space="0" w:color="00000A"/>
          <w:insideV w:val="single" w:sz="8" w:space="0" w:color="000001"/>
        </w:tblBorders>
        <w:tblCellMar>
          <w:left w:w="59" w:type="dxa"/>
          <w:right w:w="99" w:type="dxa"/>
        </w:tblCellMar>
        <w:tblLook w:val="04A0" w:firstRow="1" w:lastRow="0" w:firstColumn="1" w:lastColumn="0" w:noHBand="0" w:noVBand="1"/>
      </w:tblPr>
      <w:tblGrid>
        <w:gridCol w:w="2084"/>
        <w:gridCol w:w="1122"/>
        <w:gridCol w:w="903"/>
        <w:gridCol w:w="902"/>
        <w:gridCol w:w="903"/>
        <w:gridCol w:w="1073"/>
        <w:gridCol w:w="1042"/>
        <w:gridCol w:w="1155"/>
      </w:tblGrid>
      <w:tr w:rsidR="00C84D81" w:rsidTr="00830631">
        <w:trPr>
          <w:jc w:val="center"/>
        </w:trPr>
        <w:tc>
          <w:tcPr>
            <w:tcW w:w="331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left w:w="5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Database (target + decoy)</w:t>
            </w:r>
          </w:p>
        </w:tc>
        <w:tc>
          <w:tcPr>
            <w:tcW w:w="914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TD</w:t>
            </w:r>
          </w:p>
        </w:tc>
        <w:tc>
          <w:tcPr>
            <w:tcW w:w="913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BP</w:t>
            </w:r>
          </w:p>
        </w:tc>
        <w:tc>
          <w:tcPr>
            <w:tcW w:w="913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MB</w:t>
            </w:r>
          </w:p>
        </w:tc>
        <w:tc>
          <w:tcPr>
            <w:tcW w:w="1087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SepTD</w:t>
            </w:r>
          </w:p>
        </w:tc>
        <w:tc>
          <w:tcPr>
            <w:tcW w:w="105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SepBP</w:t>
            </w:r>
          </w:p>
        </w:tc>
        <w:tc>
          <w:tcPr>
            <w:tcW w:w="1167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SepMB</w:t>
            </w:r>
          </w:p>
        </w:tc>
      </w:tr>
      <w:tr w:rsidR="00C84D81" w:rsidTr="00830631">
        <w:trPr>
          <w:jc w:val="center"/>
        </w:trPr>
        <w:tc>
          <w:tcPr>
            <w:tcW w:w="2173" w:type="dxa"/>
            <w:vMerge w:val="restart"/>
            <w:tcBorders>
              <w:top w:val="nil"/>
              <w:left w:val="single" w:sz="8" w:space="0" w:color="00000A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left w:w="5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6FTT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  <w:vertAlign w:val="subscript"/>
              </w:rPr>
              <w:t>y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+ 6FTD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  <w:vertAlign w:val="subscript"/>
              </w:rPr>
              <w:t>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1,400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3,001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2,487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2,216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3,674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2,521</w:t>
            </w:r>
          </w:p>
        </w:tc>
      </w:tr>
      <w:tr w:rsidR="00C84D81" w:rsidTr="00830631">
        <w:trPr>
          <w:jc w:val="center"/>
        </w:trPr>
        <w:tc>
          <w:tcPr>
            <w:tcW w:w="2173" w:type="dxa"/>
            <w:vMerge/>
            <w:tcBorders>
              <w:top w:val="nil"/>
              <w:left w:val="single" w:sz="8" w:space="0" w:color="00000A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left w:w="5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Known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1,397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2,983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2,444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2,215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3,673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2,520</w:t>
            </w:r>
          </w:p>
        </w:tc>
      </w:tr>
      <w:tr w:rsidR="00C84D81" w:rsidTr="00830631">
        <w:trPr>
          <w:jc w:val="center"/>
        </w:trPr>
        <w:tc>
          <w:tcPr>
            <w:tcW w:w="2173" w:type="dxa"/>
            <w:vMerge/>
            <w:tcBorders>
              <w:top w:val="nil"/>
              <w:left w:val="single" w:sz="8" w:space="0" w:color="00000A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left w:w="5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Novel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43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C84D81" w:rsidTr="00830631">
        <w:trPr>
          <w:jc w:val="center"/>
        </w:trPr>
        <w:tc>
          <w:tcPr>
            <w:tcW w:w="2173" w:type="dxa"/>
            <w:vMerge w:val="restart"/>
            <w:tcBorders>
              <w:top w:val="nil"/>
              <w:left w:val="single" w:sz="8" w:space="0" w:color="00000A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left w:w="5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6FTT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  <w:vertAlign w:val="subscript"/>
              </w:rPr>
              <w:t>h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+ 6FTD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  <w:vertAlign w:val="subscript"/>
              </w:rPr>
              <w:t>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2,843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4,462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3,149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3,875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5,273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3,467</w:t>
            </w:r>
          </w:p>
        </w:tc>
      </w:tr>
      <w:tr w:rsidR="00C84D81" w:rsidTr="00830631">
        <w:trPr>
          <w:jc w:val="center"/>
        </w:trPr>
        <w:tc>
          <w:tcPr>
            <w:tcW w:w="2173" w:type="dxa"/>
            <w:vMerge/>
            <w:tcBorders>
              <w:top w:val="nil"/>
              <w:left w:val="single" w:sz="8" w:space="0" w:color="00000A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left w:w="5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Known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2,793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4,377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3,066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3,863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5,261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3,457</w:t>
            </w:r>
          </w:p>
        </w:tc>
      </w:tr>
      <w:tr w:rsidR="00C84D81" w:rsidTr="00830631">
        <w:trPr>
          <w:jc w:val="center"/>
        </w:trPr>
        <w:tc>
          <w:tcPr>
            <w:tcW w:w="2173" w:type="dxa"/>
            <w:vMerge/>
            <w:tcBorders>
              <w:top w:val="nil"/>
              <w:left w:val="single" w:sz="8" w:space="0" w:color="00000A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left w:w="5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Novel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50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85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83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10</w:t>
            </w:r>
          </w:p>
        </w:tc>
      </w:tr>
      <w:tr w:rsidR="00C84D81" w:rsidTr="00830631">
        <w:trPr>
          <w:jc w:val="center"/>
        </w:trPr>
        <w:tc>
          <w:tcPr>
            <w:tcW w:w="2173" w:type="dxa"/>
            <w:vMerge w:val="restart"/>
            <w:tcBorders>
              <w:top w:val="nil"/>
              <w:left w:val="single" w:sz="8" w:space="0" w:color="00000A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left w:w="5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SGT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  <w:vertAlign w:val="subscript"/>
              </w:rPr>
              <w:t>h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+ SGD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  <w:vertAlign w:val="subscript"/>
              </w:rPr>
              <w:t>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5,303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7,470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5,329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5,586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7,673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5,291</w:t>
            </w:r>
          </w:p>
        </w:tc>
      </w:tr>
      <w:tr w:rsidR="00C84D81" w:rsidTr="00830631">
        <w:trPr>
          <w:jc w:val="center"/>
        </w:trPr>
        <w:tc>
          <w:tcPr>
            <w:tcW w:w="2173" w:type="dxa"/>
            <w:vMerge/>
            <w:tcBorders>
              <w:top w:val="nil"/>
              <w:left w:val="single" w:sz="8" w:space="0" w:color="00000A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left w:w="5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Known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5,270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7,404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5,252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5,582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7,657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5,284</w:t>
            </w:r>
          </w:p>
        </w:tc>
      </w:tr>
      <w:tr w:rsidR="00C84D81" w:rsidTr="00830631">
        <w:trPr>
          <w:jc w:val="center"/>
        </w:trPr>
        <w:tc>
          <w:tcPr>
            <w:tcW w:w="2173" w:type="dxa"/>
            <w:vMerge/>
            <w:tcBorders>
              <w:top w:val="nil"/>
              <w:left w:val="single" w:sz="8" w:space="0" w:color="00000A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left w:w="5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Novel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66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77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C84D81" w:rsidRDefault="00C84D81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7</w:t>
            </w:r>
          </w:p>
        </w:tc>
      </w:tr>
    </w:tbl>
    <w:p w:rsidR="00C84D81" w:rsidRDefault="00C84D81" w:rsidP="00C84D81">
      <w:pPr>
        <w:pStyle w:val="1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376AB9" w:rsidRDefault="00C27022"/>
    <w:sectPr w:rsidR="00376AB9" w:rsidSect="00F00DF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Total_Editing_Time" w:val="0"/>
  </w:docVars>
  <w:rsids>
    <w:rsidRoot w:val="00C84D81"/>
    <w:rsid w:val="00651A2A"/>
    <w:rsid w:val="007D4AC7"/>
    <w:rsid w:val="00C27022"/>
    <w:rsid w:val="00C84D81"/>
    <w:rsid w:val="00DE380A"/>
    <w:rsid w:val="00F00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4D81"/>
    <w:pPr>
      <w:widowControl w:val="0"/>
      <w:suppressAutoHyphens/>
      <w:jc w:val="left"/>
    </w:pPr>
    <w:rPr>
      <w:rFonts w:ascii="Arial" w:eastAsia="SimSun" w:hAnsi="Arial" w:cs="Arial"/>
      <w:color w:val="000000"/>
      <w:kern w:val="0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Char">
    <w:name w:val="표준1 Char"/>
    <w:basedOn w:val="DefaultParagraphFont"/>
    <w:link w:val="1"/>
    <w:locked/>
    <w:rsid w:val="00C84D81"/>
  </w:style>
  <w:style w:type="paragraph" w:customStyle="1" w:styleId="1">
    <w:name w:val="표준1"/>
    <w:link w:val="1Char"/>
    <w:rsid w:val="00C84D81"/>
    <w:pPr>
      <w:suppressAutoHyphens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4D81"/>
    <w:pPr>
      <w:widowControl w:val="0"/>
      <w:suppressAutoHyphens/>
      <w:jc w:val="left"/>
    </w:pPr>
    <w:rPr>
      <w:rFonts w:ascii="Arial" w:eastAsia="SimSun" w:hAnsi="Arial" w:cs="Arial"/>
      <w:color w:val="000000"/>
      <w:kern w:val="0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Char">
    <w:name w:val="표준1 Char"/>
    <w:basedOn w:val="DefaultParagraphFont"/>
    <w:link w:val="1"/>
    <w:locked/>
    <w:rsid w:val="00C84D81"/>
  </w:style>
  <w:style w:type="paragraph" w:customStyle="1" w:styleId="1">
    <w:name w:val="표준1"/>
    <w:link w:val="1Char"/>
    <w:rsid w:val="00C84D81"/>
    <w:pPr>
      <w:suppressAutoHyphens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KMJ</dc:creator>
  <cp:lastModifiedBy>Balindan, Danica Joy</cp:lastModifiedBy>
  <cp:revision>3</cp:revision>
  <dcterms:created xsi:type="dcterms:W3CDTF">2016-10-14T07:10:00Z</dcterms:created>
  <dcterms:modified xsi:type="dcterms:W3CDTF">2016-11-22T14:36:00Z</dcterms:modified>
</cp:coreProperties>
</file>