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Systematic 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nalysis of the</w:t>
      </w:r>
      <w:r>
        <w:rPr>
          <w:rFonts w:hint="eastAsia"/>
          <w:b/>
          <w:sz w:val="30"/>
          <w:szCs w:val="30"/>
        </w:rPr>
        <w:t xml:space="preserve"> lysine a</w:t>
      </w:r>
      <w:r>
        <w:rPr>
          <w:b/>
          <w:sz w:val="30"/>
          <w:szCs w:val="30"/>
        </w:rPr>
        <w:t xml:space="preserve">cetylome in </w:t>
      </w:r>
      <w:r>
        <w:rPr>
          <w:b/>
          <w:i/>
          <w:sz w:val="30"/>
          <w:szCs w:val="30"/>
        </w:rPr>
        <w:t>Fusarium gramine</w:t>
      </w:r>
      <w:r>
        <w:rPr>
          <w:rFonts w:hint="eastAsia"/>
          <w:b/>
          <w:i/>
          <w:sz w:val="30"/>
          <w:szCs w:val="30"/>
        </w:rPr>
        <w:t>a</w:t>
      </w:r>
      <w:r>
        <w:rPr>
          <w:b/>
          <w:i/>
          <w:sz w:val="30"/>
          <w:szCs w:val="30"/>
        </w:rPr>
        <w:t>rum</w:t>
      </w:r>
    </w:p>
    <w:p>
      <w:pPr>
        <w:spacing w:line="480" w:lineRule="auto"/>
        <w:rPr>
          <w:b/>
          <w:sz w:val="28"/>
          <w:szCs w:val="28"/>
        </w:rPr>
      </w:pPr>
    </w:p>
    <w:p>
      <w:pPr>
        <w:spacing w:line="480" w:lineRule="auto"/>
        <w:jc w:val="center"/>
        <w:rPr>
          <w:b/>
          <w:sz w:val="28"/>
          <w:szCs w:val="28"/>
        </w:rPr>
      </w:pPr>
      <w:r>
        <w:rPr>
          <w:rFonts w:eastAsia="Times New Roman"/>
          <w:sz w:val="24"/>
        </w:rPr>
        <w:t>Shanyue Zhou</w:t>
      </w:r>
      <w:r>
        <w:rPr>
          <w:rFonts w:hint="eastAsia" w:eastAsiaTheme="minorEastAsia"/>
          <w:sz w:val="24"/>
          <w:vertAlign w:val="superscript"/>
        </w:rPr>
        <w:t>a</w:t>
      </w:r>
      <w:r>
        <w:rPr>
          <w:rFonts w:eastAsia="Times New Roman"/>
          <w:sz w:val="24"/>
        </w:rPr>
        <w:t>, Qianqian Yang</w:t>
      </w:r>
      <w:r>
        <w:rPr>
          <w:rFonts w:hint="eastAsia" w:eastAsiaTheme="minorEastAsia"/>
          <w:sz w:val="24"/>
          <w:vertAlign w:val="superscript"/>
        </w:rPr>
        <w:t xml:space="preserve"> a</w:t>
      </w:r>
      <w:r>
        <w:rPr>
          <w:rFonts w:eastAsia="Times New Roman"/>
          <w:sz w:val="24"/>
        </w:rPr>
        <w:t>, Changfa Yin</w:t>
      </w:r>
      <w:r>
        <w:rPr>
          <w:rFonts w:hint="eastAsia" w:eastAsiaTheme="minorEastAsia"/>
          <w:sz w:val="24"/>
          <w:vertAlign w:val="superscript"/>
        </w:rPr>
        <w:t>b</w:t>
      </w:r>
      <w:r>
        <w:rPr>
          <w:rFonts w:eastAsia="Times New Roman"/>
          <w:sz w:val="24"/>
        </w:rPr>
        <w:t>,</w:t>
      </w:r>
      <w:r>
        <w:rPr>
          <w:rFonts w:hint="eastAsia" w:asciiTheme="minorEastAsia" w:hAnsiTheme="minorEastAsia" w:eastAsiaTheme="minorEastAsia"/>
          <w:sz w:val="24"/>
        </w:rPr>
        <w:t xml:space="preserve"> </w:t>
      </w:r>
      <w:r>
        <w:rPr>
          <w:rFonts w:eastAsia="Times New Roman"/>
          <w:sz w:val="24"/>
        </w:rPr>
        <w:t>Lin Liu</w:t>
      </w:r>
      <w:r>
        <w:rPr>
          <w:rFonts w:hint="eastAsia" w:eastAsiaTheme="minorEastAsia"/>
          <w:sz w:val="24"/>
          <w:vertAlign w:val="superscript"/>
        </w:rPr>
        <w:t>c</w:t>
      </w:r>
      <w:r>
        <w:rPr>
          <w:rFonts w:eastAsia="Times New Roman"/>
          <w:sz w:val="24"/>
        </w:rPr>
        <w:t>, Wenxing Liang</w:t>
      </w:r>
      <w:r>
        <w:rPr>
          <w:rFonts w:hint="eastAsia" w:eastAsiaTheme="minorEastAsia"/>
          <w:sz w:val="24"/>
          <w:vertAlign w:val="superscript"/>
        </w:rPr>
        <w:t>a</w:t>
      </w:r>
      <w:r>
        <w:rPr>
          <w:rFonts w:eastAsiaTheme="minorEastAsia"/>
          <w:sz w:val="24"/>
          <w:vertAlign w:val="superscript"/>
        </w:rPr>
        <w:t>,</w:t>
      </w:r>
      <w:r>
        <w:rPr>
          <w:sz w:val="24"/>
          <w:vertAlign w:val="superscript"/>
        </w:rPr>
        <w:t>*</w:t>
      </w:r>
    </w:p>
    <w:p>
      <w:pPr>
        <w:spacing w:line="480" w:lineRule="auto"/>
        <w:rPr>
          <w:rFonts w:eastAsiaTheme="minorEastAsia"/>
          <w:sz w:val="24"/>
          <w:vertAlign w:val="superscript"/>
        </w:rPr>
      </w:pPr>
    </w:p>
    <w:p>
      <w:pPr>
        <w:spacing w:line="480" w:lineRule="auto"/>
        <w:rPr>
          <w:rFonts w:eastAsia="Times New Roman"/>
          <w:sz w:val="24"/>
        </w:rPr>
      </w:pPr>
      <w:r>
        <w:rPr>
          <w:rFonts w:hint="eastAsia" w:eastAsiaTheme="minorEastAsia"/>
          <w:sz w:val="24"/>
          <w:vertAlign w:val="superscript"/>
        </w:rPr>
        <w:t>a</w:t>
      </w:r>
      <w:r>
        <w:rPr>
          <w:rFonts w:eastAsia="Times New Roman"/>
          <w:sz w:val="24"/>
        </w:rPr>
        <w:t>College of Agronomy and plant Protection, The Key Lab of Integrated Crop Pests Management of Shandong Province,</w:t>
      </w:r>
      <w:r>
        <w:rPr>
          <w:rFonts w:hint="eastAsia" w:eastAsiaTheme="minorEastAsia"/>
          <w:sz w:val="24"/>
        </w:rPr>
        <w:t xml:space="preserve"> </w:t>
      </w:r>
      <w:r>
        <w:rPr>
          <w:rFonts w:eastAsia="Times New Roman"/>
          <w:sz w:val="24"/>
        </w:rPr>
        <w:t xml:space="preserve">Qingdao Agricultural University, Qingdao 266109, China. </w:t>
      </w:r>
    </w:p>
    <w:p>
      <w:pPr>
        <w:spacing w:line="480" w:lineRule="auto"/>
        <w:rPr>
          <w:rFonts w:eastAsia="Times New Roman"/>
          <w:sz w:val="24"/>
        </w:rPr>
      </w:pPr>
      <w:r>
        <w:rPr>
          <w:rFonts w:hint="eastAsia" w:eastAsiaTheme="minorEastAsia"/>
          <w:sz w:val="24"/>
          <w:vertAlign w:val="superscript"/>
        </w:rPr>
        <w:t>b</w:t>
      </w:r>
      <w:r>
        <w:rPr>
          <w:rFonts w:eastAsia="Times New Roman"/>
          <w:sz w:val="24"/>
        </w:rPr>
        <w:t>College of plant Protection, China Agricultural University, Beijing 100193, China.</w:t>
      </w:r>
    </w:p>
    <w:p>
      <w:pPr>
        <w:spacing w:line="480" w:lineRule="auto"/>
        <w:rPr>
          <w:rFonts w:eastAsia="Times New Roman"/>
          <w:sz w:val="24"/>
        </w:rPr>
      </w:pPr>
      <w:r>
        <w:rPr>
          <w:rFonts w:hint="eastAsia" w:eastAsiaTheme="minorEastAsia"/>
          <w:sz w:val="24"/>
          <w:vertAlign w:val="superscript"/>
        </w:rPr>
        <w:t>c</w:t>
      </w:r>
      <w:r>
        <w:rPr>
          <w:rFonts w:eastAsia="Times New Roman"/>
          <w:sz w:val="24"/>
        </w:rPr>
        <w:t>College of Life Sciences, Shandong Province Key Laboratory of Applied Mycology, Qingdao Agricultural University, Qingdao 266109, China.</w:t>
      </w:r>
    </w:p>
    <w:p>
      <w:pPr>
        <w:pStyle w:val="5"/>
        <w:spacing w:line="48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5"/>
        <w:spacing w:line="48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5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sz w:val="24"/>
          <w:szCs w:val="24"/>
          <w:vertAlign w:val="superscript"/>
        </w:rPr>
        <w:t>*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Corresponding author: </w:t>
      </w:r>
      <w:r>
        <w:rPr>
          <w:rFonts w:ascii="Times New Roman" w:hAnsi="Times New Roman" w:cs="Times New Roman"/>
          <w:sz w:val="24"/>
          <w:szCs w:val="24"/>
        </w:rPr>
        <w:t>College of Agronomy and Plant Protection, Qingdao Agricultural University, No. 700 Changcheng Road, Chengyang, Qingdao, Shandong</w:t>
      </w:r>
      <w:r>
        <w:rPr>
          <w:rFonts w:hint="eastAsia" w:ascii="Times New Roman" w:hAnsi="Times New Roman" w:cs="Times New Roman"/>
          <w:sz w:val="24"/>
          <w:szCs w:val="24"/>
        </w:rPr>
        <w:t xml:space="preserve"> 266109</w:t>
      </w:r>
      <w:r>
        <w:rPr>
          <w:rFonts w:ascii="Times New Roman" w:hAnsi="Times New Roman" w:cs="Times New Roman"/>
          <w:sz w:val="24"/>
          <w:szCs w:val="24"/>
        </w:rPr>
        <w:t>, China; wliang1@qau.edu.cn</w:t>
      </w:r>
    </w:p>
    <w:p/>
    <w:p/>
    <w:p/>
    <w:p/>
    <w:p/>
    <w:p/>
    <w:p/>
    <w:p/>
    <w:p/>
    <w:p/>
    <w:p/>
    <w:p>
      <w:pPr>
        <w:spacing w:line="480" w:lineRule="auto"/>
        <w:rPr>
          <w:b/>
          <w:sz w:val="24"/>
        </w:rPr>
      </w:pPr>
    </w:p>
    <w:p>
      <w:pPr>
        <w:spacing w:line="480" w:lineRule="auto"/>
        <w:jc w:val="center"/>
        <w:rPr>
          <w:b/>
          <w:sz w:val="24"/>
        </w:rPr>
      </w:pPr>
      <w:r>
        <w:rPr>
          <w:b/>
          <w:sz w:val="24"/>
        </w:rPr>
        <w:drawing>
          <wp:inline distT="0" distB="0" distL="0" distR="0">
            <wp:extent cx="3524885" cy="4314825"/>
            <wp:effectExtent l="19050" t="0" r="0" b="0"/>
            <wp:docPr id="10" name="图片 2" descr="C:\Users\liangwenxing\Desktop\新建 Microsoft Office PowerPoint 演示文稿\幻灯片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C:\Users\liangwenxing\Desktop\新建 Microsoft Office PowerPoint 演示文稿\幻灯片1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183" t="9157" r="28663" b="14458"/>
                    <a:stretch>
                      <a:fillRect/>
                    </a:stretch>
                  </pic:blipFill>
                  <pic:spPr>
                    <a:xfrm>
                      <a:off x="0" y="0"/>
                      <a:ext cx="3525362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  <w:r>
        <w:rPr>
          <w:b/>
          <w:sz w:val="24"/>
        </w:rPr>
        <w:t>Fig</w:t>
      </w:r>
      <w:r>
        <w:rPr>
          <w:rFonts w:hint="eastAsia"/>
          <w:b/>
          <w:sz w:val="24"/>
        </w:rPr>
        <w:t xml:space="preserve">. </w:t>
      </w:r>
      <w:r>
        <w:rPr>
          <w:b/>
          <w:sz w:val="24"/>
        </w:rPr>
        <w:t>S</w:t>
      </w:r>
      <w:r>
        <w:rPr>
          <w:rFonts w:hint="eastAsia"/>
          <w:b/>
          <w:sz w:val="24"/>
        </w:rPr>
        <w:t>1.</w:t>
      </w:r>
      <w:r>
        <w:rPr>
          <w:sz w:val="24"/>
        </w:rPr>
        <w:t xml:space="preserve"> </w:t>
      </w:r>
      <w:r>
        <w:rPr>
          <w:bCs/>
          <w:sz w:val="24"/>
        </w:rPr>
        <w:t xml:space="preserve">Proteome-wide identification of lysine acetylation sites in </w:t>
      </w:r>
      <w:bookmarkStart w:id="0" w:name="_GoBack"/>
      <w:r>
        <w:rPr>
          <w:i/>
          <w:color w:val="0000FF"/>
          <w:sz w:val="24"/>
        </w:rPr>
        <w:t>F. graminearum</w:t>
      </w:r>
      <w:bookmarkEnd w:id="0"/>
      <w:r>
        <w:rPr>
          <w:sz w:val="24"/>
        </w:rPr>
        <w:t>. A</w:t>
      </w:r>
      <w:r>
        <w:rPr>
          <w:rFonts w:hint="eastAsia"/>
          <w:sz w:val="24"/>
        </w:rPr>
        <w:t>,</w:t>
      </w:r>
      <w:r>
        <w:rPr>
          <w:sz w:val="24"/>
        </w:rPr>
        <w:t xml:space="preserve"> Mass error distribution of all identified peptides.</w:t>
      </w:r>
      <w:r>
        <w:rPr>
          <w:rFonts w:hint="eastAsia"/>
          <w:sz w:val="24"/>
        </w:rPr>
        <w:t xml:space="preserve"> B, </w:t>
      </w:r>
      <w:r>
        <w:rPr>
          <w:sz w:val="24"/>
        </w:rPr>
        <w:t>Peptide length distribution.</w:t>
      </w:r>
    </w:p>
    <w:p>
      <w:pPr>
        <w:jc w:val="center"/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76545" cy="8399145"/>
            <wp:effectExtent l="0" t="0" r="14605" b="1905"/>
            <wp:docPr id="4" name="图片 4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  <w:r>
        <w:rPr>
          <w:b/>
          <w:sz w:val="24"/>
        </w:rPr>
        <w:t xml:space="preserve">Fig. </w:t>
      </w:r>
      <w:r>
        <w:rPr>
          <w:rFonts w:hint="eastAsia"/>
          <w:b/>
          <w:sz w:val="24"/>
        </w:rPr>
        <w:t>S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.</w:t>
      </w:r>
      <w:r>
        <w:rPr>
          <w:rFonts w:hint="eastAsia"/>
          <w:sz w:val="24"/>
        </w:rPr>
        <w:t xml:space="preserve"> </w:t>
      </w:r>
      <w:r>
        <w:rPr>
          <w:sz w:val="24"/>
        </w:rPr>
        <w:t>GO-based enrichment analysis of acetylated</w:t>
      </w:r>
      <w:r>
        <w:rPr>
          <w:rFonts w:hint="eastAsia"/>
          <w:sz w:val="24"/>
        </w:rPr>
        <w:t xml:space="preserve"> </w:t>
      </w:r>
      <w:r>
        <w:rPr>
          <w:sz w:val="24"/>
        </w:rPr>
        <w:t>proteins.</w:t>
      </w: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824230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3253740"/>
            <wp:effectExtent l="19050" t="0" r="0" b="0"/>
            <wp:docPr id="7" name="图片 4" descr="E:\工作文件\审稿意见\MSMS\461_465_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E:\工作文件\审稿意见\MSMS\461_465_46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824230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861945"/>
            <wp:effectExtent l="19050" t="0" r="0" b="0"/>
            <wp:docPr id="9" name="图片 6" descr="E:\工作文件\审稿意见\MSMS\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E:\工作文件\审稿意见\MSMS\4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274310" cy="791845"/>
            <wp:effectExtent l="0" t="0" r="0" b="0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2954020"/>
            <wp:effectExtent l="19050" t="0" r="0" b="0"/>
            <wp:docPr id="14" name="图片 11" descr="E:\工作文件\审稿意见\MSMS\9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E:\工作文件\审稿意见\MSMS\99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824230"/>
            <wp:effectExtent l="0" t="0" r="0" b="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3036570"/>
            <wp:effectExtent l="19050" t="0" r="0" b="0"/>
            <wp:docPr id="17" name="图片 14" descr="E:\工作文件\审稿意见\MSMS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 descr="E:\工作文件\审稿意见\MSMS\1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824230"/>
            <wp:effectExtent l="0" t="0" r="0" b="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898140"/>
            <wp:effectExtent l="19050" t="0" r="0" b="0"/>
            <wp:docPr id="21" name="图片 16" descr="E:\工作文件\审稿意见\MSMS\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 descr="E:\工作文件\审稿意见\MSMS\3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894080"/>
            <wp:effectExtent l="0" t="0" r="0" b="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679065"/>
            <wp:effectExtent l="19050" t="0" r="0" b="0"/>
            <wp:docPr id="23" name="图片 18" descr="E:\工作文件\审稿意见\MSMS\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 descr="E:\工作文件\审稿意见\MSMS\33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894080"/>
            <wp:effectExtent l="0" t="0" r="0" b="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667635"/>
            <wp:effectExtent l="19050" t="0" r="0" b="0"/>
            <wp:docPr id="25" name="图片 20" descr="E:\工作文件\审稿意见\MSMS\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 descr="E:\工作文件\审稿意见\MSMS\35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894080"/>
            <wp:effectExtent l="0" t="0" r="0" b="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610485"/>
            <wp:effectExtent l="19050" t="0" r="0" b="0"/>
            <wp:docPr id="27" name="图片 22" descr="E:\工作文件\审稿意见\MSMS\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2" descr="E:\工作文件\审稿意见\MSMS\13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894080"/>
            <wp:effectExtent l="0" t="0" r="0" b="0"/>
            <wp:docPr id="2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849880"/>
            <wp:effectExtent l="19050" t="0" r="0" b="0"/>
            <wp:docPr id="29" name="图片 24" descr="E:\工作文件\审稿意见\MSMS\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 descr="E:\工作文件\审稿意见\MSMS\11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899795"/>
            <wp:effectExtent l="0" t="0" r="0" b="0"/>
            <wp:docPr id="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5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968625"/>
            <wp:effectExtent l="19050" t="0" r="0" b="0"/>
            <wp:docPr id="31" name="图片 26" descr="E:\工作文件\审稿意见\MSMS\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 descr="E:\工作文件\审稿意见\MSMS\33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5486400" cy="824230"/>
            <wp:effectExtent l="0" t="0" r="0" b="0"/>
            <wp:docPr id="3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7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drawing>
          <wp:inline distT="0" distB="0" distL="0" distR="0">
            <wp:extent cx="5486400" cy="2764155"/>
            <wp:effectExtent l="19050" t="0" r="0" b="0"/>
            <wp:docPr id="33" name="图片 28" descr="E:\工作文件\审稿意见\MSMS\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 descr="E:\工作文件\审稿意见\MSMS\269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b/>
          <w:sz w:val="30"/>
          <w:szCs w:val="30"/>
        </w:rPr>
      </w:pPr>
      <w:r>
        <w:rPr>
          <w:b/>
          <w:sz w:val="24"/>
        </w:rPr>
        <w:t>Fig. S3</w:t>
      </w:r>
      <w:r>
        <w:rPr>
          <w:rFonts w:hint="eastAsia"/>
          <w:b/>
          <w:sz w:val="24"/>
        </w:rPr>
        <w:t>.</w:t>
      </w:r>
      <w:r>
        <w:rPr>
          <w:color w:val="7030A0"/>
          <w:kern w:val="0"/>
          <w:sz w:val="24"/>
        </w:rPr>
        <w:t xml:space="preserve"> </w:t>
      </w:r>
      <w:r>
        <w:rPr>
          <w:kern w:val="0"/>
          <w:sz w:val="24"/>
        </w:rPr>
        <w:t>T</w:t>
      </w:r>
      <w:r>
        <w:rPr>
          <w:rFonts w:hint="eastAsia"/>
          <w:kern w:val="0"/>
          <w:sz w:val="24"/>
        </w:rPr>
        <w:t xml:space="preserve">he MS/MS spectra and peak assignments for the acetylated peptides </w:t>
      </w:r>
      <w:r>
        <w:rPr>
          <w:kern w:val="0"/>
          <w:sz w:val="24"/>
        </w:rPr>
        <w:t>in</w:t>
      </w:r>
      <w:r>
        <w:rPr>
          <w:rFonts w:hint="eastAsia"/>
          <w:kern w:val="0"/>
          <w:sz w:val="24"/>
        </w:rPr>
        <w:t xml:space="preserve">volved in </w:t>
      </w:r>
      <w:r>
        <w:rPr>
          <w:kern w:val="0"/>
          <w:sz w:val="24"/>
        </w:rPr>
        <w:t xml:space="preserve">pathogenesis of </w:t>
      </w:r>
      <w:r>
        <w:rPr>
          <w:i/>
          <w:sz w:val="24"/>
        </w:rPr>
        <w:t>F. gramine</w:t>
      </w:r>
      <w:r>
        <w:rPr>
          <w:rFonts w:hint="eastAsia"/>
          <w:i/>
          <w:sz w:val="24"/>
        </w:rPr>
        <w:t>a</w:t>
      </w:r>
      <w:r>
        <w:rPr>
          <w:i/>
          <w:sz w:val="24"/>
        </w:rPr>
        <w:t>rum</w:t>
      </w:r>
      <w:r>
        <w:rPr>
          <w:rFonts w:hint="eastAsia"/>
          <w:i/>
          <w:sz w:val="30"/>
          <w:szCs w:val="30"/>
        </w:rPr>
        <w:t>.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7030A0"/>
          <w:kern w:val="0"/>
          <w:sz w:val="24"/>
        </w:rPr>
      </w:pPr>
      <w:r>
        <w:rPr>
          <w:rFonts w:hint="eastAsia"/>
          <w:color w:val="7030A0"/>
          <w:kern w:val="0"/>
          <w:sz w:val="24"/>
        </w:rPr>
        <w:t>.</w:t>
      </w: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spacing w:line="480" w:lineRule="auto"/>
        <w:rPr>
          <w:sz w:val="24"/>
        </w:rPr>
      </w:pPr>
    </w:p>
    <w:p>
      <w:pPr>
        <w:jc w:val="center"/>
      </w:pPr>
      <w:r>
        <w:drawing>
          <wp:inline distT="0" distB="0" distL="0" distR="0">
            <wp:extent cx="3218180" cy="3472815"/>
            <wp:effectExtent l="19050" t="0" r="762" b="0"/>
            <wp:docPr id="1" name="图片 1" descr="D:\梁文星\文档\乙酰化蛋白质组结果\5085PI_禾谷镰刀菌结题报告\5085PI_PPI镰刀菌\PPI\MCODE_cluster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梁文星\文档\乙酰化蛋白质组结果\5085PI_禾谷镰刀菌结题报告\5085PI_PPI镰刀菌\PPI\MCODE_cluster1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0181" cy="347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pPr>
        <w:spacing w:line="480" w:lineRule="auto"/>
        <w:rPr>
          <w:kern w:val="0"/>
          <w:sz w:val="24"/>
        </w:rPr>
      </w:pPr>
      <w:r>
        <w:rPr>
          <w:b/>
          <w:sz w:val="24"/>
        </w:rPr>
        <w:t>Fig. S4.</w:t>
      </w:r>
      <w:r>
        <w:rPr>
          <w:b/>
          <w:bCs/>
          <w:sz w:val="24"/>
        </w:rPr>
        <w:t xml:space="preserve"> </w:t>
      </w:r>
      <w:r>
        <w:rPr>
          <w:kern w:val="0"/>
          <w:sz w:val="24"/>
        </w:rPr>
        <w:t>Interaction network of acetylated proteins associated with ribosome.</w:t>
      </w:r>
    </w:p>
    <w:p/>
    <w:p/>
    <w:p/>
    <w:p/>
    <w:p/>
    <w:p/>
    <w:p/>
    <w:p/>
    <w:p/>
    <w:p/>
    <w:p/>
    <w:p/>
    <w:p/>
    <w:p/>
    <w:p/>
    <w:p/>
    <w:p>
      <w:pPr>
        <w:jc w:val="center"/>
      </w:pPr>
      <w:r>
        <w:drawing>
          <wp:inline distT="0" distB="0" distL="0" distR="0">
            <wp:extent cx="3663315" cy="4394835"/>
            <wp:effectExtent l="19050" t="0" r="0" b="0"/>
            <wp:docPr id="2" name="图片 2" descr="D:\梁文星\文档\乙酰化蛋白质组结果\5085PI_禾谷镰刀菌结题报告\5085PI_PPI镰刀菌\PPI\MCODE_cluster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梁文星\文档\乙酰化蛋白质组结果\5085PI_禾谷镰刀菌结题报告\5085PI_PPI镰刀菌\PPI\MCODE_cluster2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3562" cy="4395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sz w:val="24"/>
        </w:rPr>
      </w:pPr>
      <w:r>
        <w:rPr>
          <w:b/>
          <w:kern w:val="0"/>
          <w:sz w:val="24"/>
        </w:rPr>
        <w:t>Fig. S5.</w:t>
      </w:r>
      <w:r>
        <w:rPr>
          <w:kern w:val="0"/>
          <w:sz w:val="24"/>
        </w:rPr>
        <w:t xml:space="preserve"> Interaction network of acetylated proteins associated with</w:t>
      </w:r>
      <w:r>
        <w:rPr>
          <w:sz w:val="24"/>
        </w:rPr>
        <w:t xml:space="preserve"> glycolysis/gluconeogenesis.</w:t>
      </w:r>
    </w:p>
    <w:p/>
    <w:p/>
    <w:p/>
    <w:p/>
    <w:p/>
    <w:p/>
    <w:p/>
    <w:p/>
    <w:p/>
    <w:p>
      <w:pPr>
        <w:jc w:val="center"/>
      </w:pPr>
      <w:r>
        <w:drawing>
          <wp:inline distT="0" distB="0" distL="0" distR="0">
            <wp:extent cx="4080510" cy="4587875"/>
            <wp:effectExtent l="19050" t="0" r="0" b="0"/>
            <wp:docPr id="3" name="图片 3" descr="D:\梁文星\文档\乙酰化蛋白质组结果\5085PI_禾谷镰刀菌结题报告\5085PI_PPI镰刀菌\PPI\MCODE_cluster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梁文星\文档\乙酰化蛋白质组结果\5085PI_禾谷镰刀菌结题报告\5085PI_PPI镰刀菌\PPI\MCODE_cluster3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1197" cy="458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rPr>
          <w:sz w:val="24"/>
        </w:rPr>
      </w:pPr>
      <w:r>
        <w:rPr>
          <w:b/>
          <w:kern w:val="0"/>
          <w:sz w:val="24"/>
        </w:rPr>
        <w:t>Fig. S6.</w:t>
      </w:r>
      <w:r>
        <w:rPr>
          <w:kern w:val="0"/>
          <w:sz w:val="24"/>
        </w:rPr>
        <w:t xml:space="preserve"> Interaction network of acetylated proteins associated with</w:t>
      </w:r>
      <w:r>
        <w:rPr>
          <w:sz w:val="24"/>
        </w:rPr>
        <w:t xml:space="preserve"> proteasome.</w:t>
      </w:r>
    </w:p>
    <w:p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637D"/>
    <w:rsid w:val="000A1EBA"/>
    <w:rsid w:val="00106177"/>
    <w:rsid w:val="001D1F5C"/>
    <w:rsid w:val="001E5C3D"/>
    <w:rsid w:val="0023119E"/>
    <w:rsid w:val="00262F38"/>
    <w:rsid w:val="00275C00"/>
    <w:rsid w:val="0029052F"/>
    <w:rsid w:val="00324505"/>
    <w:rsid w:val="0034455A"/>
    <w:rsid w:val="003470A6"/>
    <w:rsid w:val="00355926"/>
    <w:rsid w:val="003A2192"/>
    <w:rsid w:val="00402A1C"/>
    <w:rsid w:val="00411C23"/>
    <w:rsid w:val="00413DC6"/>
    <w:rsid w:val="004C666E"/>
    <w:rsid w:val="00514CAB"/>
    <w:rsid w:val="0053675F"/>
    <w:rsid w:val="005428EF"/>
    <w:rsid w:val="00583AC4"/>
    <w:rsid w:val="00593B5C"/>
    <w:rsid w:val="005C3A4B"/>
    <w:rsid w:val="005C449B"/>
    <w:rsid w:val="005E454A"/>
    <w:rsid w:val="00601189"/>
    <w:rsid w:val="0060415F"/>
    <w:rsid w:val="00683E13"/>
    <w:rsid w:val="006A0FC1"/>
    <w:rsid w:val="006C6834"/>
    <w:rsid w:val="006D54E7"/>
    <w:rsid w:val="0072570A"/>
    <w:rsid w:val="007351F4"/>
    <w:rsid w:val="007512A0"/>
    <w:rsid w:val="00771BF9"/>
    <w:rsid w:val="007B5B27"/>
    <w:rsid w:val="008343EA"/>
    <w:rsid w:val="00925894"/>
    <w:rsid w:val="00947062"/>
    <w:rsid w:val="009961DA"/>
    <w:rsid w:val="009A0EA6"/>
    <w:rsid w:val="009B6744"/>
    <w:rsid w:val="009D239B"/>
    <w:rsid w:val="009F45DE"/>
    <w:rsid w:val="00B222F3"/>
    <w:rsid w:val="00B76E0D"/>
    <w:rsid w:val="00C37B13"/>
    <w:rsid w:val="00C9637D"/>
    <w:rsid w:val="00CA3D29"/>
    <w:rsid w:val="00DF0896"/>
    <w:rsid w:val="00E76333"/>
    <w:rsid w:val="00FE5F12"/>
    <w:rsid w:val="07436ACC"/>
    <w:rsid w:val="1BC727A1"/>
    <w:rsid w:val="661D2CF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TML Preformatted"/>
    <w:basedOn w:val="1"/>
    <w:link w:val="11"/>
    <w:qFormat/>
    <w:uiPriority w:val="0"/>
    <w:rPr>
      <w:rFonts w:ascii="Courier New" w:hAnsi="Courier New" w:cs="Courier New"/>
      <w:sz w:val="20"/>
      <w:szCs w:val="20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HTML 预设格式 Char"/>
    <w:basedOn w:val="6"/>
    <w:link w:val="5"/>
    <w:qFormat/>
    <w:uiPriority w:val="0"/>
    <w:rPr>
      <w:rFonts w:ascii="Courier New" w:hAnsi="Courier New" w:eastAsia="宋体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image" Target="media/image1.emf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4.tiff"/><Relationship Id="rId3" Type="http://schemas.openxmlformats.org/officeDocument/2006/relationships/theme" Target="theme/theme1.xml"/><Relationship Id="rId29" Type="http://schemas.openxmlformats.org/officeDocument/2006/relationships/image" Target="media/image3.tiff"/><Relationship Id="rId28" Type="http://schemas.openxmlformats.org/officeDocument/2006/relationships/image" Target="media/image2.tiff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213</Words>
  <Characters>1219</Characters>
  <Lines>10</Lines>
  <Paragraphs>2</Paragraphs>
  <ScaleCrop>false</ScaleCrop>
  <LinksUpToDate>false</LinksUpToDate>
  <CharactersWithSpaces>1430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2016-01-04T01:09:00Z</dcterms:created>
  <dc:creator>Windows 用户</dc:creator>
  <cp:lastModifiedBy>Z</cp:lastModifiedBy>
  <dcterms:modified xsi:type="dcterms:W3CDTF">2016-10-28T01:20:04Z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