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850" w:rsidRPr="00AC6A7F" w:rsidRDefault="00825850" w:rsidP="00825850">
      <w:pPr>
        <w:pStyle w:val="CommentText"/>
        <w:spacing w:after="0" w:line="360" w:lineRule="auto"/>
        <w:jc w:val="both"/>
        <w:rPr>
          <w:lang w:val="en-US"/>
        </w:rPr>
      </w:pPr>
      <w:r>
        <w:rPr>
          <w:rFonts w:ascii="Times New Roman" w:hAnsi="Times New Roman"/>
          <w:sz w:val="22"/>
          <w:szCs w:val="22"/>
          <w:lang w:val="en-US" w:eastAsia="zh-CN"/>
        </w:rPr>
        <w:t xml:space="preserve">Microorganisms </w:t>
      </w:r>
      <w:r>
        <w:rPr>
          <w:rFonts w:ascii="Times New Roman" w:hAnsi="Times New Roman"/>
          <w:sz w:val="22"/>
          <w:szCs w:val="22"/>
          <w:lang w:val="en-US"/>
        </w:rPr>
        <w:t xml:space="preserve">can develop resistance towards metals and antibiotics in the growing presence of toxic compounds in the environment (usually due to anthropic activities).This is especially true for marine bacteria inhabiting the Antarctic environment, since </w:t>
      </w:r>
      <w:r>
        <w:rPr>
          <w:rFonts w:ascii="Times New Roman" w:hAnsi="Times New Roman"/>
          <w:sz w:val="22"/>
          <w:szCs w:val="22"/>
          <w:lang w:val="en-US" w:eastAsia="zh-CN"/>
        </w:rPr>
        <w:t xml:space="preserve">heavy metals can reach the Antarctic environment through long-range transport by mass flow in the atmosphere and water. Once in the marine environment, they cannot be easily dispersed, thus accumulating in sediments, which are the natural collectors of pollutants </w:t>
      </w:r>
      <w:r>
        <w:fldChar w:fldCharType="begin"/>
      </w:r>
      <w:r w:rsidRPr="00AC6A7F">
        <w:rPr>
          <w:lang w:val="en-US"/>
        </w:rPr>
        <w:instrText>ADDIN EN.CITE &lt;EndNote&gt;&lt;Cite&gt;&lt;Author&gt;Lo Giudice&lt;/Author&gt;&lt;Year&gt;2015&lt;/Year&gt;&lt;RecNum&gt;70&lt;/RecNum&gt;&lt;DisplayText&gt;(Lo Giudice and Fani 2015)&lt;/DisplayText&gt;&lt;record&gt;&lt;rec-number&gt;70&lt;/rec-number&gt;&lt;foreign-keys&gt;&lt;key app="EN" db-id="fd2ds5fayzr5f7eetrmxsdxkf09exvvwrv9s"&gt;70&lt;/key&gt;&lt;/foreign-keys&gt;&lt;ref-type name="Journal Article"&gt;17&lt;/ref-type&gt;&lt;contributors&gt;&lt;authors&gt;&lt;author&gt;Lo Giudice, Angelina&lt;/author&gt;&lt;author&gt;Fani, Renato&lt;/author&gt;&lt;/authors&gt;&lt;/contributors&gt;&lt;titles&gt;&lt;title&gt;Cold-adapted bacteria from a coastal area of the Ross Sea (Terra Nova Bay, Antarctica): linking microbial ecology to biotechnology&lt;/title&gt;&lt;secondary-title&gt;Hydrobiologia&lt;/secondary-title&gt;&lt;alt-title&gt;Hydrobiologia&lt;/alt-title&gt;&lt;/titles&gt;&lt;periodical&gt;&lt;full-title&gt;Hydrobiologia&lt;/full-title&gt;&lt;abbr-1&gt;Hydrobiologia&lt;/abbr-1&gt;&lt;/periodical&gt;&lt;alt-periodical&gt;&lt;full-title&gt;Hydrobiologia&lt;/full-title&gt;&lt;abbr-1&gt;Hydrobiologia&lt;/abbr-1&gt;&lt;/alt-periodical&gt;&lt;pages&gt;417-441&lt;/pages&gt;&lt;volume&gt;761&lt;/volume&gt;&lt;number&gt;1&lt;/number&gt;&lt;keywords&gt;&lt;keyword&gt;Antarctic bacteria&lt;/keyword&gt;&lt;keyword&gt;Ecology&lt;/keyword&gt;&lt;keyword&gt;Biotechnology&lt;/keyword&gt;&lt;keyword&gt;Secondary metabolites&lt;/keyword&gt;&lt;/keywords&gt;&lt;dates&gt;&lt;year&gt;2015&lt;/year&gt;&lt;pub-dates&gt;&lt;date&gt;2015/11/01&lt;/date&gt;&lt;/pub-dates&gt;&lt;/dates&gt;&lt;publisher&gt;Springer International Publishing&lt;/publisher&gt;&lt;isbn&gt;0018-8158&lt;/isbn&gt;&lt;urls&gt;&lt;related-urls&gt;&lt;url&gt;http://dx.doi.org/10.1007/s10750-015-2497-5&lt;/url&gt;&lt;/related-urls&gt;&lt;/urls&gt;&lt;electronic-resource-num&gt;10.1007/s10750-015-2497-5&lt;/electronic-resource-num&gt;&lt;language&gt;English&lt;/language&gt;&lt;/record&gt;&lt;/Cite&gt;&lt;/EndNote&gt;</w:instrText>
      </w:r>
      <w:r>
        <w:fldChar w:fldCharType="separate"/>
      </w:r>
      <w:bookmarkStart w:id="0" w:name="__Fieldmark__1266_1976946768"/>
      <w:r>
        <w:rPr>
          <w:rFonts w:ascii="Times New Roman" w:hAnsi="Times New Roman"/>
          <w:sz w:val="22"/>
          <w:szCs w:val="22"/>
          <w:lang w:val="en-US" w:eastAsia="zh-CN"/>
        </w:rPr>
        <w:t>(Lo Giudice and Fani 2015)</w:t>
      </w:r>
      <w:r>
        <w:fldChar w:fldCharType="end"/>
      </w:r>
      <w:hyperlink w:anchor="_ENREF_9">
        <w:bookmarkEnd w:id="0"/>
        <w:r>
          <w:rPr>
            <w:rFonts w:ascii="Times New Roman" w:hAnsi="Times New Roman"/>
            <w:sz w:val="22"/>
            <w:szCs w:val="22"/>
            <w:lang w:val="en-US" w:eastAsia="zh-CN"/>
          </w:rPr>
          <w:t>.</w:t>
        </w:r>
      </w:hyperlink>
    </w:p>
    <w:p w:rsidR="00825850" w:rsidRDefault="00825850" w:rsidP="00825850">
      <w:pPr>
        <w:pStyle w:val="ListParagraph"/>
        <w:spacing w:after="0"/>
        <w:ind w:left="0"/>
        <w:contextualSpacing/>
        <w:jc w:val="both"/>
        <w:rPr>
          <w:rFonts w:ascii="Times New Roman" w:hAnsi="Times New Roman"/>
          <w:lang w:val="en-US"/>
        </w:rPr>
      </w:pPr>
      <w:r>
        <w:rPr>
          <w:rFonts w:ascii="Times New Roman" w:hAnsi="Times New Roman"/>
          <w:lang w:val="en-US"/>
        </w:rPr>
        <w:t xml:space="preserve">In order to check the presence of genes responsible for biocide and/or heavy metal resistance, the genome of each of the 38 </w:t>
      </w:r>
      <w:r>
        <w:rPr>
          <w:rFonts w:ascii="Times New Roman" w:hAnsi="Times New Roman"/>
          <w:i/>
          <w:iCs/>
          <w:lang w:val="en-US"/>
        </w:rPr>
        <w:t>Pseudoalteromonas</w:t>
      </w:r>
      <w:r>
        <w:rPr>
          <w:rFonts w:ascii="Times New Roman" w:hAnsi="Times New Roman"/>
          <w:lang w:val="en-US"/>
        </w:rPr>
        <w:t xml:space="preserve"> strains analyzed in this work was scanned taking advantage of the BacMet Database (Pal et al. 2014). The results of these analyses are reported in </w:t>
      </w:r>
      <w:r w:rsidRPr="00825850">
        <w:rPr>
          <w:rFonts w:ascii="Times New Roman" w:hAnsi="Times New Roman"/>
          <w:b/>
          <w:lang w:val="en-US"/>
        </w:rPr>
        <w:t>Supplementary</w:t>
      </w:r>
      <w:r>
        <w:rPr>
          <w:rFonts w:ascii="Times New Roman" w:hAnsi="Times New Roman"/>
          <w:lang w:val="en-US"/>
        </w:rPr>
        <w:t xml:space="preserve"> </w:t>
      </w:r>
      <w:r w:rsidR="00CF17A0">
        <w:rPr>
          <w:rFonts w:ascii="Times New Roman" w:hAnsi="Times New Roman"/>
          <w:b/>
          <w:bCs/>
          <w:lang w:val="en-US"/>
        </w:rPr>
        <w:t>Table 1</w:t>
      </w:r>
      <w:r>
        <w:rPr>
          <w:rFonts w:ascii="Times New Roman" w:hAnsi="Times New Roman"/>
          <w:lang w:val="en-US"/>
        </w:rPr>
        <w:t>: on average, each strain contains 46 genes related to biocide and heavy metal resistance which are associated with the resistance to 45 compounds, the 30% of which are heavy metals. The relatively high number of heavy metal resistance related genes retrieved points towards a deep impact of anthropic activities (i.e. the release of heavy metals in the environment) on the environmental microbiome and, more in general, on the structure of microbial genomes.</w:t>
      </w:r>
    </w:p>
    <w:p w:rsidR="00825850" w:rsidRDefault="00825850" w:rsidP="00825850">
      <w:pPr>
        <w:pStyle w:val="ListParagraph"/>
        <w:spacing w:after="0"/>
        <w:ind w:left="0"/>
        <w:contextualSpacing/>
        <w:jc w:val="both"/>
        <w:rPr>
          <w:rFonts w:ascii="Times New Roman" w:hAnsi="Times New Roman"/>
          <w:lang w:val="en-US"/>
        </w:rPr>
      </w:pPr>
      <w:r>
        <w:rPr>
          <w:rFonts w:ascii="Times New Roman" w:hAnsi="Times New Roman"/>
          <w:lang w:val="en-US"/>
        </w:rPr>
        <w:t xml:space="preserve">Finally, to compute the differences, in term of resistance potentialities, between the strains, we performed one hierarchical clustering for the genes presence/absence matrix and one for the compounds to which the strains are resistant (see </w:t>
      </w:r>
      <w:r>
        <w:rPr>
          <w:rFonts w:ascii="Times New Roman" w:hAnsi="Times New Roman"/>
          <w:b/>
          <w:bCs/>
          <w:lang w:val="en-US"/>
        </w:rPr>
        <w:t xml:space="preserve">Supplementary Figure </w:t>
      </w:r>
      <w:r w:rsidR="00F54CA2">
        <w:rPr>
          <w:rFonts w:ascii="Times New Roman" w:hAnsi="Times New Roman"/>
          <w:b/>
          <w:bCs/>
          <w:lang w:val="en-US"/>
        </w:rPr>
        <w:t>1</w:t>
      </w:r>
      <w:r>
        <w:rPr>
          <w:rFonts w:ascii="Times New Roman" w:hAnsi="Times New Roman"/>
          <w:lang w:val="en-US"/>
        </w:rPr>
        <w:t xml:space="preserve">). The results obtained show that there was no clear distinction between pigmented and </w:t>
      </w:r>
      <w:r w:rsidRPr="00825850">
        <w:rPr>
          <w:rFonts w:ascii="Times New Roman" w:hAnsi="Times New Roman"/>
          <w:color w:val="auto"/>
          <w:lang w:val="en-US"/>
        </w:rPr>
        <w:t xml:space="preserve">non-pigmented </w:t>
      </w:r>
      <w:r>
        <w:rPr>
          <w:rFonts w:ascii="Times New Roman" w:hAnsi="Times New Roman"/>
          <w:lang w:val="en-US"/>
        </w:rPr>
        <w:t xml:space="preserve">strains, both for gene presence and resistance specificity. </w:t>
      </w:r>
    </w:p>
    <w:p w:rsidR="00D60140" w:rsidRDefault="006120B7">
      <w:pPr>
        <w:rPr>
          <w:lang w:val="en-US"/>
        </w:rPr>
      </w:pPr>
    </w:p>
    <w:p w:rsidR="00173F2B" w:rsidRPr="00173F2B" w:rsidRDefault="00173F2B">
      <w:pPr>
        <w:rPr>
          <w:b/>
          <w:lang w:val="en-US"/>
        </w:rPr>
      </w:pPr>
      <w:r w:rsidRPr="00173F2B">
        <w:rPr>
          <w:rFonts w:ascii="Times New Roman" w:hAnsi="Times New Roman" w:cs="Times New Roman"/>
          <w:b/>
          <w:lang w:val="en-US"/>
        </w:rPr>
        <w:t>Bibliography</w:t>
      </w:r>
    </w:p>
    <w:p w:rsidR="00173F2B" w:rsidRPr="00173F2B" w:rsidRDefault="00173F2B" w:rsidP="00173F2B">
      <w:pPr>
        <w:spacing w:after="0" w:line="240" w:lineRule="auto"/>
        <w:jc w:val="both"/>
        <w:rPr>
          <w:rFonts w:cs="Calibri"/>
          <w:lang w:val="en-US"/>
        </w:rPr>
      </w:pPr>
      <w:bookmarkStart w:id="1" w:name="_ENREF_9"/>
      <w:r>
        <w:rPr>
          <w:rFonts w:cs="Calibri"/>
        </w:rPr>
        <w:t xml:space="preserve">Lo Giudice A, Fani R 2015. </w:t>
      </w:r>
      <w:r>
        <w:rPr>
          <w:rFonts w:cs="Calibri"/>
          <w:lang w:val="en-US"/>
        </w:rPr>
        <w:t xml:space="preserve">Cold-adapted bacteria from a coastal area of the Ross Sea (Terra Nova Bay, Antarctica): linking microbial ecology to biotechnology. </w:t>
      </w:r>
      <w:bookmarkEnd w:id="1"/>
      <w:r w:rsidRPr="00173F2B">
        <w:rPr>
          <w:rFonts w:cs="Calibri"/>
          <w:lang w:val="en-US"/>
        </w:rPr>
        <w:t>Hydrobiologia 761: 417-441. doi: 10.1007/s10750-015-2497-5</w:t>
      </w:r>
    </w:p>
    <w:p w:rsidR="00173F2B" w:rsidRDefault="00173F2B" w:rsidP="00173F2B">
      <w:pPr>
        <w:spacing w:after="0" w:line="240" w:lineRule="auto"/>
        <w:jc w:val="both"/>
        <w:rPr>
          <w:rFonts w:cs="Calibri"/>
          <w:lang w:val="en-US"/>
        </w:rPr>
      </w:pPr>
      <w:r>
        <w:rPr>
          <w:rFonts w:cs="Calibri"/>
          <w:lang w:val="en-US"/>
        </w:rPr>
        <w:t>Pal C, Bengtsson-Palme J, Rensing C, Kristiansson E, Larsson DG 2014. BacMet: antibacterial biocide and metal resistance genes database. Nucleic Acids Res 42: D737-743. doi: 10.1093/nar/gkt1252</w:t>
      </w:r>
    </w:p>
    <w:p w:rsidR="00173F2B" w:rsidRDefault="00173F2B">
      <w:pPr>
        <w:rPr>
          <w:lang w:val="en-US"/>
        </w:rPr>
      </w:pPr>
    </w:p>
    <w:p w:rsidR="00173F2B" w:rsidRDefault="00173F2B">
      <w:pPr>
        <w:rPr>
          <w:lang w:val="en-US"/>
        </w:rPr>
      </w:pPr>
    </w:p>
    <w:p w:rsidR="00173F2B" w:rsidRDefault="00173F2B">
      <w:pPr>
        <w:rPr>
          <w:lang w:val="en-US"/>
        </w:rPr>
      </w:pPr>
      <w:r>
        <w:rPr>
          <w:lang w:val="en-US"/>
        </w:rPr>
        <w:br w:type="page"/>
      </w:r>
    </w:p>
    <w:p w:rsidR="00173F2B" w:rsidRDefault="00173F2B">
      <w:pPr>
        <w:rPr>
          <w:lang w:val="en-US"/>
        </w:rPr>
      </w:pPr>
      <w:r>
        <w:rPr>
          <w:noProof/>
          <w:lang w:eastAsia="it-IT"/>
        </w:rPr>
        <w:lastRenderedPageBreak/>
        <w:drawing>
          <wp:inline distT="0" distB="0" distL="0" distR="0">
            <wp:extent cx="6120130" cy="78422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9 - BacMet.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20130" cy="7842250"/>
                    </a:xfrm>
                    <a:prstGeom prst="rect">
                      <a:avLst/>
                    </a:prstGeom>
                  </pic:spPr>
                </pic:pic>
              </a:graphicData>
            </a:graphic>
          </wp:inline>
        </w:drawing>
      </w:r>
    </w:p>
    <w:p w:rsidR="00173F2B" w:rsidRDefault="003D4ED0" w:rsidP="00173F2B">
      <w:pPr>
        <w:spacing w:after="0"/>
        <w:ind w:left="357"/>
        <w:jc w:val="both"/>
        <w:rPr>
          <w:rFonts w:ascii="Times New Roman" w:hAnsi="Times New Roman"/>
          <w:sz w:val="24"/>
          <w:szCs w:val="24"/>
          <w:lang w:val="en-US"/>
        </w:rPr>
      </w:pPr>
      <w:r>
        <w:rPr>
          <w:rFonts w:ascii="Times New Roman" w:hAnsi="Times New Roman"/>
          <w:b/>
          <w:sz w:val="24"/>
          <w:szCs w:val="24"/>
          <w:lang w:val="en-US"/>
        </w:rPr>
        <w:t xml:space="preserve">Supplementary Figure </w:t>
      </w:r>
      <w:r w:rsidR="006120B7">
        <w:rPr>
          <w:rFonts w:ascii="Times New Roman" w:hAnsi="Times New Roman"/>
          <w:b/>
          <w:sz w:val="24"/>
          <w:szCs w:val="24"/>
          <w:lang w:val="en-US"/>
        </w:rPr>
        <w:t>1</w:t>
      </w:r>
      <w:bookmarkStart w:id="2" w:name="_GoBack"/>
      <w:bookmarkEnd w:id="2"/>
      <w:r w:rsidR="00173F2B">
        <w:rPr>
          <w:rFonts w:ascii="Times New Roman" w:hAnsi="Times New Roman"/>
          <w:b/>
          <w:sz w:val="24"/>
          <w:szCs w:val="24"/>
          <w:lang w:val="en-US"/>
        </w:rPr>
        <w:t xml:space="preserve">. </w:t>
      </w:r>
      <w:r w:rsidR="00173F2B">
        <w:rPr>
          <w:rFonts w:ascii="Times New Roman" w:hAnsi="Times New Roman"/>
          <w:sz w:val="24"/>
          <w:szCs w:val="24"/>
          <w:lang w:val="en-US"/>
        </w:rPr>
        <w:t>Heatmap of resistance genes (A) and related biocides (B) presence/absence according to BacMet database. The strain names are colored according to the pigmentation.</w:t>
      </w:r>
    </w:p>
    <w:p w:rsidR="00173F2B" w:rsidRPr="00825850" w:rsidRDefault="00173F2B">
      <w:pPr>
        <w:rPr>
          <w:lang w:val="en-US"/>
        </w:rPr>
      </w:pPr>
    </w:p>
    <w:sectPr w:rsidR="00173F2B" w:rsidRPr="0082585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850"/>
    <w:rsid w:val="00173F2B"/>
    <w:rsid w:val="002E6326"/>
    <w:rsid w:val="003D4ED0"/>
    <w:rsid w:val="006120B7"/>
    <w:rsid w:val="007F581F"/>
    <w:rsid w:val="00825850"/>
    <w:rsid w:val="00CF17A0"/>
    <w:rsid w:val="00F54C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7FF34A-FABB-4047-9E6C-68FE172C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1">
    <w:name w:val="Comment Text Char1"/>
    <w:basedOn w:val="DefaultParagraphFont"/>
    <w:link w:val="CommentText"/>
    <w:uiPriority w:val="99"/>
    <w:qFormat/>
    <w:rsid w:val="00825850"/>
    <w:rPr>
      <w:color w:val="00000A"/>
      <w:sz w:val="20"/>
      <w:szCs w:val="20"/>
    </w:rPr>
  </w:style>
  <w:style w:type="paragraph" w:styleId="ListParagraph">
    <w:name w:val="List Paragraph"/>
    <w:basedOn w:val="Normal"/>
    <w:uiPriority w:val="99"/>
    <w:qFormat/>
    <w:rsid w:val="00825850"/>
    <w:pPr>
      <w:suppressAutoHyphens/>
      <w:spacing w:after="115" w:line="360" w:lineRule="auto"/>
      <w:ind w:left="720"/>
    </w:pPr>
    <w:rPr>
      <w:rFonts w:ascii="Calibri" w:eastAsia="Times New Roman" w:hAnsi="Calibri" w:cs="Times New Roman"/>
      <w:color w:val="00000A"/>
    </w:rPr>
  </w:style>
  <w:style w:type="paragraph" w:styleId="CommentText">
    <w:name w:val="annotation text"/>
    <w:basedOn w:val="Normal"/>
    <w:link w:val="CommentTextChar1"/>
    <w:uiPriority w:val="99"/>
    <w:qFormat/>
    <w:rsid w:val="00825850"/>
    <w:pPr>
      <w:suppressAutoHyphens/>
      <w:spacing w:after="200" w:line="100" w:lineRule="atLeast"/>
    </w:pPr>
    <w:rPr>
      <w:color w:val="00000A"/>
      <w:sz w:val="20"/>
      <w:szCs w:val="20"/>
    </w:rPr>
  </w:style>
  <w:style w:type="character" w:customStyle="1" w:styleId="CommentTextChar">
    <w:name w:val="Comment Text Char"/>
    <w:basedOn w:val="DefaultParagraphFont"/>
    <w:uiPriority w:val="99"/>
    <w:semiHidden/>
    <w:rsid w:val="0082585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5185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578</Words>
  <Characters>3295</Characters>
  <Application>Microsoft Office Word</Application>
  <DocSecurity>0</DocSecurity>
  <Lines>27</Lines>
  <Paragraphs>7</Paragraphs>
  <ScaleCrop>false</ScaleCrop>
  <Company/>
  <LinksUpToDate>false</LinksUpToDate>
  <CharactersWithSpaces>3866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Emanuele Bosi</dc:creator>
  <cp:keywords/>
  <dc:description/>
  <cp:lastModifiedBy>Emanuele Bosi</cp:lastModifiedBy>
  <cp:revision>6</cp:revision>
  <dcterms:created xsi:type="dcterms:W3CDTF">2016-01-27T14:56:00Z</dcterms:created>
  <dcterms:modified xsi:type="dcterms:W3CDTF">2016-01-28T09:20:00Z</dcterms:modified>
</cp:coreProperties>
</file>