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0" w:type="dxa"/>
        <w:tblCellMar>
          <w:left w:w="70" w:type="dxa"/>
          <w:right w:w="70" w:type="dxa"/>
        </w:tblCellMar>
        <w:tblLook w:val="04A0" w:firstRow="1" w:lastRow="0" w:firstColumn="1" w:lastColumn="0" w:noHBand="0" w:noVBand="1"/>
      </w:tblPr>
      <w:tblGrid>
        <w:gridCol w:w="738"/>
        <w:gridCol w:w="2000"/>
        <w:gridCol w:w="1220"/>
        <w:gridCol w:w="1020"/>
        <w:gridCol w:w="4442"/>
      </w:tblGrid>
      <w:tr w:rsidR="001A2B88" w:rsidRPr="00CD179A" w:rsidTr="001A2B88">
        <w:trPr>
          <w:trHeight w:val="430"/>
        </w:trPr>
        <w:tc>
          <w:tcPr>
            <w:tcW w:w="9420" w:type="dxa"/>
            <w:gridSpan w:val="5"/>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bookmarkStart w:id="0" w:name="_GoBack"/>
            <w:r w:rsidRPr="00CD179A">
              <w:rPr>
                <w:rFonts w:ascii="Calibri" w:eastAsia="Times New Roman" w:hAnsi="Calibri" w:cs="Times New Roman"/>
                <w:b/>
                <w:color w:val="000000"/>
                <w:sz w:val="20"/>
                <w:szCs w:val="20"/>
                <w:lang w:val="en-GB" w:eastAsia="it-IT"/>
              </w:rPr>
              <w:t>Table S1</w:t>
            </w:r>
            <w:r w:rsidRPr="001A2B88">
              <w:rPr>
                <w:rFonts w:ascii="Calibri" w:eastAsia="Times New Roman" w:hAnsi="Calibri" w:cs="Times New Roman"/>
                <w:color w:val="000000"/>
                <w:sz w:val="20"/>
                <w:szCs w:val="20"/>
                <w:lang w:val="en-GB" w:eastAsia="it-IT"/>
              </w:rPr>
              <w:t xml:space="preserve">  </w:t>
            </w:r>
            <w:bookmarkEnd w:id="0"/>
            <w:r w:rsidRPr="001A2B88">
              <w:rPr>
                <w:rFonts w:ascii="Calibri" w:eastAsia="Times New Roman" w:hAnsi="Calibri" w:cs="Times New Roman"/>
                <w:color w:val="000000"/>
                <w:sz w:val="20"/>
                <w:szCs w:val="20"/>
                <w:lang w:val="en-GB" w:eastAsia="it-IT"/>
              </w:rPr>
              <w:t>List of detectd QTLs for yellow index and/or yellow pigment content in wheat.</w:t>
            </w:r>
          </w:p>
        </w:tc>
      </w:tr>
      <w:tr w:rsidR="001A2B88" w:rsidRPr="001A2B88" w:rsidTr="004868A9">
        <w:trPr>
          <w:trHeight w:val="832"/>
        </w:trPr>
        <w:tc>
          <w:tcPr>
            <w:tcW w:w="68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Chrom</w:t>
            </w:r>
            <w:proofErr w:type="spellEnd"/>
            <w:r w:rsidRPr="001A2B88">
              <w:rPr>
                <w:rFonts w:ascii="Calibri" w:eastAsia="Times New Roman" w:hAnsi="Calibri" w:cs="Times New Roman"/>
                <w:color w:val="000000"/>
                <w:sz w:val="20"/>
                <w:szCs w:val="20"/>
                <w:lang w:eastAsia="it-IT"/>
              </w:rPr>
              <w:t>.</w:t>
            </w:r>
          </w:p>
        </w:tc>
        <w:tc>
          <w:tcPr>
            <w:tcW w:w="200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Marker,                  marker </w:t>
            </w:r>
            <w:proofErr w:type="spellStart"/>
            <w:r w:rsidRPr="001A2B88">
              <w:rPr>
                <w:rFonts w:ascii="Calibri" w:eastAsia="Times New Roman" w:hAnsi="Calibri" w:cs="Times New Roman"/>
                <w:color w:val="000000"/>
                <w:sz w:val="20"/>
                <w:szCs w:val="20"/>
                <w:lang w:eastAsia="it-IT"/>
              </w:rPr>
              <w:t>interval</w:t>
            </w:r>
            <w:proofErr w:type="spellEnd"/>
            <w:r w:rsidRPr="001A2B88">
              <w:rPr>
                <w:rFonts w:ascii="Calibri" w:eastAsia="Times New Roman" w:hAnsi="Calibri" w:cs="Times New Roman"/>
                <w:color w:val="000000"/>
                <w:sz w:val="20"/>
                <w:szCs w:val="20"/>
                <w:lang w:eastAsia="it-IT"/>
              </w:rPr>
              <w:t xml:space="preserve"> </w:t>
            </w:r>
          </w:p>
        </w:tc>
        <w:tc>
          <w:tcPr>
            <w:tcW w:w="122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Map</w:t>
            </w:r>
            <w:proofErr w:type="spellEnd"/>
            <w:r w:rsidRPr="001A2B88">
              <w:rPr>
                <w:rFonts w:ascii="Calibri" w:eastAsia="Times New Roman" w:hAnsi="Calibri" w:cs="Times New Roman"/>
                <w:color w:val="000000"/>
                <w:sz w:val="20"/>
                <w:szCs w:val="20"/>
                <w:lang w:eastAsia="it-IT"/>
              </w:rPr>
              <w:t xml:space="preserve"> position*</w:t>
            </w:r>
          </w:p>
        </w:tc>
        <w:tc>
          <w:tcPr>
            <w:tcW w:w="102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Variation</w:t>
            </w:r>
            <w:proofErr w:type="spellEnd"/>
            <w:r w:rsidRPr="001A2B88">
              <w:rPr>
                <w:rFonts w:ascii="Calibri" w:eastAsia="Times New Roman" w:hAnsi="Calibri" w:cs="Times New Roman"/>
                <w:color w:val="000000"/>
                <w:sz w:val="20"/>
                <w:szCs w:val="20"/>
                <w:lang w:eastAsia="it-IT"/>
              </w:rPr>
              <w:t xml:space="preserve"> </w:t>
            </w:r>
            <w:proofErr w:type="spellStart"/>
            <w:r w:rsidRPr="001A2B88">
              <w:rPr>
                <w:rFonts w:ascii="Calibri" w:eastAsia="Times New Roman" w:hAnsi="Calibri" w:cs="Times New Roman"/>
                <w:color w:val="000000"/>
                <w:sz w:val="20"/>
                <w:szCs w:val="20"/>
                <w:lang w:eastAsia="it-IT"/>
              </w:rPr>
              <w:t>explained</w:t>
            </w:r>
            <w:proofErr w:type="spellEnd"/>
            <w:r w:rsidRPr="001A2B88">
              <w:rPr>
                <w:rFonts w:ascii="Calibri" w:eastAsia="Times New Roman" w:hAnsi="Calibri" w:cs="Times New Roman"/>
                <w:color w:val="000000"/>
                <w:sz w:val="20"/>
                <w:szCs w:val="20"/>
                <w:lang w:eastAsia="it-IT"/>
              </w:rPr>
              <w:t xml:space="preserve">          (R</w:t>
            </w:r>
            <w:r w:rsidRPr="001A2B88">
              <w:rPr>
                <w:rFonts w:ascii="Calibri" w:eastAsia="Times New Roman" w:hAnsi="Calibri" w:cs="Times New Roman"/>
                <w:color w:val="000000"/>
                <w:sz w:val="20"/>
                <w:szCs w:val="20"/>
                <w:vertAlign w:val="superscript"/>
                <w:lang w:eastAsia="it-IT"/>
              </w:rPr>
              <w:t>2</w:t>
            </w:r>
            <w:r w:rsidRPr="001A2B88">
              <w:rPr>
                <w:rFonts w:ascii="Calibri" w:eastAsia="Times New Roman" w:hAnsi="Calibri" w:cs="Times New Roman"/>
                <w:color w:val="000000"/>
                <w:sz w:val="20"/>
                <w:szCs w:val="20"/>
                <w:lang w:eastAsia="it-IT"/>
              </w:rPr>
              <w:t>%)</w:t>
            </w:r>
          </w:p>
        </w:tc>
        <w:tc>
          <w:tcPr>
            <w:tcW w:w="450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jc w:val="center"/>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References</w:t>
            </w:r>
            <w:proofErr w:type="spellEnd"/>
          </w:p>
        </w:tc>
      </w:tr>
      <w:tr w:rsidR="001A2B88" w:rsidRPr="001A2B88" w:rsidTr="001A2B88">
        <w:trPr>
          <w:trHeight w:val="30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wmc469-cfd59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43.5-46.1</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2009b; </w:t>
            </w:r>
            <w:r w:rsidRPr="001A2B88">
              <w:rPr>
                <w:rFonts w:ascii="Calibri" w:eastAsia="Times New Roman" w:hAnsi="Calibri" w:cs="Times New Roman"/>
                <w:i/>
                <w:iCs/>
                <w:color w:val="000000"/>
                <w:sz w:val="20"/>
                <w:szCs w:val="20"/>
                <w:lang w:eastAsia="it-IT"/>
              </w:rPr>
              <w:t>Zhao et al.,</w:t>
            </w:r>
            <w:r w:rsidRPr="001A2B88">
              <w:rPr>
                <w:rFonts w:ascii="Calibri" w:eastAsia="Times New Roman" w:hAnsi="Calibri" w:cs="Times New Roman"/>
                <w:color w:val="000000"/>
                <w:sz w:val="20"/>
                <w:szCs w:val="20"/>
                <w:lang w:eastAsia="it-IT"/>
              </w:rPr>
              <w:t xml:space="preserve"> 2013</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cfa2147-gwm99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120-127.4</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5-20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Patil</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2013 </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wmc626-barc302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34.6-53.7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5-11</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2012; Zhao et al., 2013;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2015; </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IWB73028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100-110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13-27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2014</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IWB62262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140-152</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6-12</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2013;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gwm425-gwm372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99-107.7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11-24</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Pozniak</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2007; </w:t>
            </w:r>
            <w:proofErr w:type="spellStart"/>
            <w:r w:rsidRPr="001A2B88">
              <w:rPr>
                <w:rFonts w:ascii="Calibri" w:eastAsia="Times New Roman" w:hAnsi="Calibri" w:cs="Times New Roman"/>
                <w:color w:val="000000"/>
                <w:sz w:val="20"/>
                <w:szCs w:val="20"/>
                <w:lang w:eastAsia="it-IT"/>
              </w:rPr>
              <w:t>Blanco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2014;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IWB58832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143-147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6-10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IWB51274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196-207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7-8</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wmc382-wmc764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0-2.8</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2009a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IWB9689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70-75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10-13</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IWB73809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94-113</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10-16</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2014;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barc57-IWB29389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5.6-9.6</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11-13</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Parker et al., 1998;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et al., 2014</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gwm666</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60-70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21</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Crawford et al., 2011a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barc218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30-35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Times New Roman" w:eastAsia="Times New Roman" w:hAnsi="Times New Roman" w:cs="Times New Roman"/>
                <w:sz w:val="20"/>
                <w:szCs w:val="20"/>
                <w:lang w:eastAsia="it-IT"/>
              </w:rPr>
            </w:pPr>
            <w:proofErr w:type="spellStart"/>
            <w:r w:rsidRPr="001A2B88">
              <w:rPr>
                <w:rFonts w:ascii="Times New Roman" w:eastAsia="Times New Roman" w:hAnsi="Times New Roman" w:cs="Times New Roman"/>
                <w:sz w:val="20"/>
                <w:szCs w:val="20"/>
                <w:lang w:eastAsia="it-IT"/>
              </w:rPr>
              <w:t>Patil</w:t>
            </w:r>
            <w:proofErr w:type="spellEnd"/>
            <w:r w:rsidRPr="001A2B88">
              <w:rPr>
                <w:rFonts w:ascii="Times New Roman" w:eastAsia="Times New Roman" w:hAnsi="Times New Roman" w:cs="Times New Roman"/>
                <w:sz w:val="20"/>
                <w:szCs w:val="20"/>
                <w:lang w:eastAsia="it-IT"/>
              </w:rPr>
              <w:t xml:space="preserve"> et al., 2008</w:t>
            </w:r>
          </w:p>
        </w:tc>
      </w:tr>
      <w:tr w:rsidR="001A2B88" w:rsidRPr="00CD179A"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gwm566-gwm285</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59-76.9</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r w:rsidRPr="001A2B88">
              <w:rPr>
                <w:rFonts w:ascii="Calibri" w:eastAsia="Times New Roman" w:hAnsi="Calibri" w:cs="Times New Roman"/>
                <w:color w:val="000000"/>
                <w:sz w:val="20"/>
                <w:szCs w:val="20"/>
                <w:lang w:val="en-GB" w:eastAsia="it-IT"/>
              </w:rPr>
              <w:t xml:space="preserve">Mares and Campbell, 2001; Howitt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2009</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gwm299-barc84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192-198</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9-17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Blanco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2011</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gwm192-wmc617</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63.6-81</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12</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2012</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gwm160-barc52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160-172</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4-12</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2009b; </w:t>
            </w: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et al., 2012;  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2013</w:t>
            </w:r>
          </w:p>
        </w:tc>
      </w:tr>
      <w:tr w:rsidR="001A2B88" w:rsidRPr="00CD179A"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wmc617-IWA7311</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15-20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9-10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r w:rsidRPr="001A2B88">
              <w:rPr>
                <w:rFonts w:ascii="Calibri" w:eastAsia="Times New Roman" w:hAnsi="Calibri" w:cs="Times New Roman"/>
                <w:color w:val="000000"/>
                <w:sz w:val="20"/>
                <w:szCs w:val="20"/>
                <w:lang w:val="en-GB" w:eastAsia="it-IT"/>
              </w:rPr>
              <w:t xml:space="preserve">Zhang and Dubcovsky, 2008; Zhai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2015 </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gwm495</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60-65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Pozniak</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2007</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IWA7361</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12-17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gwm304-IWB73092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45-60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7-18</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2009a; </w:t>
            </w:r>
            <w:proofErr w:type="spellStart"/>
            <w:r w:rsidRPr="001A2B88">
              <w:rPr>
                <w:rFonts w:ascii="Calibri" w:eastAsia="Times New Roman" w:hAnsi="Calibri" w:cs="Times New Roman"/>
                <w:color w:val="000000"/>
                <w:sz w:val="20"/>
                <w:szCs w:val="20"/>
                <w:lang w:eastAsia="it-IT"/>
              </w:rPr>
              <w:t>Blanco</w:t>
            </w:r>
            <w:proofErr w:type="spellEnd"/>
            <w:r w:rsidRPr="001A2B88">
              <w:rPr>
                <w:rFonts w:ascii="Calibri" w:eastAsia="Times New Roman" w:hAnsi="Calibri" w:cs="Times New Roman"/>
                <w:i/>
                <w:iCs/>
                <w:color w:val="000000"/>
                <w:sz w:val="20"/>
                <w:szCs w:val="20"/>
                <w:lang w:eastAsia="it-IT"/>
              </w:rPr>
              <w:t xml:space="preserve"> et al</w:t>
            </w:r>
            <w:r w:rsidRPr="001A2B88">
              <w:rPr>
                <w:rFonts w:ascii="Calibri" w:eastAsia="Times New Roman" w:hAnsi="Calibri" w:cs="Times New Roman"/>
                <w:color w:val="000000"/>
                <w:sz w:val="20"/>
                <w:szCs w:val="20"/>
                <w:lang w:eastAsia="it-IT"/>
              </w:rPr>
              <w:t xml:space="preserve">., 2011; </w:t>
            </w: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2012;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2014</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IWB26864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84-91.6</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gwm540-barc74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38-56</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6-14</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Howitt</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2009; Crawford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2011a; </w:t>
            </w:r>
            <w:proofErr w:type="spellStart"/>
            <w:r w:rsidRPr="001A2B88">
              <w:rPr>
                <w:rFonts w:ascii="Calibri" w:eastAsia="Times New Roman" w:hAnsi="Calibri" w:cs="Times New Roman"/>
                <w:color w:val="000000"/>
                <w:sz w:val="20"/>
                <w:szCs w:val="20"/>
                <w:lang w:eastAsia="it-IT"/>
              </w:rPr>
              <w:t>Tsilo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 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2013;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gwm499-BE495277</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90-94</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2012</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gwm408-barc232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140.3-146.3</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8-22</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Patil</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w:t>
            </w:r>
            <w:proofErr w:type="spellStart"/>
            <w:r w:rsidRPr="001A2B88">
              <w:rPr>
                <w:rFonts w:ascii="Calibri" w:eastAsia="Times New Roman" w:hAnsi="Calibri" w:cs="Times New Roman"/>
                <w:color w:val="000000"/>
                <w:sz w:val="20"/>
                <w:szCs w:val="20"/>
                <w:lang w:eastAsia="it-IT"/>
              </w:rPr>
              <w:t>Tsilo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2014 </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gwm132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53-63</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23</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2012</w:t>
            </w:r>
          </w:p>
        </w:tc>
      </w:tr>
      <w:tr w:rsidR="001A2B88" w:rsidRPr="00CD179A"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barc113-wmc553</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73-95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7-43</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r w:rsidRPr="001A2B88">
              <w:rPr>
                <w:rFonts w:ascii="Calibri" w:eastAsia="Times New Roman" w:hAnsi="Calibri" w:cs="Times New Roman"/>
                <w:color w:val="000000"/>
                <w:sz w:val="20"/>
                <w:szCs w:val="20"/>
                <w:lang w:val="en-GB" w:eastAsia="it-IT"/>
              </w:rPr>
              <w:t xml:space="preserve">Zhang and Dubcovsky, 2008; Zhang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2008; Roncallo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2012; Zhao </w:t>
            </w:r>
            <w:r w:rsidRPr="001A2B88">
              <w:rPr>
                <w:rFonts w:ascii="Calibri" w:eastAsia="Times New Roman" w:hAnsi="Calibri" w:cs="Times New Roman"/>
                <w:i/>
                <w:iCs/>
                <w:color w:val="000000"/>
                <w:sz w:val="20"/>
                <w:szCs w:val="20"/>
                <w:lang w:val="en-GB" w:eastAsia="it-IT"/>
              </w:rPr>
              <w:t xml:space="preserve">et al., </w:t>
            </w:r>
            <w:r w:rsidRPr="001A2B88">
              <w:rPr>
                <w:rFonts w:ascii="Calibri" w:eastAsia="Times New Roman" w:hAnsi="Calibri" w:cs="Times New Roman"/>
                <w:color w:val="000000"/>
                <w:sz w:val="20"/>
                <w:szCs w:val="20"/>
                <w:lang w:val="en-GB" w:eastAsia="it-IT"/>
              </w:rPr>
              <w:t xml:space="preserve">2013 </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BE483091_472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114-124</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2012</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gwm193-wmc539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74-90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Pozniak</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2007; </w:t>
            </w: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IWB4109</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131.8</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8-11</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7AS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IWB38528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6-14</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2015; </w:t>
            </w: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i/>
                <w:iCs/>
                <w:color w:val="000000"/>
                <w:sz w:val="20"/>
                <w:szCs w:val="20"/>
                <w:lang w:eastAsia="it-IT"/>
              </w:rPr>
              <w:t xml:space="preserve"> et al</w:t>
            </w:r>
            <w:r w:rsidRPr="001A2B88">
              <w:rPr>
                <w:rFonts w:ascii="Calibri" w:eastAsia="Times New Roman" w:hAnsi="Calibri" w:cs="Times New Roman"/>
                <w:color w:val="000000"/>
                <w:sz w:val="20"/>
                <w:szCs w:val="20"/>
                <w:lang w:eastAsia="it-IT"/>
              </w:rPr>
              <w:t>., 2012</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barc174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90-110</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Elouafi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2002</w:t>
            </w:r>
          </w:p>
        </w:tc>
      </w:tr>
      <w:tr w:rsidR="001A2B88" w:rsidRPr="001A2B88" w:rsidTr="001A2B88">
        <w:trPr>
          <w:trHeight w:val="78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gwn282-IWB59875</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170-183</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13-60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and </w:t>
            </w:r>
            <w:proofErr w:type="spellStart"/>
            <w:r w:rsidRPr="001A2B88">
              <w:rPr>
                <w:rFonts w:ascii="Calibri" w:eastAsia="Times New Roman" w:hAnsi="Calibri" w:cs="Times New Roman"/>
                <w:color w:val="000000"/>
                <w:sz w:val="20"/>
                <w:szCs w:val="20"/>
                <w:lang w:eastAsia="it-IT"/>
              </w:rPr>
              <w:t>Dubcovsky</w:t>
            </w:r>
            <w:proofErr w:type="spellEnd"/>
            <w:r w:rsidRPr="001A2B88">
              <w:rPr>
                <w:rFonts w:ascii="Calibri" w:eastAsia="Times New Roman" w:hAnsi="Calibri" w:cs="Times New Roman"/>
                <w:color w:val="000000"/>
                <w:sz w:val="20"/>
                <w:szCs w:val="20"/>
                <w:lang w:eastAsia="it-IT"/>
              </w:rPr>
              <w:t xml:space="preserve">, 2008; 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w:t>
            </w:r>
            <w:proofErr w:type="spellStart"/>
            <w:r w:rsidRPr="001A2B88">
              <w:rPr>
                <w:rFonts w:ascii="Calibri" w:eastAsia="Times New Roman" w:hAnsi="Calibri" w:cs="Times New Roman"/>
                <w:color w:val="000000"/>
                <w:sz w:val="20"/>
                <w:szCs w:val="20"/>
                <w:lang w:eastAsia="it-IT"/>
              </w:rPr>
              <w:t>Blanco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 Crawford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2011a;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2014  </w:t>
            </w:r>
          </w:p>
        </w:tc>
      </w:tr>
      <w:tr w:rsidR="001A2B88" w:rsidRPr="00CD179A" w:rsidTr="001A2B88">
        <w:trPr>
          <w:trHeight w:val="18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lastRenderedPageBreak/>
              <w:t>7AL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cfa2040-gwm344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192-206</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13-60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r w:rsidRPr="001A2B88">
              <w:rPr>
                <w:rFonts w:ascii="Calibri" w:eastAsia="Times New Roman" w:hAnsi="Calibri" w:cs="Times New Roman"/>
                <w:color w:val="000000"/>
                <w:sz w:val="20"/>
                <w:szCs w:val="20"/>
                <w:lang w:val="en-GB" w:eastAsia="it-IT"/>
              </w:rPr>
              <w:t xml:space="preserve">Parker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1998; Mares and Campbell, 2001; Elouafi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2002; He</w:t>
            </w:r>
            <w:r w:rsidRPr="001A2B88">
              <w:rPr>
                <w:rFonts w:ascii="Calibri" w:eastAsia="Times New Roman" w:hAnsi="Calibri" w:cs="Times New Roman"/>
                <w:i/>
                <w:iCs/>
                <w:color w:val="000000"/>
                <w:sz w:val="20"/>
                <w:szCs w:val="20"/>
                <w:lang w:val="en-GB" w:eastAsia="it-IT"/>
              </w:rPr>
              <w:t xml:space="preserve"> et al.</w:t>
            </w:r>
            <w:r w:rsidRPr="001A2B88">
              <w:rPr>
                <w:rFonts w:ascii="Calibri" w:eastAsia="Times New Roman" w:hAnsi="Calibri" w:cs="Times New Roman"/>
                <w:color w:val="000000"/>
                <w:sz w:val="20"/>
                <w:szCs w:val="20"/>
                <w:lang w:val="en-GB" w:eastAsia="it-IT"/>
              </w:rPr>
              <w:t xml:space="preserve">, 2008; Patil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2008; Singh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2009;  He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2009b; Howitt </w:t>
            </w:r>
            <w:r w:rsidRPr="001A2B88">
              <w:rPr>
                <w:rFonts w:ascii="Calibri" w:eastAsia="Times New Roman" w:hAnsi="Calibri" w:cs="Times New Roman"/>
                <w:i/>
                <w:iCs/>
                <w:color w:val="000000"/>
                <w:sz w:val="20"/>
                <w:szCs w:val="20"/>
                <w:lang w:val="en-GB" w:eastAsia="it-IT"/>
              </w:rPr>
              <w:t xml:space="preserve">et al., </w:t>
            </w:r>
            <w:r w:rsidRPr="001A2B88">
              <w:rPr>
                <w:rFonts w:ascii="Calibri" w:eastAsia="Times New Roman" w:hAnsi="Calibri" w:cs="Times New Roman"/>
                <w:color w:val="000000"/>
                <w:sz w:val="20"/>
                <w:szCs w:val="20"/>
                <w:lang w:val="en-GB" w:eastAsia="it-IT"/>
              </w:rPr>
              <w:t xml:space="preserve">2009; Zhang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2009b; Blanco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2011;  Crawford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2011a; Roncallo</w:t>
            </w:r>
            <w:r w:rsidRPr="001A2B88">
              <w:rPr>
                <w:rFonts w:ascii="Calibri" w:eastAsia="Times New Roman" w:hAnsi="Calibri" w:cs="Times New Roman"/>
                <w:i/>
                <w:iCs/>
                <w:color w:val="000000"/>
                <w:sz w:val="20"/>
                <w:szCs w:val="20"/>
                <w:lang w:val="en-GB" w:eastAsia="it-IT"/>
              </w:rPr>
              <w:t xml:space="preserve"> et al</w:t>
            </w:r>
            <w:r w:rsidRPr="001A2B88">
              <w:rPr>
                <w:rFonts w:ascii="Calibri" w:eastAsia="Times New Roman" w:hAnsi="Calibri" w:cs="Times New Roman"/>
                <w:color w:val="000000"/>
                <w:sz w:val="20"/>
                <w:szCs w:val="20"/>
                <w:lang w:val="en-GB" w:eastAsia="it-IT"/>
              </w:rPr>
              <w:t xml:space="preserve">., 2012; Crawford and Francki, 2013b; Zhai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2015; Campos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2016</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IWB34468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0-5</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6-8</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52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7BS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wmc546-wmc335</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55-73</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9-15</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Patil</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2008; Crawford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2011a; </w:t>
            </w:r>
            <w:proofErr w:type="spellStart"/>
            <w:r w:rsidRPr="001A2B88">
              <w:rPr>
                <w:rFonts w:ascii="Calibri" w:eastAsia="Times New Roman" w:hAnsi="Calibri" w:cs="Times New Roman"/>
                <w:color w:val="000000"/>
                <w:sz w:val="20"/>
                <w:szCs w:val="20"/>
                <w:lang w:eastAsia="it-IT"/>
              </w:rPr>
              <w:t>Roncallo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2012</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IWB6544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161-167</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4-29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2013; </w:t>
            </w:r>
            <w:proofErr w:type="spellStart"/>
            <w:r w:rsidRPr="001A2B88">
              <w:rPr>
                <w:rFonts w:ascii="Calibri" w:eastAsia="Times New Roman" w:hAnsi="Calibri" w:cs="Times New Roman"/>
                <w:color w:val="000000"/>
                <w:sz w:val="20"/>
                <w:szCs w:val="20"/>
                <w:lang w:eastAsia="it-IT"/>
              </w:rPr>
              <w:t>Colasuonno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2014 </w:t>
            </w:r>
          </w:p>
        </w:tc>
      </w:tr>
      <w:tr w:rsidR="001A2B88" w:rsidRPr="00CD179A" w:rsidTr="001A2B88">
        <w:trPr>
          <w:trHeight w:val="104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7BL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wmc276-cfa2257</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181-208</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7-15</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val="en-GB" w:eastAsia="it-IT"/>
              </w:rPr>
            </w:pPr>
            <w:r w:rsidRPr="001A2B88">
              <w:rPr>
                <w:rFonts w:ascii="Calibri" w:eastAsia="Times New Roman" w:hAnsi="Calibri" w:cs="Times New Roman"/>
                <w:color w:val="000000"/>
                <w:sz w:val="20"/>
                <w:szCs w:val="20"/>
                <w:lang w:val="en-GB" w:eastAsia="it-IT"/>
              </w:rPr>
              <w:t xml:space="preserve">Elouafi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2002; Pozniak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2007; Zhang </w:t>
            </w:r>
            <w:r w:rsidRPr="001A2B88">
              <w:rPr>
                <w:rFonts w:ascii="Calibri" w:eastAsia="Times New Roman" w:hAnsi="Calibri" w:cs="Times New Roman"/>
                <w:i/>
                <w:iCs/>
                <w:color w:val="000000"/>
                <w:sz w:val="20"/>
                <w:szCs w:val="20"/>
                <w:lang w:val="en-GB" w:eastAsia="it-IT"/>
              </w:rPr>
              <w:t xml:space="preserve">et al., </w:t>
            </w:r>
            <w:r w:rsidRPr="001A2B88">
              <w:rPr>
                <w:rFonts w:ascii="Calibri" w:eastAsia="Times New Roman" w:hAnsi="Calibri" w:cs="Times New Roman"/>
                <w:color w:val="000000"/>
                <w:sz w:val="20"/>
                <w:szCs w:val="20"/>
                <w:lang w:val="en-GB" w:eastAsia="it-IT"/>
              </w:rPr>
              <w:t xml:space="preserve">2008; Howitt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2009; He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xml:space="preserve">., 2009b;  Crawford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2011a; Roncallo</w:t>
            </w:r>
            <w:r w:rsidRPr="001A2B88">
              <w:rPr>
                <w:rFonts w:ascii="Calibri" w:eastAsia="Times New Roman" w:hAnsi="Calibri" w:cs="Times New Roman"/>
                <w:i/>
                <w:iCs/>
                <w:color w:val="000000"/>
                <w:sz w:val="20"/>
                <w:szCs w:val="20"/>
                <w:lang w:val="en-GB" w:eastAsia="it-IT"/>
              </w:rPr>
              <w:t xml:space="preserve"> et al</w:t>
            </w:r>
            <w:r w:rsidRPr="001A2B88">
              <w:rPr>
                <w:rFonts w:ascii="Calibri" w:eastAsia="Times New Roman" w:hAnsi="Calibri" w:cs="Times New Roman"/>
                <w:color w:val="000000"/>
                <w:sz w:val="20"/>
                <w:szCs w:val="20"/>
                <w:lang w:val="en-GB" w:eastAsia="it-IT"/>
              </w:rPr>
              <w:t xml:space="preserve">., 2012; Crawford and Francki, 2013b; Zhai </w:t>
            </w:r>
            <w:r w:rsidRPr="001A2B88">
              <w:rPr>
                <w:rFonts w:ascii="Calibri" w:eastAsia="Times New Roman" w:hAnsi="Calibri" w:cs="Times New Roman"/>
                <w:i/>
                <w:iCs/>
                <w:color w:val="000000"/>
                <w:sz w:val="20"/>
                <w:szCs w:val="20"/>
                <w:lang w:val="en-GB" w:eastAsia="it-IT"/>
              </w:rPr>
              <w:t>et al.</w:t>
            </w:r>
            <w:r w:rsidRPr="001A2B88">
              <w:rPr>
                <w:rFonts w:ascii="Calibri" w:eastAsia="Times New Roman" w:hAnsi="Calibri" w:cs="Times New Roman"/>
                <w:color w:val="000000"/>
                <w:sz w:val="20"/>
                <w:szCs w:val="20"/>
                <w:lang w:val="en-GB"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2DS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wmc25-gwm484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16-17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2009b; 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2013</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2DL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IWB51778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82.8</w:t>
            </w: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13-17</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2015</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3DL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wmc631-barc323</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2.9</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2009a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4DS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wmc89 -wmc457</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4-6</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Crawford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2011a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4DS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wPt2379-gwm194</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16.5</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Zhao et al. 2013</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4DS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rht2-wmc48 </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Crawford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2011a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4DL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cfa2173-cfe188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3.4</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Zhang </w:t>
            </w:r>
            <w:r w:rsidRPr="001A2B88">
              <w:rPr>
                <w:rFonts w:ascii="Calibri" w:eastAsia="Times New Roman" w:hAnsi="Calibri" w:cs="Times New Roman"/>
                <w:i/>
                <w:iCs/>
                <w:color w:val="000000"/>
                <w:sz w:val="20"/>
                <w:szCs w:val="20"/>
                <w:lang w:eastAsia="it-IT"/>
              </w:rPr>
              <w:t xml:space="preserve"> et al</w:t>
            </w:r>
            <w:r w:rsidRPr="001A2B88">
              <w:rPr>
                <w:rFonts w:ascii="Calibri" w:eastAsia="Times New Roman" w:hAnsi="Calibri" w:cs="Times New Roman"/>
                <w:color w:val="000000"/>
                <w:sz w:val="20"/>
                <w:szCs w:val="20"/>
                <w:lang w:eastAsia="it-IT"/>
              </w:rPr>
              <w:t>., 2009a</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5DS</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barc130-cfd18</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13-16</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Tsilo</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2011</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5DL</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wPt5505-gwm182</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14</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2013</w:t>
            </w:r>
          </w:p>
        </w:tc>
      </w:tr>
      <w:tr w:rsidR="001A2B88" w:rsidRPr="001A2B88" w:rsidTr="001A2B88">
        <w:trPr>
          <w:trHeight w:val="260"/>
        </w:trPr>
        <w:tc>
          <w:tcPr>
            <w:tcW w:w="68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6D</w:t>
            </w:r>
          </w:p>
        </w:tc>
        <w:tc>
          <w:tcPr>
            <w:tcW w:w="200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barc21-wPt667726</w:t>
            </w:r>
          </w:p>
        </w:tc>
        <w:tc>
          <w:tcPr>
            <w:tcW w:w="12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
        </w:tc>
        <w:tc>
          <w:tcPr>
            <w:tcW w:w="1020" w:type="dxa"/>
            <w:tcBorders>
              <w:top w:val="nil"/>
              <w:left w:val="nil"/>
              <w:bottom w:val="nil"/>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4.1</w:t>
            </w:r>
          </w:p>
        </w:tc>
        <w:tc>
          <w:tcPr>
            <w:tcW w:w="4500" w:type="dxa"/>
            <w:tcBorders>
              <w:top w:val="nil"/>
              <w:left w:val="nil"/>
              <w:bottom w:val="nil"/>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 xml:space="preserve">Zhao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2013</w:t>
            </w:r>
          </w:p>
        </w:tc>
      </w:tr>
      <w:tr w:rsidR="001A2B88" w:rsidRPr="001A2B88" w:rsidTr="001A2B88">
        <w:trPr>
          <w:trHeight w:val="270"/>
        </w:trPr>
        <w:tc>
          <w:tcPr>
            <w:tcW w:w="680" w:type="dxa"/>
            <w:tcBorders>
              <w:top w:val="nil"/>
              <w:left w:val="nil"/>
              <w:bottom w:val="single" w:sz="8" w:space="0" w:color="auto"/>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7DS</w:t>
            </w:r>
          </w:p>
        </w:tc>
        <w:tc>
          <w:tcPr>
            <w:tcW w:w="2000" w:type="dxa"/>
            <w:tcBorders>
              <w:top w:val="nil"/>
              <w:left w:val="nil"/>
              <w:bottom w:val="single" w:sz="8" w:space="0" w:color="auto"/>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IWB44453</w:t>
            </w:r>
          </w:p>
        </w:tc>
        <w:tc>
          <w:tcPr>
            <w:tcW w:w="1220" w:type="dxa"/>
            <w:tcBorders>
              <w:top w:val="nil"/>
              <w:left w:val="nil"/>
              <w:bottom w:val="single" w:sz="8" w:space="0" w:color="auto"/>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102.1</w:t>
            </w:r>
          </w:p>
        </w:tc>
        <w:tc>
          <w:tcPr>
            <w:tcW w:w="1020" w:type="dxa"/>
            <w:tcBorders>
              <w:top w:val="nil"/>
              <w:left w:val="nil"/>
              <w:bottom w:val="single" w:sz="8" w:space="0" w:color="auto"/>
              <w:right w:val="nil"/>
            </w:tcBorders>
            <w:shd w:val="clear" w:color="auto" w:fill="auto"/>
            <w:noWrap/>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r w:rsidRPr="001A2B88">
              <w:rPr>
                <w:rFonts w:ascii="Calibri" w:eastAsia="Times New Roman" w:hAnsi="Calibri" w:cs="Times New Roman"/>
                <w:color w:val="000000"/>
                <w:sz w:val="20"/>
                <w:szCs w:val="20"/>
                <w:lang w:eastAsia="it-IT"/>
              </w:rPr>
              <w:t>9-10</w:t>
            </w:r>
          </w:p>
        </w:tc>
        <w:tc>
          <w:tcPr>
            <w:tcW w:w="4500" w:type="dxa"/>
            <w:tcBorders>
              <w:top w:val="nil"/>
              <w:left w:val="nil"/>
              <w:bottom w:val="single" w:sz="8" w:space="0" w:color="auto"/>
              <w:right w:val="nil"/>
            </w:tcBorders>
            <w:shd w:val="clear" w:color="auto" w:fill="auto"/>
            <w:hideMark/>
          </w:tcPr>
          <w:p w:rsidR="001A2B88" w:rsidRPr="001A2B88" w:rsidRDefault="001A2B88" w:rsidP="001A2B88">
            <w:pPr>
              <w:spacing w:after="0" w:line="240" w:lineRule="auto"/>
              <w:rPr>
                <w:rFonts w:ascii="Calibri" w:eastAsia="Times New Roman" w:hAnsi="Calibri" w:cs="Times New Roman"/>
                <w:color w:val="000000"/>
                <w:sz w:val="20"/>
                <w:szCs w:val="20"/>
                <w:lang w:eastAsia="it-IT"/>
              </w:rPr>
            </w:pPr>
            <w:proofErr w:type="spellStart"/>
            <w:r w:rsidRPr="001A2B88">
              <w:rPr>
                <w:rFonts w:ascii="Calibri" w:eastAsia="Times New Roman" w:hAnsi="Calibri" w:cs="Times New Roman"/>
                <w:color w:val="000000"/>
                <w:sz w:val="20"/>
                <w:szCs w:val="20"/>
                <w:lang w:eastAsia="it-IT"/>
              </w:rPr>
              <w:t>Zhai</w:t>
            </w:r>
            <w:proofErr w:type="spellEnd"/>
            <w:r w:rsidRPr="001A2B88">
              <w:rPr>
                <w:rFonts w:ascii="Calibri" w:eastAsia="Times New Roman" w:hAnsi="Calibri" w:cs="Times New Roman"/>
                <w:color w:val="000000"/>
                <w:sz w:val="20"/>
                <w:szCs w:val="20"/>
                <w:lang w:eastAsia="it-IT"/>
              </w:rPr>
              <w:t xml:space="preserve"> </w:t>
            </w:r>
            <w:r w:rsidRPr="001A2B88">
              <w:rPr>
                <w:rFonts w:ascii="Calibri" w:eastAsia="Times New Roman" w:hAnsi="Calibri" w:cs="Times New Roman"/>
                <w:i/>
                <w:iCs/>
                <w:color w:val="000000"/>
                <w:sz w:val="20"/>
                <w:szCs w:val="20"/>
                <w:lang w:eastAsia="it-IT"/>
              </w:rPr>
              <w:t>et al.</w:t>
            </w:r>
            <w:r w:rsidRPr="001A2B88">
              <w:rPr>
                <w:rFonts w:ascii="Calibri" w:eastAsia="Times New Roman" w:hAnsi="Calibri" w:cs="Times New Roman"/>
                <w:color w:val="000000"/>
                <w:sz w:val="20"/>
                <w:szCs w:val="20"/>
                <w:lang w:eastAsia="it-IT"/>
              </w:rPr>
              <w:t xml:space="preserve">, 2015 </w:t>
            </w:r>
          </w:p>
        </w:tc>
      </w:tr>
      <w:tr w:rsidR="001A2B88" w:rsidRPr="001A2B88" w:rsidTr="001A2B88">
        <w:trPr>
          <w:trHeight w:val="1220"/>
        </w:trPr>
        <w:tc>
          <w:tcPr>
            <w:tcW w:w="9420" w:type="dxa"/>
            <w:gridSpan w:val="5"/>
            <w:tcBorders>
              <w:top w:val="nil"/>
              <w:left w:val="nil"/>
              <w:bottom w:val="nil"/>
              <w:right w:val="nil"/>
            </w:tcBorders>
            <w:shd w:val="clear" w:color="auto" w:fill="auto"/>
            <w:vAlign w:val="bottom"/>
            <w:hideMark/>
          </w:tcPr>
          <w:p w:rsidR="001A2B88" w:rsidRPr="001A2B88" w:rsidRDefault="001A2B88" w:rsidP="001A2B88">
            <w:pPr>
              <w:spacing w:after="0" w:line="240" w:lineRule="auto"/>
              <w:rPr>
                <w:rFonts w:ascii="Times New Roman" w:eastAsia="Times New Roman" w:hAnsi="Times New Roman" w:cs="Times New Roman"/>
                <w:color w:val="000000"/>
                <w:sz w:val="20"/>
                <w:szCs w:val="20"/>
                <w:lang w:eastAsia="it-IT"/>
              </w:rPr>
            </w:pPr>
            <w:r w:rsidRPr="001A2B88">
              <w:rPr>
                <w:rFonts w:ascii="Times New Roman" w:eastAsia="Times New Roman" w:hAnsi="Times New Roman" w:cs="Times New Roman"/>
                <w:color w:val="000000"/>
                <w:sz w:val="20"/>
                <w:szCs w:val="20"/>
                <w:lang w:val="en-GB" w:eastAsia="it-IT"/>
              </w:rPr>
              <w:t xml:space="preserve">*Map position of QTLs on chromosome 1A-7B is based on the SSR- and SNP-based consensus durum map published by Maccaferri et al. (2014). SSR markers in common between the consensus map and the specific QTL mapping study were used as anchor points. Map position of some QTLs on chromosome 1D-7D is based on the SNP-based consensus bread wheat map published by Wang et al. (2014). The position of the listed QTLs is illustrated on Fig. </w:t>
            </w:r>
            <w:r w:rsidRPr="001A2B88">
              <w:rPr>
                <w:rFonts w:ascii="Times New Roman" w:eastAsia="Times New Roman" w:hAnsi="Times New Roman" w:cs="Times New Roman"/>
                <w:color w:val="000000"/>
                <w:sz w:val="20"/>
                <w:szCs w:val="20"/>
                <w:lang w:eastAsia="it-IT"/>
              </w:rPr>
              <w:t xml:space="preserve">S3. </w:t>
            </w:r>
          </w:p>
        </w:tc>
      </w:tr>
    </w:tbl>
    <w:p w:rsidR="00A14EB3" w:rsidRDefault="00A14EB3"/>
    <w:sectPr w:rsidR="00A14E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B88"/>
    <w:rsid w:val="001A2B88"/>
    <w:rsid w:val="004868A9"/>
    <w:rsid w:val="00A14EB3"/>
    <w:rsid w:val="00CD17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305B9-3EAF-4C28-82D5-6F5B8181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84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Utente</cp:lastModifiedBy>
  <cp:revision>3</cp:revision>
  <dcterms:created xsi:type="dcterms:W3CDTF">2016-08-31T13:23:00Z</dcterms:created>
  <dcterms:modified xsi:type="dcterms:W3CDTF">2016-10-04T15:04:00Z</dcterms:modified>
</cp:coreProperties>
</file>