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0D3" w:rsidRDefault="00175A3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0AF612" wp14:editId="138EEB35">
                <wp:simplePos x="0" y="0"/>
                <wp:positionH relativeFrom="column">
                  <wp:posOffset>-300990</wp:posOffset>
                </wp:positionH>
                <wp:positionV relativeFrom="paragraph">
                  <wp:posOffset>15402</wp:posOffset>
                </wp:positionV>
                <wp:extent cx="1828800" cy="1828800"/>
                <wp:effectExtent l="0" t="0" r="0" b="0"/>
                <wp:wrapNone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E1CC5" w:rsidRPr="006E1CC5" w:rsidRDefault="006E1CC5" w:rsidP="006E1C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E1CC5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40AF612"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6" type="#_x0000_t202" style="position:absolute;margin-left:-23.7pt;margin-top:1.2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" filled="f" stroked="f">
                <v:fill o:detectmouseclick="t"/>
                <v:textbox style="mso-fit-shape-to-text:t">
                  <w:txbxContent>
                    <w:p w:rsidR="006E1CC5" w:rsidRPr="006E1CC5" w:rsidRDefault="006E1CC5" w:rsidP="006E1CC5">
                      <w:pPr>
                        <w:jc w:val="center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E1CC5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0B4DB2" wp14:editId="0EB07E4F">
                <wp:simplePos x="0" y="0"/>
                <wp:positionH relativeFrom="leftMargin">
                  <wp:posOffset>418465</wp:posOffset>
                </wp:positionH>
                <wp:positionV relativeFrom="paragraph">
                  <wp:posOffset>5510530</wp:posOffset>
                </wp:positionV>
                <wp:extent cx="1828800" cy="333375"/>
                <wp:effectExtent l="0" t="0" r="0" b="9525"/>
                <wp:wrapNone/>
                <wp:docPr id="8" name="Casella di tes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75A3A" w:rsidRPr="006E1CC5" w:rsidRDefault="00175A3A" w:rsidP="00175A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</w:t>
                            </w:r>
                            <w:r w:rsidRPr="006E1CC5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0B4DB2" id="Casella di testo 8" o:spid="_x0000_s1027" type="#_x0000_t202" style="position:absolute;margin-left:32.95pt;margin-top:433.9pt;width:2in;height:26.25pt;z-index:251665408;visibility:visible;mso-wrap-style:none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" filled="f" stroked="f">
                <v:fill o:detectmouseclick="t"/>
                <v:textbox>
                  <w:txbxContent>
                    <w:p w:rsidR="00175A3A" w:rsidRPr="006E1CC5" w:rsidRDefault="00175A3A" w:rsidP="00175A3A">
                      <w:pPr>
                        <w:jc w:val="center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</w:t>
                      </w:r>
                      <w:r w:rsidRPr="006E1CC5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EA4B9B" wp14:editId="6E6347E8">
                <wp:simplePos x="0" y="0"/>
                <wp:positionH relativeFrom="leftMargin">
                  <wp:align>right</wp:align>
                </wp:positionH>
                <wp:positionV relativeFrom="paragraph">
                  <wp:posOffset>3700780</wp:posOffset>
                </wp:positionV>
                <wp:extent cx="1828800" cy="1828800"/>
                <wp:effectExtent l="0" t="0" r="0" b="0"/>
                <wp:wrapNone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75A3A" w:rsidRPr="006E1CC5" w:rsidRDefault="00175A3A" w:rsidP="00175A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</w:t>
                            </w:r>
                            <w:r w:rsidRPr="006E1CC5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EA4B9B" id="Casella di testo 7" o:spid="_x0000_s1028" type="#_x0000_t202" style="position:absolute;margin-left:92.8pt;margin-top:291.4pt;width:2in;height:2in;z-index:251663360;visibility:visible;mso-wrap-style:none;mso-wrap-distance-left:9pt;mso-wrap-distance-top:0;mso-wrap-distance-right:9pt;mso-wrap-distance-bottom:0;mso-position-horizontal:righ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" filled="f" stroked="f">
                <v:fill o:detectmouseclick="t"/>
                <v:textbox style="mso-fit-shape-to-text:t">
                  <w:txbxContent>
                    <w:p w:rsidR="00175A3A" w:rsidRPr="006E1CC5" w:rsidRDefault="00175A3A" w:rsidP="00175A3A">
                      <w:pPr>
                        <w:jc w:val="center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</w:t>
                      </w:r>
                      <w:r w:rsidRPr="006E1CC5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CA7DDF" wp14:editId="004BD81D">
                <wp:simplePos x="0" y="0"/>
                <wp:positionH relativeFrom="leftMargin">
                  <wp:align>right</wp:align>
                </wp:positionH>
                <wp:positionV relativeFrom="paragraph">
                  <wp:posOffset>1843405</wp:posOffset>
                </wp:positionV>
                <wp:extent cx="1828800" cy="1828800"/>
                <wp:effectExtent l="0" t="0" r="0" b="0"/>
                <wp:wrapNone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75A3A" w:rsidRPr="006E1CC5" w:rsidRDefault="00175A3A" w:rsidP="00175A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</w:t>
                            </w:r>
                            <w:r w:rsidRPr="006E1CC5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CA7DDF" id="Casella di testo 6" o:spid="_x0000_s1029" type="#_x0000_t202" style="position:absolute;margin-left:92.8pt;margin-top:145.15pt;width:2in;height:2in;z-index:251661312;visibility:visible;mso-wrap-style:none;mso-wrap-distance-left:9pt;mso-wrap-distance-top:0;mso-wrap-distance-right:9pt;mso-wrap-distance-bottom:0;mso-position-horizontal:righ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" filled="f" stroked="f">
                <v:fill o:detectmouseclick="t"/>
                <v:textbox style="mso-fit-shape-to-text:t">
                  <w:txbxContent>
                    <w:p w:rsidR="00175A3A" w:rsidRPr="006E1CC5" w:rsidRDefault="00175A3A" w:rsidP="00175A3A">
                      <w:pPr>
                        <w:jc w:val="center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</w:t>
                      </w:r>
                      <w:r w:rsidRPr="006E1CC5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E5A92">
        <w:rPr>
          <w:noProof/>
          <w:lang w:val="en-US"/>
        </w:rPr>
        <w:drawing>
          <wp:inline distT="0" distB="0" distL="0" distR="0" wp14:anchorId="0935D58A" wp14:editId="74E7EF9E">
            <wp:extent cx="4987637" cy="1794164"/>
            <wp:effectExtent l="0" t="0" r="22860" b="15875"/>
            <wp:docPr id="1" name="Gra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r w:rsidR="006E5A92">
        <w:rPr>
          <w:noProof/>
          <w:lang w:val="en-US"/>
        </w:rPr>
        <w:drawing>
          <wp:inline distT="0" distB="0" distL="0" distR="0" wp14:anchorId="5E42C596" wp14:editId="00E081CE">
            <wp:extent cx="4987637" cy="1828800"/>
            <wp:effectExtent l="0" t="0" r="22860" b="19050"/>
            <wp:docPr id="2" name="Gra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bookmarkStart w:id="0" w:name="_GoBack"/>
      <w:bookmarkEnd w:id="0"/>
      <w:r w:rsidR="006E5A92">
        <w:rPr>
          <w:noProof/>
          <w:lang w:val="en-US"/>
        </w:rPr>
        <w:drawing>
          <wp:inline distT="0" distB="0" distL="0" distR="0" wp14:anchorId="3E95B36C" wp14:editId="3FE063A0">
            <wp:extent cx="4985040" cy="1816388"/>
            <wp:effectExtent l="0" t="0" r="6350" b="12700"/>
            <wp:docPr id="3" name="Gra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="006E5A92">
        <w:rPr>
          <w:noProof/>
          <w:lang w:val="en-US"/>
        </w:rPr>
        <w:drawing>
          <wp:inline distT="0" distB="0" distL="0" distR="0" wp14:anchorId="65DDA007" wp14:editId="1E5AB5EA">
            <wp:extent cx="4985039" cy="1783771"/>
            <wp:effectExtent l="0" t="0" r="6350" b="6985"/>
            <wp:docPr id="4" name="Grafico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7A5E6F" w:rsidRPr="00895569" w:rsidRDefault="007A5E6F" w:rsidP="007A5E6F">
      <w:pPr>
        <w:ind w:right="184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Fig. S2 Frequency distributions of yellow pigment content in the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whole </w:t>
      </w:r>
      <w:r w:rsidR="00FC1D96">
        <w:rPr>
          <w:rFonts w:ascii="Times New Roman" w:hAnsi="Times New Roman" w:cs="Times New Roman"/>
          <w:sz w:val="24"/>
          <w:szCs w:val="24"/>
          <w:lang w:val="en-US"/>
        </w:rPr>
        <w:t>wheat</w:t>
      </w:r>
      <w:proofErr w:type="gramEnd"/>
      <w:r w:rsidR="00FC1D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collection (a) and in the durum sub-population (b), and of yellow index in the whole collection (c) and in the durum sub-population (d).</w:t>
      </w:r>
    </w:p>
    <w:p w:rsidR="007A5E6F" w:rsidRPr="007A5E6F" w:rsidRDefault="007A5E6F">
      <w:pPr>
        <w:rPr>
          <w:lang w:val="en-US"/>
        </w:rPr>
      </w:pPr>
    </w:p>
    <w:sectPr w:rsidR="007A5E6F" w:rsidRPr="007A5E6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A92"/>
    <w:rsid w:val="00175A3A"/>
    <w:rsid w:val="00340464"/>
    <w:rsid w:val="004E60D3"/>
    <w:rsid w:val="006E1CC5"/>
    <w:rsid w:val="006E5A92"/>
    <w:rsid w:val="007A5E6F"/>
    <w:rsid w:val="00B66D84"/>
    <w:rsid w:val="00FC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4BC043-1EE2-4206-B89E-590D2AF25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6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66D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ntonio\Desktop\Lavoro%20Carotenoidi%2015apr16\Fig.%204S_DISTRIBUZIONI%20FREQUENZA%2011-04-2016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ntonio\Desktop\Lavoro%20Carotenoidi%2015apr16\Fig.%204S_DISTRIBUZIONI%20FREQUENZA%2011-04-2016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ntonio\Desktop\Lavoro%20Carotenoidi%2015apr16\Fig.%204S_DISTRIBUZIONI%20FREQUENZA%2011-04-2016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ntonio\Desktop\Lavoro%20Carotenoidi%2015apr16\Fig.%204S_DISTRIBUZIONI%20FREQUENZA%2011-04-2016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2255099217697753"/>
          <c:y val="7.8881178658300535E-2"/>
          <c:w val="0.84884043110688157"/>
          <c:h val="0.6493126805570163"/>
        </c:manualLayout>
      </c:layout>
      <c:barChart>
        <c:barDir val="col"/>
        <c:grouping val="clustered"/>
        <c:varyColors val="0"/>
        <c:ser>
          <c:idx val="1"/>
          <c:order val="0"/>
          <c:spPr>
            <a:solidFill>
              <a:srgbClr val="FF0000"/>
            </a:solidFill>
            <a:ln>
              <a:solidFill>
                <a:schemeClr val="tx1"/>
              </a:solidFill>
            </a:ln>
          </c:spPr>
          <c:invertIfNegative val="0"/>
          <c:val>
            <c:numRef>
              <c:f>'Distribuzioni di frequenza (2)'!$K$7:$K$21</c:f>
              <c:numCache>
                <c:formatCode>0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12.264150943396226</c:v>
                </c:pt>
                <c:pt idx="4">
                  <c:v>18.39622641509434</c:v>
                </c:pt>
                <c:pt idx="5">
                  <c:v>22.169811320754718</c:v>
                </c:pt>
                <c:pt idx="6">
                  <c:v>20.754716981132077</c:v>
                </c:pt>
                <c:pt idx="7">
                  <c:v>13.20754716981132</c:v>
                </c:pt>
                <c:pt idx="8">
                  <c:v>6.6037735849056602</c:v>
                </c:pt>
                <c:pt idx="9">
                  <c:v>3.7735849056603774</c:v>
                </c:pt>
                <c:pt idx="10">
                  <c:v>1.8867924528301887</c:v>
                </c:pt>
                <c:pt idx="11">
                  <c:v>0.47169811320754718</c:v>
                </c:pt>
                <c:pt idx="12">
                  <c:v>0.47169811320754718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531004400"/>
        <c:axId val="1531006576"/>
      </c:barChart>
      <c:catAx>
        <c:axId val="153100440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Yellow Pigment Content (µg/g)</a:t>
                </a:r>
              </a:p>
            </c:rich>
          </c:tx>
          <c:layout>
            <c:manualLayout>
              <c:xMode val="edge"/>
              <c:yMode val="edge"/>
              <c:x val="0.29955248158412467"/>
              <c:y val="0.85644724210695911"/>
            </c:manualLayout>
          </c:layout>
          <c:overlay val="0"/>
        </c:title>
        <c:numFmt formatCode="#,##0.0" sourceLinked="0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crossAx val="1531006576"/>
        <c:crossesAt val="0"/>
        <c:auto val="1"/>
        <c:lblAlgn val="ctr"/>
        <c:lblOffset val="100"/>
        <c:noMultiLvlLbl val="0"/>
      </c:catAx>
      <c:valAx>
        <c:axId val="1531006576"/>
        <c:scaling>
          <c:orientation val="minMax"/>
          <c:max val="4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it-IT"/>
                  <a:t>Frequency (%)</a:t>
                </a:r>
              </a:p>
            </c:rich>
          </c:tx>
          <c:layout/>
          <c:overlay val="0"/>
        </c:title>
        <c:numFmt formatCode="0" sourceLinked="1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crossAx val="1531004400"/>
        <c:crosses val="autoZero"/>
        <c:crossBetween val="between"/>
        <c:majorUnit val="10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solidFill>
        <a:sysClr val="windowText" lastClr="000000"/>
      </a:solidFill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2231243644836413"/>
          <c:y val="7.777596977260505E-2"/>
          <c:w val="0.84913467581639901"/>
          <c:h val="0.6542261814471088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FF0000"/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numRef>
              <c:f>'Distribuzioni di frequenza (2)'!$X$8:$X$22</c:f>
              <c:numCache>
                <c:formatCode>General</c:formatCode>
                <c:ptCount val="1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</c:numCache>
            </c:numRef>
          </c:cat>
          <c:val>
            <c:numRef>
              <c:f>'Distribuzioni di frequenza (2)'!$Y$8:$Y$22</c:f>
              <c:numCache>
                <c:formatCode>0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3.3333333333333335</c:v>
                </c:pt>
                <c:pt idx="4">
                  <c:v>7.5</c:v>
                </c:pt>
                <c:pt idx="5">
                  <c:v>18.333333333333332</c:v>
                </c:pt>
                <c:pt idx="6">
                  <c:v>29.166666666666668</c:v>
                </c:pt>
                <c:pt idx="7">
                  <c:v>20</c:v>
                </c:pt>
                <c:pt idx="8">
                  <c:v>10.833333333333334</c:v>
                </c:pt>
                <c:pt idx="9">
                  <c:v>6.666666666666667</c:v>
                </c:pt>
                <c:pt idx="10">
                  <c:v>2.5</c:v>
                </c:pt>
                <c:pt idx="11">
                  <c:v>0.83333333333333337</c:v>
                </c:pt>
                <c:pt idx="12">
                  <c:v>0.83333333333333337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530997328"/>
        <c:axId val="1531008752"/>
      </c:barChart>
      <c:catAx>
        <c:axId val="153099732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Yellow Pigment Content (µg/g)</a:t>
                </a:r>
              </a:p>
            </c:rich>
          </c:tx>
          <c:layout>
            <c:manualLayout>
              <c:xMode val="edge"/>
              <c:yMode val="edge"/>
              <c:x val="0.31292125473284044"/>
              <c:y val="0.86546382227615593"/>
            </c:manualLayout>
          </c:layout>
          <c:overlay val="0"/>
        </c:title>
        <c:numFmt formatCode="#,##0.0" sourceLinked="0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crossAx val="1531008752"/>
        <c:crosses val="autoZero"/>
        <c:auto val="1"/>
        <c:lblAlgn val="ctr"/>
        <c:lblOffset val="100"/>
        <c:noMultiLvlLbl val="0"/>
      </c:catAx>
      <c:valAx>
        <c:axId val="1531008752"/>
        <c:scaling>
          <c:orientation val="minMax"/>
          <c:max val="4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it-IT"/>
                  <a:t>Frequency (%)</a:t>
                </a:r>
              </a:p>
            </c:rich>
          </c:tx>
          <c:layout/>
          <c:overlay val="0"/>
        </c:title>
        <c:numFmt formatCode="0" sourceLinked="1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crossAx val="1530997328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solidFill>
        <a:sysClr val="windowText" lastClr="000000"/>
      </a:solidFill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3184676537166004"/>
          <c:y val="8.2752315904066759E-2"/>
          <c:w val="0.84141515666800293"/>
          <c:h val="0.64804546545318809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00FF"/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numRef>
              <c:f>'Distribuzioni di frequenza (2)'!$J$37:$J$49</c:f>
              <c:numCache>
                <c:formatCode>General</c:formatCode>
                <c:ptCount val="13"/>
                <c:pt idx="0">
                  <c:v>8</c:v>
                </c:pt>
                <c:pt idx="1">
                  <c:v>9</c:v>
                </c:pt>
                <c:pt idx="2">
                  <c:v>10</c:v>
                </c:pt>
                <c:pt idx="3">
                  <c:v>11</c:v>
                </c:pt>
                <c:pt idx="4">
                  <c:v>12</c:v>
                </c:pt>
                <c:pt idx="5">
                  <c:v>13</c:v>
                </c:pt>
                <c:pt idx="6">
                  <c:v>14</c:v>
                </c:pt>
                <c:pt idx="7">
                  <c:v>15</c:v>
                </c:pt>
                <c:pt idx="8">
                  <c:v>16</c:v>
                </c:pt>
                <c:pt idx="9">
                  <c:v>17</c:v>
                </c:pt>
                <c:pt idx="10">
                  <c:v>18</c:v>
                </c:pt>
                <c:pt idx="11">
                  <c:v>19</c:v>
                </c:pt>
                <c:pt idx="12">
                  <c:v>20</c:v>
                </c:pt>
              </c:numCache>
            </c:numRef>
          </c:cat>
          <c:val>
            <c:numRef>
              <c:f>'Distribuzioni di frequenza (2)'!$K$37:$K$49</c:f>
              <c:numCache>
                <c:formatCode>0</c:formatCode>
                <c:ptCount val="13"/>
                <c:pt idx="0">
                  <c:v>0</c:v>
                </c:pt>
                <c:pt idx="1">
                  <c:v>0</c:v>
                </c:pt>
                <c:pt idx="2">
                  <c:v>1.2875536480686696</c:v>
                </c:pt>
                <c:pt idx="3">
                  <c:v>1.7167381974248928</c:v>
                </c:pt>
                <c:pt idx="4">
                  <c:v>6.4377682403433472</c:v>
                </c:pt>
                <c:pt idx="5">
                  <c:v>23.175965665236049</c:v>
                </c:pt>
                <c:pt idx="6">
                  <c:v>25.321888412017167</c:v>
                </c:pt>
                <c:pt idx="7">
                  <c:v>21.030042918454935</c:v>
                </c:pt>
                <c:pt idx="8">
                  <c:v>14.592274678111588</c:v>
                </c:pt>
                <c:pt idx="9">
                  <c:v>3.8626609442060089</c:v>
                </c:pt>
                <c:pt idx="10">
                  <c:v>2.5751072961373391</c:v>
                </c:pt>
                <c:pt idx="11">
                  <c:v>0</c:v>
                </c:pt>
                <c:pt idx="1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531009296"/>
        <c:axId val="1531009840"/>
      </c:barChart>
      <c:catAx>
        <c:axId val="153100929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it-IT"/>
                  <a:t>Yellow</a:t>
                </a:r>
                <a:r>
                  <a:rPr lang="it-IT" baseline="0"/>
                  <a:t> index (b*)</a:t>
                </a:r>
                <a:endParaRPr lang="it-IT"/>
              </a:p>
            </c:rich>
          </c:tx>
          <c:layout>
            <c:manualLayout>
              <c:xMode val="edge"/>
              <c:yMode val="edge"/>
              <c:x val="0.45252207151405205"/>
              <c:y val="0.85814654176369176"/>
            </c:manualLayout>
          </c:layout>
          <c:overlay val="0"/>
        </c:title>
        <c:numFmt formatCode="#,##0.0" sourceLinked="0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crossAx val="1531009840"/>
        <c:crosses val="autoZero"/>
        <c:auto val="1"/>
        <c:lblAlgn val="ctr"/>
        <c:lblOffset val="100"/>
        <c:noMultiLvlLbl val="0"/>
      </c:catAx>
      <c:valAx>
        <c:axId val="1531009840"/>
        <c:scaling>
          <c:orientation val="minMax"/>
          <c:max val="4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it-IT"/>
                  <a:t>Frequency</a:t>
                </a:r>
                <a:r>
                  <a:rPr lang="it-IT" baseline="0"/>
                  <a:t> (%)</a:t>
                </a:r>
              </a:p>
            </c:rich>
          </c:tx>
          <c:layout/>
          <c:overlay val="0"/>
        </c:title>
        <c:numFmt formatCode="0" sourceLinked="1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crossAx val="1531009296"/>
        <c:crosses val="autoZero"/>
        <c:crossBetween val="between"/>
      </c:valAx>
    </c:plotArea>
    <c:plotVisOnly val="1"/>
    <c:dispBlanksAs val="gap"/>
    <c:showDLblsOverMax val="0"/>
  </c:chart>
  <c:spPr>
    <a:ln>
      <a:solidFill>
        <a:sysClr val="windowText" lastClr="000000"/>
      </a:solidFill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2105553279828461"/>
          <c:y val="7.9303756638783265E-2"/>
          <c:w val="0.85068499385553686"/>
          <c:h val="0.6545768585921589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00FF"/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numRef>
              <c:f>'Distribuzioni di frequenza (2)'!$X$38:$X$50</c:f>
              <c:numCache>
                <c:formatCode>General</c:formatCode>
                <c:ptCount val="13"/>
                <c:pt idx="0">
                  <c:v>8</c:v>
                </c:pt>
                <c:pt idx="1">
                  <c:v>9</c:v>
                </c:pt>
                <c:pt idx="2">
                  <c:v>10</c:v>
                </c:pt>
                <c:pt idx="3">
                  <c:v>11</c:v>
                </c:pt>
                <c:pt idx="4">
                  <c:v>12</c:v>
                </c:pt>
                <c:pt idx="5">
                  <c:v>13</c:v>
                </c:pt>
                <c:pt idx="6">
                  <c:v>14</c:v>
                </c:pt>
                <c:pt idx="7">
                  <c:v>15</c:v>
                </c:pt>
                <c:pt idx="8">
                  <c:v>16</c:v>
                </c:pt>
                <c:pt idx="9">
                  <c:v>17</c:v>
                </c:pt>
                <c:pt idx="10">
                  <c:v>18</c:v>
                </c:pt>
                <c:pt idx="11">
                  <c:v>19</c:v>
                </c:pt>
                <c:pt idx="12">
                  <c:v>20</c:v>
                </c:pt>
              </c:numCache>
            </c:numRef>
          </c:cat>
          <c:val>
            <c:numRef>
              <c:f>'Distribuzioni di frequenza (2)'!$Y$38:$Y$50</c:f>
              <c:numCache>
                <c:formatCode>0</c:formatCode>
                <c:ptCount val="13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2.4193548387096775</c:v>
                </c:pt>
                <c:pt idx="5">
                  <c:v>4.838709677419355</c:v>
                </c:pt>
                <c:pt idx="6">
                  <c:v>24.193548387096776</c:v>
                </c:pt>
                <c:pt idx="7">
                  <c:v>34.677419354838712</c:v>
                </c:pt>
                <c:pt idx="8">
                  <c:v>22.58064516129032</c:v>
                </c:pt>
                <c:pt idx="9">
                  <c:v>6.4516129032258061</c:v>
                </c:pt>
                <c:pt idx="10">
                  <c:v>4.838709677419355</c:v>
                </c:pt>
                <c:pt idx="11">
                  <c:v>0</c:v>
                </c:pt>
                <c:pt idx="1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531012016"/>
        <c:axId val="1530996784"/>
      </c:barChart>
      <c:catAx>
        <c:axId val="153101201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it-IT"/>
                  <a:t>Yellow</a:t>
                </a:r>
                <a:r>
                  <a:rPr lang="it-IT" baseline="0"/>
                  <a:t> index (b*)</a:t>
                </a:r>
                <a:endParaRPr lang="it-IT"/>
              </a:p>
            </c:rich>
          </c:tx>
          <c:layout>
            <c:manualLayout>
              <c:xMode val="edge"/>
              <c:yMode val="edge"/>
              <c:x val="0.44636576497302"/>
              <c:y val="0.86282107020307663"/>
            </c:manualLayout>
          </c:layout>
          <c:overlay val="0"/>
        </c:title>
        <c:numFmt formatCode="#,##0.0" sourceLinked="0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crossAx val="1530996784"/>
        <c:crosses val="autoZero"/>
        <c:auto val="1"/>
        <c:lblAlgn val="ctr"/>
        <c:lblOffset val="100"/>
        <c:noMultiLvlLbl val="0"/>
      </c:catAx>
      <c:valAx>
        <c:axId val="1530996784"/>
        <c:scaling>
          <c:orientation val="minMax"/>
          <c:max val="40"/>
          <c:min val="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it-IT"/>
                  <a:t>Frequency</a:t>
                </a:r>
                <a:r>
                  <a:rPr lang="it-IT" baseline="0"/>
                  <a:t> (%)</a:t>
                </a:r>
              </a:p>
            </c:rich>
          </c:tx>
          <c:layout/>
          <c:overlay val="0"/>
        </c:title>
        <c:numFmt formatCode="0" sourceLinked="1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crossAx val="1531012016"/>
        <c:crosses val="autoZero"/>
        <c:crossBetween val="between"/>
        <c:majorUnit val="10"/>
      </c:valAx>
    </c:plotArea>
    <c:plotVisOnly val="1"/>
    <c:dispBlanksAs val="gap"/>
    <c:showDLblsOverMax val="0"/>
  </c:chart>
  <c:spPr>
    <a:ln>
      <a:solidFill>
        <a:sysClr val="windowText" lastClr="000000"/>
      </a:solidFill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Utente</cp:lastModifiedBy>
  <cp:revision>5</cp:revision>
  <cp:lastPrinted>2016-05-02T08:56:00Z</cp:lastPrinted>
  <dcterms:created xsi:type="dcterms:W3CDTF">2016-08-31T13:25:00Z</dcterms:created>
  <dcterms:modified xsi:type="dcterms:W3CDTF">2016-10-04T15:12:00Z</dcterms:modified>
</cp:coreProperties>
</file>