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B9AEE" w14:textId="12FAD4B6" w:rsidR="0079771D" w:rsidRPr="000C2E20" w:rsidRDefault="009F369E" w:rsidP="00C371ED">
      <w:pPr>
        <w:jc w:val="both"/>
        <w:rPr>
          <w:rFonts w:ascii="Times New Roman" w:eastAsia="MS Mincho" w:hAnsi="Times New Roman" w:cs="Times New Roman"/>
        </w:rPr>
      </w:pPr>
      <w:proofErr w:type="gramStart"/>
      <w:r>
        <w:rPr>
          <w:rFonts w:ascii="Times New Roman" w:eastAsia="MS Mincho" w:hAnsi="Times New Roman" w:cs="Times New Roman"/>
          <w:b/>
        </w:rPr>
        <w:t xml:space="preserve">Table </w:t>
      </w:r>
      <w:r w:rsidR="00A372C5">
        <w:rPr>
          <w:rFonts w:ascii="Times New Roman" w:eastAsia="MS Mincho" w:hAnsi="Times New Roman" w:cs="Times New Roman"/>
          <w:b/>
        </w:rPr>
        <w:t>S</w:t>
      </w:r>
      <w:r>
        <w:rPr>
          <w:rFonts w:ascii="Times New Roman" w:eastAsia="MS Mincho" w:hAnsi="Times New Roman" w:cs="Times New Roman"/>
          <w:b/>
        </w:rPr>
        <w:t>9</w:t>
      </w:r>
      <w:r w:rsidR="001B650D">
        <w:rPr>
          <w:rFonts w:ascii="Times New Roman" w:eastAsia="MS Mincho" w:hAnsi="Times New Roman" w:cs="Times New Roman"/>
          <w:b/>
        </w:rPr>
        <w:t xml:space="preserve"> </w:t>
      </w:r>
      <w:bookmarkStart w:id="0" w:name="_GoBack"/>
      <w:r w:rsidR="00C371ED">
        <w:rPr>
          <w:rFonts w:ascii="Times New Roman" w:hAnsi="Times New Roman" w:cs="Times New Roman"/>
        </w:rPr>
        <w:t xml:space="preserve">Genes </w:t>
      </w:r>
      <w:r>
        <w:rPr>
          <w:rFonts w:ascii="Times New Roman" w:hAnsi="Times New Roman" w:cs="Times New Roman"/>
        </w:rPr>
        <w:t>downregulated</w:t>
      </w:r>
      <w:r w:rsidR="00C371ED">
        <w:rPr>
          <w:rFonts w:ascii="Times New Roman" w:hAnsi="Times New Roman" w:cs="Times New Roman"/>
        </w:rPr>
        <w:t xml:space="preserve"> in ‘high isoflavonoid’ cultivars (</w:t>
      </w:r>
      <w:r>
        <w:rPr>
          <w:rFonts w:ascii="Times New Roman" w:hAnsi="Times New Roman" w:cs="Times New Roman"/>
        </w:rPr>
        <w:t>104</w:t>
      </w:r>
      <w:r w:rsidR="00C371ED">
        <w:rPr>
          <w:rFonts w:ascii="Times New Roman" w:hAnsi="Times New Roman" w:cs="Times New Roman"/>
        </w:rPr>
        <w:t xml:space="preserve"> genes) were analyzed for pathway enrichment</w:t>
      </w:r>
      <w:r w:rsidR="008F7329">
        <w:rPr>
          <w:rFonts w:ascii="Times New Roman" w:hAnsi="Times New Roman" w:cs="Times New Roman"/>
        </w:rPr>
        <w:t>.</w:t>
      </w:r>
      <w:bookmarkEnd w:id="0"/>
      <w:proofErr w:type="gramEnd"/>
      <w:r w:rsidR="008F7329">
        <w:rPr>
          <w:rFonts w:ascii="Times New Roman" w:hAnsi="Times New Roman" w:cs="Times New Roman"/>
        </w:rPr>
        <w:t xml:space="preserve"> This was performed</w:t>
      </w:r>
      <w:r w:rsidR="00C371ED">
        <w:rPr>
          <w:rFonts w:ascii="Times New Roman" w:hAnsi="Times New Roman" w:cs="Times New Roman"/>
        </w:rPr>
        <w:t xml:space="preserve"> using </w:t>
      </w:r>
      <w:r w:rsidR="00C371ED">
        <w:rPr>
          <w:rFonts w:ascii="Times New Roman" w:eastAsia="MS Mincho" w:hAnsi="Times New Roman" w:cs="Times New Roman"/>
        </w:rPr>
        <w:t>the PhytoM</w:t>
      </w:r>
      <w:r w:rsidR="008F7329">
        <w:rPr>
          <w:rFonts w:ascii="Times New Roman" w:eastAsia="MS Mincho" w:hAnsi="Times New Roman" w:cs="Times New Roman"/>
        </w:rPr>
        <w:t>ine tool, ‘Pathway Enrichment’ (accessed 2016-05-01; Phytozome version 11)</w:t>
      </w:r>
      <w:r w:rsidR="00C371ED">
        <w:rPr>
          <w:rFonts w:ascii="Times New Roman" w:eastAsia="MS Mincho" w:hAnsi="Times New Roman" w:cs="Times New Roman"/>
        </w:rPr>
        <w:t>.</w:t>
      </w:r>
      <w:r w:rsidR="0041133E">
        <w:rPr>
          <w:rFonts w:ascii="Times New Roman" w:eastAsia="MS Mincho" w:hAnsi="Times New Roman" w:cs="Times New Roman"/>
        </w:rPr>
        <w:t xml:space="preserve"> </w:t>
      </w:r>
      <w:r w:rsidR="008F7329">
        <w:rPr>
          <w:rFonts w:ascii="Times New Roman" w:eastAsia="MS Mincho" w:hAnsi="Times New Roman" w:cs="Times New Roman"/>
        </w:rPr>
        <w:t>The</w:t>
      </w:r>
      <w:r w:rsidR="000638E3">
        <w:rPr>
          <w:rFonts w:ascii="Times New Roman" w:eastAsia="MS Mincho" w:hAnsi="Times New Roman" w:cs="Times New Roman"/>
        </w:rPr>
        <w:t xml:space="preserve"> </w:t>
      </w:r>
      <w:r w:rsidR="000638E3">
        <w:rPr>
          <w:rFonts w:ascii="Times New Roman" w:eastAsia="MS Mincho" w:hAnsi="Times New Roman" w:cs="Times New Roman"/>
          <w:i/>
        </w:rPr>
        <w:t>Glycine max</w:t>
      </w:r>
      <w:r w:rsidR="000638E3">
        <w:rPr>
          <w:rFonts w:ascii="Times New Roman" w:eastAsia="MS Mincho" w:hAnsi="Times New Roman" w:cs="Times New Roman"/>
        </w:rPr>
        <w:t xml:space="preserve"> database </w:t>
      </w:r>
      <w:r w:rsidR="008F7329">
        <w:rPr>
          <w:rFonts w:ascii="Times New Roman" w:eastAsia="MS Mincho" w:hAnsi="Times New Roman" w:cs="Times New Roman"/>
        </w:rPr>
        <w:t xml:space="preserve">was </w:t>
      </w:r>
      <w:r w:rsidR="000638E3">
        <w:rPr>
          <w:rFonts w:ascii="Times New Roman" w:eastAsia="MS Mincho" w:hAnsi="Times New Roman" w:cs="Times New Roman"/>
        </w:rPr>
        <w:t xml:space="preserve">selected as </w:t>
      </w:r>
      <w:r w:rsidR="00DD71F9">
        <w:rPr>
          <w:rFonts w:ascii="Times New Roman" w:eastAsia="MS Mincho" w:hAnsi="Times New Roman" w:cs="Times New Roman"/>
        </w:rPr>
        <w:t xml:space="preserve">reference. </w:t>
      </w:r>
      <w:proofErr w:type="spellStart"/>
      <w:r w:rsidR="000638E3">
        <w:rPr>
          <w:rFonts w:ascii="Times New Roman" w:eastAsia="MS Mincho" w:hAnsi="Times New Roman" w:cs="Times New Roman"/>
        </w:rPr>
        <w:t>Benjamini</w:t>
      </w:r>
      <w:proofErr w:type="spellEnd"/>
      <w:r w:rsidR="000638E3">
        <w:rPr>
          <w:rFonts w:ascii="Times New Roman" w:eastAsia="MS Mincho" w:hAnsi="Times New Roman" w:cs="Times New Roman"/>
        </w:rPr>
        <w:t>-Hochberg</w:t>
      </w:r>
      <w:r w:rsidR="008F7329">
        <w:rPr>
          <w:rFonts w:ascii="Times New Roman" w:eastAsia="MS Mincho" w:hAnsi="Times New Roman" w:cs="Times New Roman"/>
        </w:rPr>
        <w:t xml:space="preserve"> statistical analysis was used to generate</w:t>
      </w:r>
      <w:r w:rsidR="000638E3">
        <w:rPr>
          <w:rFonts w:ascii="Times New Roman" w:eastAsia="MS Mincho" w:hAnsi="Times New Roman" w:cs="Times New Roman"/>
        </w:rPr>
        <w:t xml:space="preserve"> </w:t>
      </w:r>
      <w:r w:rsidR="008F7329">
        <w:rPr>
          <w:rFonts w:ascii="Times New Roman" w:eastAsia="MS Mincho" w:hAnsi="Times New Roman" w:cs="Times New Roman"/>
        </w:rPr>
        <w:t xml:space="preserve">p values for the </w:t>
      </w:r>
      <w:r w:rsidR="000638E3">
        <w:rPr>
          <w:rFonts w:ascii="Times New Roman" w:eastAsia="MS Mincho" w:hAnsi="Times New Roman" w:cs="Times New Roman"/>
        </w:rPr>
        <w:t>pathway categories. The</w:t>
      </w:r>
      <w:r w:rsidR="00DD71F9">
        <w:rPr>
          <w:rFonts w:ascii="Times New Roman" w:eastAsia="MS Mincho" w:hAnsi="Times New Roman" w:cs="Times New Roman"/>
        </w:rPr>
        <w:t xml:space="preserve"> columns indicate: pathway name,</w:t>
      </w:r>
      <w:r w:rsidR="000638E3">
        <w:rPr>
          <w:rFonts w:ascii="Times New Roman" w:eastAsia="MS Mincho" w:hAnsi="Times New Roman" w:cs="Times New Roman"/>
        </w:rPr>
        <w:t xml:space="preserve"> number of </w:t>
      </w:r>
      <w:r w:rsidR="00DD71F9">
        <w:rPr>
          <w:rFonts w:ascii="Times New Roman" w:eastAsia="MS Mincho" w:hAnsi="Times New Roman" w:cs="Times New Roman"/>
        </w:rPr>
        <w:t>gene</w:t>
      </w:r>
      <w:r w:rsidR="00C371ED">
        <w:rPr>
          <w:rFonts w:ascii="Times New Roman" w:eastAsia="MS Mincho" w:hAnsi="Times New Roman" w:cs="Times New Roman"/>
        </w:rPr>
        <w:t>s</w:t>
      </w:r>
      <w:r w:rsidR="00DD71F9">
        <w:rPr>
          <w:rFonts w:ascii="Times New Roman" w:eastAsia="MS Mincho" w:hAnsi="Times New Roman" w:cs="Times New Roman"/>
        </w:rPr>
        <w:t xml:space="preserve"> </w:t>
      </w:r>
      <w:r w:rsidR="000638E3">
        <w:rPr>
          <w:rFonts w:ascii="Times New Roman" w:eastAsia="MS Mincho" w:hAnsi="Times New Roman" w:cs="Times New Roman"/>
        </w:rPr>
        <w:t>in the candidate list matching the pathway, the p-value (determined by a binomial test of the number of matches against the expected values)</w:t>
      </w:r>
      <w:r w:rsidR="008F7329">
        <w:rPr>
          <w:rFonts w:ascii="Times New Roman" w:eastAsia="MS Mincho" w:hAnsi="Times New Roman" w:cs="Times New Roman"/>
        </w:rPr>
        <w:t xml:space="preserve">, and the </w:t>
      </w:r>
      <w:proofErr w:type="spellStart"/>
      <w:r w:rsidR="008F7329">
        <w:rPr>
          <w:rFonts w:ascii="Times New Roman" w:eastAsia="MS Mincho" w:hAnsi="Times New Roman" w:cs="Times New Roman"/>
        </w:rPr>
        <w:t>Glyma</w:t>
      </w:r>
      <w:proofErr w:type="spellEnd"/>
      <w:r w:rsidR="008F7329">
        <w:rPr>
          <w:rFonts w:ascii="Times New Roman" w:eastAsia="MS Mincho" w:hAnsi="Times New Roman" w:cs="Times New Roman"/>
        </w:rPr>
        <w:t xml:space="preserve"> identifiers corresponding to the matches</w:t>
      </w:r>
      <w:r w:rsidR="000638E3">
        <w:rPr>
          <w:rFonts w:ascii="Times New Roman" w:eastAsia="MS Mincho" w:hAnsi="Times New Roman" w:cs="Times New Roman"/>
        </w:rPr>
        <w:t xml:space="preserve">. </w:t>
      </w:r>
      <w:r w:rsidR="00A87CDE">
        <w:rPr>
          <w:rFonts w:ascii="Times New Roman" w:eastAsia="MS Mincho" w:hAnsi="Times New Roman" w:cs="Times New Roman"/>
        </w:rPr>
        <w:t xml:space="preserve">The table has been sorted by order of ascending p value. </w:t>
      </w:r>
    </w:p>
    <w:p w14:paraId="2CC2D476" w14:textId="77777777" w:rsidR="000650B2" w:rsidRDefault="000650B2" w:rsidP="000650B2">
      <w:pPr>
        <w:jc w:val="both"/>
        <w:rPr>
          <w:rFonts w:ascii="Times New Roman" w:eastAsia="MS Mincho" w:hAnsi="Times New Roman" w:cs="Times New Roman"/>
        </w:rPr>
      </w:pPr>
    </w:p>
    <w:tbl>
      <w:tblPr>
        <w:tblStyle w:val="TableGrid"/>
        <w:tblW w:w="77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869"/>
        <w:gridCol w:w="816"/>
        <w:gridCol w:w="2922"/>
      </w:tblGrid>
      <w:tr w:rsidR="009F369E" w:rsidRPr="00EC6700" w14:paraId="6AF365D6" w14:textId="77777777" w:rsidTr="008F7329">
        <w:trPr>
          <w:trHeight w:val="320"/>
          <w:jc w:val="center"/>
        </w:trPr>
        <w:tc>
          <w:tcPr>
            <w:tcW w:w="3145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BF22487" w14:textId="14E06B0D" w:rsidR="009F369E" w:rsidRPr="00EC6700" w:rsidRDefault="009F369E" w:rsidP="008F732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C6700">
              <w:rPr>
                <w:rFonts w:ascii="Calibri" w:hAnsi="Calibri"/>
                <w:b/>
                <w:bCs/>
                <w:sz w:val="16"/>
                <w:szCs w:val="16"/>
              </w:rPr>
              <w:t>Pathway</w:t>
            </w:r>
          </w:p>
        </w:tc>
        <w:tc>
          <w:tcPr>
            <w:tcW w:w="86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37039D0" w14:textId="77777777" w:rsidR="009F369E" w:rsidRPr="00EC6700" w:rsidRDefault="009F369E" w:rsidP="008F732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C6700">
              <w:rPr>
                <w:rFonts w:ascii="Calibri" w:hAnsi="Calibri"/>
                <w:b/>
                <w:bCs/>
                <w:sz w:val="16"/>
                <w:szCs w:val="16"/>
              </w:rPr>
              <w:t>Matches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66DA8C" w14:textId="77777777" w:rsidR="009F369E" w:rsidRPr="00EC6700" w:rsidRDefault="009F369E" w:rsidP="008F732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C6700">
              <w:rPr>
                <w:rFonts w:ascii="Calibri" w:hAnsi="Calibri"/>
                <w:b/>
                <w:bCs/>
                <w:sz w:val="16"/>
                <w:szCs w:val="16"/>
              </w:rPr>
              <w:t>p-Value</w:t>
            </w:r>
            <w:r w:rsidRPr="00EC6700">
              <w:rPr>
                <w:rFonts w:ascii="Calibri" w:hAnsi="Calibri"/>
                <w:sz w:val="16"/>
                <w:szCs w:val="16"/>
              </w:rPr>
              <w:fldChar w:fldCharType="begin"/>
            </w:r>
            <w:r w:rsidRPr="00EC6700">
              <w:rPr>
                <w:rFonts w:ascii="Calibri" w:hAnsi="Calibri"/>
                <w:sz w:val="16"/>
                <w:szCs w:val="16"/>
              </w:rPr>
              <w:instrText xml:space="preserve"> </w:instrText>
            </w:r>
            <w:r w:rsidRPr="00EC6700">
              <w:rPr>
                <w:rFonts w:ascii="Calibri" w:hAnsi="Calibri"/>
                <w:sz w:val="16"/>
                <w:szCs w:val="16"/>
              </w:rPr>
              <w:fldChar w:fldCharType="begin"/>
            </w:r>
            <w:r w:rsidRPr="00EC6700">
              <w:rPr>
                <w:rFonts w:ascii="Calibri" w:hAnsi="Calibri"/>
                <w:sz w:val="16"/>
                <w:szCs w:val="16"/>
              </w:rPr>
              <w:instrText xml:space="preserve"> PRIVATE "&lt;INPUT TYPE=\"checkbox\"&gt;" </w:instrText>
            </w:r>
            <w:r w:rsidRPr="00EC670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EC6700">
              <w:rPr>
                <w:rFonts w:ascii="Calibri" w:hAnsi="Calibri"/>
                <w:sz w:val="16"/>
                <w:szCs w:val="16"/>
              </w:rPr>
              <w:instrText xml:space="preserve">MACROBUTTON HTMLDirect </w:instrText>
            </w:r>
            <w:r w:rsidRPr="00EC6700">
              <w:rPr>
                <w:rFonts w:ascii="Calibri" w:hAnsi="Calibri"/>
                <w:sz w:val="16"/>
                <w:szCs w:val="16"/>
              </w:rPr>
              <w:fldChar w:fldCharType="end"/>
            </w:r>
            <w:r w:rsidRPr="00EC6700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29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DAFB9D" w14:textId="5A6D945C" w:rsidR="009F369E" w:rsidRPr="00EC6700" w:rsidRDefault="008F7329" w:rsidP="008F7329">
            <w:pPr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Calibri" w:hAnsi="Calibri"/>
                <w:b/>
                <w:bCs/>
                <w:sz w:val="16"/>
                <w:szCs w:val="16"/>
              </w:rPr>
              <w:t>Glyma</w:t>
            </w:r>
            <w:proofErr w:type="spellEnd"/>
            <w:r>
              <w:rPr>
                <w:rFonts w:ascii="Calibri" w:hAnsi="Calibri"/>
                <w:b/>
                <w:bCs/>
                <w:sz w:val="16"/>
                <w:szCs w:val="16"/>
              </w:rPr>
              <w:t xml:space="preserve"> identifiers</w:t>
            </w:r>
          </w:p>
        </w:tc>
      </w:tr>
      <w:tr w:rsidR="009F369E" w:rsidRPr="00EC6700" w14:paraId="1009D5D8" w14:textId="77777777" w:rsidTr="008F7329">
        <w:trPr>
          <w:trHeight w:val="300"/>
          <w:jc w:val="center"/>
        </w:trPr>
        <w:tc>
          <w:tcPr>
            <w:tcW w:w="31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96BE9A" w14:textId="189A2EE9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Fatty acid degradation</w:t>
            </w:r>
          </w:p>
        </w:tc>
        <w:tc>
          <w:tcPr>
            <w:tcW w:w="8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1AD72A" w14:textId="07C9CD6A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10BD2919" w14:textId="40861F52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vAlign w:val="center"/>
          </w:tcPr>
          <w:p w14:paraId="43F45912" w14:textId="7E45392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Glyma.18G202800</w:t>
            </w:r>
          </w:p>
        </w:tc>
      </w:tr>
      <w:tr w:rsidR="009F369E" w:rsidRPr="00EC6700" w14:paraId="3B7457F5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645D6BD3" w14:textId="2144EFC5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Oxidative phosphorylation</w:t>
            </w:r>
          </w:p>
        </w:tc>
        <w:tc>
          <w:tcPr>
            <w:tcW w:w="869" w:type="dxa"/>
            <w:noWrap/>
            <w:vAlign w:val="center"/>
            <w:hideMark/>
          </w:tcPr>
          <w:p w14:paraId="6EFE6BDF" w14:textId="175BBAE6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317D2B45" w14:textId="4FF278B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9F1C737" w14:textId="2D653B52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Glyma.02G157000</w:t>
            </w:r>
          </w:p>
        </w:tc>
      </w:tr>
      <w:tr w:rsidR="009F369E" w:rsidRPr="00EC6700" w14:paraId="5B7DC3FC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795F16B6" w14:textId="11CB5B76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Cysteine and methionine metabolism</w:t>
            </w:r>
          </w:p>
        </w:tc>
        <w:tc>
          <w:tcPr>
            <w:tcW w:w="869" w:type="dxa"/>
            <w:noWrap/>
            <w:vAlign w:val="center"/>
            <w:hideMark/>
          </w:tcPr>
          <w:p w14:paraId="4FF7339C" w14:textId="77720FAC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5983CC4D" w14:textId="6761B0C5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30417DA4" w14:textId="7ECD1D82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Glyma.14G099200,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Glyma.20G148900</w:t>
            </w:r>
          </w:p>
        </w:tc>
      </w:tr>
      <w:tr w:rsidR="009F369E" w:rsidRPr="00EC6700" w14:paraId="533A3761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02D4785C" w14:textId="51E361D0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Valine, leucine and isoleucine degradation</w:t>
            </w:r>
          </w:p>
        </w:tc>
        <w:tc>
          <w:tcPr>
            <w:tcW w:w="869" w:type="dxa"/>
            <w:noWrap/>
            <w:vAlign w:val="center"/>
            <w:hideMark/>
          </w:tcPr>
          <w:p w14:paraId="2C1A24C9" w14:textId="0A868BE8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0201F1D1" w14:textId="540F4540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1FA68B49" w14:textId="0B2D188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Glyma.07G186100</w:t>
            </w:r>
          </w:p>
        </w:tc>
      </w:tr>
      <w:tr w:rsidR="009F369E" w:rsidRPr="00EC6700" w14:paraId="041EC92F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7B6B5622" w14:textId="519998DA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Valine, leucine and isoleucine biosynthesis</w:t>
            </w:r>
          </w:p>
        </w:tc>
        <w:tc>
          <w:tcPr>
            <w:tcW w:w="869" w:type="dxa"/>
            <w:noWrap/>
            <w:vAlign w:val="center"/>
            <w:hideMark/>
          </w:tcPr>
          <w:p w14:paraId="5FD444A5" w14:textId="1B37132B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6D5A562A" w14:textId="7EC1D5F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03BCFC11" w14:textId="173623DA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Glyma.07G186100</w:t>
            </w:r>
          </w:p>
        </w:tc>
      </w:tr>
      <w:tr w:rsidR="009F369E" w:rsidRPr="00EC6700" w14:paraId="48C082B3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2C18BB9C" w14:textId="08B9CD73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Arginine and proline metabolism</w:t>
            </w:r>
          </w:p>
        </w:tc>
        <w:tc>
          <w:tcPr>
            <w:tcW w:w="869" w:type="dxa"/>
            <w:noWrap/>
            <w:vAlign w:val="center"/>
            <w:hideMark/>
          </w:tcPr>
          <w:p w14:paraId="4BE2179A" w14:textId="5DD3EC7E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3BB0572C" w14:textId="6388AB9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770CFFDC" w14:textId="0326588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Glyma.14G099200</w:t>
            </w:r>
          </w:p>
        </w:tc>
      </w:tr>
      <w:tr w:rsidR="009F369E" w:rsidRPr="00EC6700" w14:paraId="58AD64DC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637BEFBC" w14:textId="711EED42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Phenylalanine metabolism</w:t>
            </w:r>
          </w:p>
        </w:tc>
        <w:tc>
          <w:tcPr>
            <w:tcW w:w="869" w:type="dxa"/>
            <w:noWrap/>
            <w:vAlign w:val="center"/>
          </w:tcPr>
          <w:p w14:paraId="24A8EC2B" w14:textId="4A81025A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7F790489" w14:textId="52440D8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60AFF095" w14:textId="17C82E9E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Glyma.06G302700</w:t>
            </w:r>
          </w:p>
        </w:tc>
      </w:tr>
      <w:tr w:rsidR="009F369E" w:rsidRPr="00EC6700" w14:paraId="222E1EFE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0F0338DF" w14:textId="75B121D0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beta-Alanine metabolism</w:t>
            </w:r>
          </w:p>
        </w:tc>
        <w:tc>
          <w:tcPr>
            <w:tcW w:w="869" w:type="dxa"/>
            <w:noWrap/>
            <w:vAlign w:val="center"/>
          </w:tcPr>
          <w:p w14:paraId="09A97A8A" w14:textId="276B0E2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5CEA419" w14:textId="510B46C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37A341E" w14:textId="38A76B94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Glyma.14G099200</w:t>
            </w:r>
          </w:p>
        </w:tc>
      </w:tr>
      <w:tr w:rsidR="009F369E" w:rsidRPr="00EC6700" w14:paraId="75A53A44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5E67C3AC" w14:textId="09D6EF7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Selenocompound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69" w:type="dxa"/>
            <w:noWrap/>
            <w:vAlign w:val="center"/>
          </w:tcPr>
          <w:p w14:paraId="4DCA8FAD" w14:textId="15ACCAB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6EF6B2CA" w14:textId="20E9DAA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0935F283" w14:textId="4676CC8E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Glyma.13G000200</w:t>
            </w:r>
          </w:p>
        </w:tc>
      </w:tr>
      <w:tr w:rsidR="009F369E" w:rsidRPr="00EC6700" w14:paraId="3D3DBA23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5EB9491F" w14:textId="569235C8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Cyanoamino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acid metabolism</w:t>
            </w:r>
          </w:p>
        </w:tc>
        <w:tc>
          <w:tcPr>
            <w:tcW w:w="869" w:type="dxa"/>
            <w:noWrap/>
            <w:vAlign w:val="center"/>
          </w:tcPr>
          <w:p w14:paraId="0537255F" w14:textId="42261D76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2FA171B3" w14:textId="4B450F9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5F939EBE" w14:textId="3374A20C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Glyma.15G031400</w:t>
            </w:r>
          </w:p>
        </w:tc>
      </w:tr>
      <w:tr w:rsidR="009F369E" w:rsidRPr="00EC6700" w14:paraId="7542D702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041AA5C3" w14:textId="1C79800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Glutathione metabolism</w:t>
            </w:r>
          </w:p>
        </w:tc>
        <w:tc>
          <w:tcPr>
            <w:tcW w:w="869" w:type="dxa"/>
            <w:noWrap/>
            <w:vAlign w:val="center"/>
          </w:tcPr>
          <w:p w14:paraId="0D55E38A" w14:textId="7C323674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3306D35D" w14:textId="2D60082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7E77366" w14:textId="5824F444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Glyma.14G099200</w:t>
            </w:r>
          </w:p>
        </w:tc>
      </w:tr>
      <w:tr w:rsidR="009F369E" w:rsidRPr="00EC6700" w14:paraId="70A76DFD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203F6875" w14:textId="1CBBAE78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Starch and sucrose metabolism</w:t>
            </w:r>
          </w:p>
        </w:tc>
        <w:tc>
          <w:tcPr>
            <w:tcW w:w="869" w:type="dxa"/>
            <w:noWrap/>
            <w:vAlign w:val="center"/>
          </w:tcPr>
          <w:p w14:paraId="3B970661" w14:textId="6720FC4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2BDC81B8" w14:textId="777BCD1E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45693873" w14:textId="6378EC1C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Glyma.15G031400</w:t>
            </w:r>
          </w:p>
        </w:tc>
      </w:tr>
      <w:tr w:rsidR="009F369E" w:rsidRPr="00EC6700" w14:paraId="09A05934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047E896D" w14:textId="3106E3E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Amino sugar and nucleotide sugar metabolism</w:t>
            </w:r>
          </w:p>
        </w:tc>
        <w:tc>
          <w:tcPr>
            <w:tcW w:w="869" w:type="dxa"/>
            <w:noWrap/>
            <w:vAlign w:val="center"/>
          </w:tcPr>
          <w:p w14:paraId="056AC1F0" w14:textId="70613CA6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6B9ED586" w14:textId="5D60AD8E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47725E81" w14:textId="1DF1F0F3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Glyma.03G254300,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Glyma.10G227700</w:t>
            </w:r>
          </w:p>
        </w:tc>
      </w:tr>
      <w:tr w:rsidR="009F369E" w:rsidRPr="00EC6700" w14:paraId="434E3E08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678AC74D" w14:textId="4CF2A34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Inositol phosphate metabolism</w:t>
            </w:r>
          </w:p>
        </w:tc>
        <w:tc>
          <w:tcPr>
            <w:tcW w:w="869" w:type="dxa"/>
            <w:noWrap/>
            <w:vAlign w:val="center"/>
          </w:tcPr>
          <w:p w14:paraId="520CC3A4" w14:textId="136EF6DF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EBA4F48" w14:textId="23018A34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5C805BCA" w14:textId="0D1FA16B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Glyma.03G186300</w:t>
            </w:r>
          </w:p>
        </w:tc>
      </w:tr>
      <w:tr w:rsidR="009F369E" w:rsidRPr="00EC6700" w14:paraId="26B5C109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2BAE9718" w14:textId="1180460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Glycosylphosphatidylinositol(GPI)-anchor biosynthesis</w:t>
            </w:r>
          </w:p>
        </w:tc>
        <w:tc>
          <w:tcPr>
            <w:tcW w:w="869" w:type="dxa"/>
            <w:noWrap/>
            <w:vAlign w:val="center"/>
          </w:tcPr>
          <w:p w14:paraId="63E7338E" w14:textId="010AA72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37B1C57F" w14:textId="10BB304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39F27D17" w14:textId="7837D49B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Glyma.06G013600</w:t>
            </w:r>
          </w:p>
        </w:tc>
      </w:tr>
      <w:tr w:rsidR="009F369E" w:rsidRPr="00EC6700" w14:paraId="2DBEB783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25BB3C68" w14:textId="10E4283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alpha-Linolenic acid metabolism</w:t>
            </w:r>
          </w:p>
        </w:tc>
        <w:tc>
          <w:tcPr>
            <w:tcW w:w="869" w:type="dxa"/>
            <w:noWrap/>
            <w:vAlign w:val="center"/>
          </w:tcPr>
          <w:p w14:paraId="1B0915DC" w14:textId="1BE7CFC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698559D" w14:textId="271ABA32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5D1946D1" w14:textId="4765CCC8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Glyma.18G202800</w:t>
            </w:r>
          </w:p>
        </w:tc>
      </w:tr>
      <w:tr w:rsidR="009F369E" w:rsidRPr="00EC6700" w14:paraId="3D8A0151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0892F289" w14:textId="276DEC7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Glyoxylate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dicarboxylate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metabolism</w:t>
            </w:r>
          </w:p>
        </w:tc>
        <w:tc>
          <w:tcPr>
            <w:tcW w:w="869" w:type="dxa"/>
            <w:noWrap/>
            <w:vAlign w:val="center"/>
          </w:tcPr>
          <w:p w14:paraId="086F325D" w14:textId="3F15B34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2CEBBCEE" w14:textId="3E8C668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6ABBB134" w14:textId="2B46A69C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Glyma.13G168700</w:t>
            </w:r>
          </w:p>
        </w:tc>
      </w:tr>
      <w:tr w:rsidR="009F369E" w:rsidRPr="00EC6700" w14:paraId="2D0CD98F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726149B4" w14:textId="5072666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Pantothenate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and CoA biosynthesis</w:t>
            </w:r>
          </w:p>
        </w:tc>
        <w:tc>
          <w:tcPr>
            <w:tcW w:w="869" w:type="dxa"/>
            <w:noWrap/>
            <w:vAlign w:val="center"/>
          </w:tcPr>
          <w:p w14:paraId="195570F5" w14:textId="4FCFF61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7DDB3680" w14:textId="78213E7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5DC6C1FC" w14:textId="2E66B1E7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Glyma.07G186100</w:t>
            </w:r>
          </w:p>
        </w:tc>
      </w:tr>
      <w:tr w:rsidR="009F369E" w:rsidRPr="00EC6700" w14:paraId="3CF399BA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03446A2C" w14:textId="34C3ADD4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Limonene and </w:t>
            </w: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pinene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degradation</w:t>
            </w:r>
          </w:p>
        </w:tc>
        <w:tc>
          <w:tcPr>
            <w:tcW w:w="869" w:type="dxa"/>
            <w:noWrap/>
            <w:vAlign w:val="center"/>
          </w:tcPr>
          <w:p w14:paraId="72A9BCAC" w14:textId="51F07FB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74B81682" w14:textId="1260B0A8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55446C17" w14:textId="66CE5BA0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Glyma.09G049300,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Glyma.09G279100</w:t>
            </w:r>
          </w:p>
        </w:tc>
      </w:tr>
      <w:tr w:rsidR="009F369E" w:rsidRPr="00EC6700" w14:paraId="144AEB67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685D5992" w14:textId="3550902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Phenylpropanoid biosynthesis</w:t>
            </w:r>
          </w:p>
        </w:tc>
        <w:tc>
          <w:tcPr>
            <w:tcW w:w="869" w:type="dxa"/>
            <w:noWrap/>
            <w:vAlign w:val="center"/>
          </w:tcPr>
          <w:p w14:paraId="6042308C" w14:textId="6EB79B3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16" w:type="dxa"/>
            <w:vAlign w:val="center"/>
          </w:tcPr>
          <w:p w14:paraId="664D4406" w14:textId="14CB2FEE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678B9B8B" w14:textId="3E063BB0" w:rsidR="008F7329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Glyma.05G231800,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Glyma.06G302700,</w:t>
            </w:r>
          </w:p>
          <w:p w14:paraId="3D3779DD" w14:textId="71DB22A6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Glyma.15G031400</w:t>
            </w:r>
          </w:p>
        </w:tc>
      </w:tr>
      <w:tr w:rsidR="009F369E" w:rsidRPr="00EC6700" w14:paraId="776CF8C7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19359946" w14:textId="1197642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Flavonoid biosynthesis</w:t>
            </w:r>
          </w:p>
        </w:tc>
        <w:tc>
          <w:tcPr>
            <w:tcW w:w="869" w:type="dxa"/>
            <w:noWrap/>
            <w:vAlign w:val="center"/>
          </w:tcPr>
          <w:p w14:paraId="3845D784" w14:textId="77EA97D0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6A69A88F" w14:textId="7DCF10BA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72746C55" w14:textId="66917E75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Glyma.13G072100,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Glyma.17G173200</w:t>
            </w:r>
          </w:p>
        </w:tc>
      </w:tr>
      <w:tr w:rsidR="009F369E" w:rsidRPr="00EC6700" w14:paraId="7DC41577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2A90ECE5" w14:textId="2030944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Flavone and </w:t>
            </w: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flavonol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869" w:type="dxa"/>
            <w:noWrap/>
            <w:vAlign w:val="center"/>
          </w:tcPr>
          <w:p w14:paraId="14DCD7BF" w14:textId="02B60845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774D89F5" w14:textId="1C67FEAF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74B27875" w14:textId="5CA23B38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Glyma.13G072100</w:t>
            </w:r>
          </w:p>
        </w:tc>
      </w:tr>
      <w:tr w:rsidR="009F369E" w:rsidRPr="00EC6700" w14:paraId="21FB1C41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667864E6" w14:textId="56C6B44D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Stilbenoid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, diarylheptanoid and </w:t>
            </w: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gingerol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869" w:type="dxa"/>
            <w:noWrap/>
            <w:vAlign w:val="center"/>
          </w:tcPr>
          <w:p w14:paraId="33C3B056" w14:textId="1FFFC976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7550927B" w14:textId="32E08564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F105E36" w14:textId="76AD4B7B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Glyma.09G049300,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Glyma.09G279100</w:t>
            </w:r>
          </w:p>
        </w:tc>
      </w:tr>
      <w:tr w:rsidR="009F369E" w:rsidRPr="00EC6700" w14:paraId="78215255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</w:tcPr>
          <w:p w14:paraId="3977ACE6" w14:textId="03458721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Aminoacyl-</w:t>
            </w:r>
            <w:proofErr w:type="spellStart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tRNA</w:t>
            </w:r>
            <w:proofErr w:type="spellEnd"/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biosynthesis</w:t>
            </w:r>
          </w:p>
        </w:tc>
        <w:tc>
          <w:tcPr>
            <w:tcW w:w="869" w:type="dxa"/>
            <w:noWrap/>
            <w:vAlign w:val="center"/>
          </w:tcPr>
          <w:p w14:paraId="3F30D1BD" w14:textId="1D5DA1A1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EEB25DD" w14:textId="2C0E7083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E185FD6" w14:textId="40FF25F6" w:rsidR="009F369E" w:rsidRPr="009F369E" w:rsidRDefault="009F369E" w:rsidP="008F7329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Glyma.13G000200</w:t>
            </w:r>
          </w:p>
        </w:tc>
      </w:tr>
      <w:tr w:rsidR="009F369E" w:rsidRPr="00EC6700" w14:paraId="0DBEB581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1C62D689" w14:textId="5C3BAA39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Biosynthesis of unsaturated fatty acids</w:t>
            </w:r>
          </w:p>
        </w:tc>
        <w:tc>
          <w:tcPr>
            <w:tcW w:w="869" w:type="dxa"/>
            <w:noWrap/>
            <w:vAlign w:val="center"/>
            <w:hideMark/>
          </w:tcPr>
          <w:p w14:paraId="16CD0084" w14:textId="6C029B90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51998B03" w14:textId="77489A87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0A76E1BD" w14:textId="08C967D0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Glyma.18G202800</w:t>
            </w:r>
          </w:p>
        </w:tc>
      </w:tr>
      <w:tr w:rsidR="009F369E" w:rsidRPr="00EC6700" w14:paraId="3A5ABF6F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6845BEEC" w14:textId="6D2B5477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Basal transcription factors</w:t>
            </w:r>
          </w:p>
        </w:tc>
        <w:tc>
          <w:tcPr>
            <w:tcW w:w="869" w:type="dxa"/>
            <w:noWrap/>
            <w:vAlign w:val="center"/>
            <w:hideMark/>
          </w:tcPr>
          <w:p w14:paraId="56BA5241" w14:textId="68B5ABF8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4F25E61" w14:textId="56537E1A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211B961E" w14:textId="5E6241EB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Glyma.09G276900</w:t>
            </w:r>
          </w:p>
        </w:tc>
      </w:tr>
      <w:tr w:rsidR="009F369E" w:rsidRPr="00EC6700" w14:paraId="16624614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466EEA8D" w14:textId="428C3B48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Spliceosome</w:t>
            </w:r>
          </w:p>
        </w:tc>
        <w:tc>
          <w:tcPr>
            <w:tcW w:w="869" w:type="dxa"/>
            <w:noWrap/>
            <w:vAlign w:val="center"/>
            <w:hideMark/>
          </w:tcPr>
          <w:p w14:paraId="28290C46" w14:textId="3FB068D0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49C8A63B" w14:textId="574A4F4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319E063E" w14:textId="6626151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Glyma.12G158300</w:t>
            </w:r>
          </w:p>
        </w:tc>
      </w:tr>
      <w:tr w:rsidR="009F369E" w:rsidRPr="00EC6700" w14:paraId="0191A473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532720AA" w14:textId="65E6851B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Phosphatidylinositol signaling system</w:t>
            </w:r>
          </w:p>
        </w:tc>
        <w:tc>
          <w:tcPr>
            <w:tcW w:w="869" w:type="dxa"/>
            <w:noWrap/>
            <w:vAlign w:val="center"/>
            <w:hideMark/>
          </w:tcPr>
          <w:p w14:paraId="1F1D0AD4" w14:textId="652A8E47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38351E2A" w14:textId="3CE223D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68D2FF1B" w14:textId="14FA3929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Glyma.03G186300</w:t>
            </w:r>
          </w:p>
        </w:tc>
      </w:tr>
      <w:tr w:rsidR="009F369E" w:rsidRPr="00EC6700" w14:paraId="0C8D9E40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4B5E89FF" w14:textId="787E07F5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Endocytosis</w:t>
            </w:r>
          </w:p>
        </w:tc>
        <w:tc>
          <w:tcPr>
            <w:tcW w:w="869" w:type="dxa"/>
            <w:noWrap/>
            <w:vAlign w:val="center"/>
            <w:hideMark/>
          </w:tcPr>
          <w:p w14:paraId="04E0DAA7" w14:textId="3A505551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4130DD88" w14:textId="27E67268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0AAF9256" w14:textId="7135ACFC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Glyma.03G186300,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Glyma.04G151500</w:t>
            </w:r>
          </w:p>
        </w:tc>
      </w:tr>
      <w:tr w:rsidR="009F369E" w:rsidRPr="00EC6700" w14:paraId="1E623F70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2FFCA8C9" w14:textId="6BC9B95D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Peroxisome</w:t>
            </w:r>
          </w:p>
        </w:tc>
        <w:tc>
          <w:tcPr>
            <w:tcW w:w="869" w:type="dxa"/>
            <w:noWrap/>
            <w:vAlign w:val="center"/>
            <w:hideMark/>
          </w:tcPr>
          <w:p w14:paraId="0AE3EEF4" w14:textId="057BDCFB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vAlign w:val="center"/>
          </w:tcPr>
          <w:p w14:paraId="6552C880" w14:textId="5635A55F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33E2C9BE" w14:textId="5E5022F0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Glyma.18G202800</w:t>
            </w:r>
          </w:p>
        </w:tc>
      </w:tr>
      <w:tr w:rsidR="009F369E" w:rsidRPr="00EC6700" w14:paraId="59EA651A" w14:textId="77777777" w:rsidTr="008F7329">
        <w:trPr>
          <w:trHeight w:val="300"/>
          <w:jc w:val="center"/>
        </w:trPr>
        <w:tc>
          <w:tcPr>
            <w:tcW w:w="3145" w:type="dxa"/>
            <w:noWrap/>
            <w:vAlign w:val="center"/>
            <w:hideMark/>
          </w:tcPr>
          <w:p w14:paraId="3A28751E" w14:textId="4E78815A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Plant-pathogen interaction</w:t>
            </w:r>
          </w:p>
        </w:tc>
        <w:tc>
          <w:tcPr>
            <w:tcW w:w="869" w:type="dxa"/>
            <w:noWrap/>
            <w:vAlign w:val="center"/>
            <w:hideMark/>
          </w:tcPr>
          <w:p w14:paraId="3D21DA0A" w14:textId="31C38440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16" w:type="dxa"/>
            <w:vAlign w:val="center"/>
          </w:tcPr>
          <w:p w14:paraId="56B678D0" w14:textId="2B7B9F1E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vAlign w:val="center"/>
          </w:tcPr>
          <w:p w14:paraId="3145B2D5" w14:textId="333A30C4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Glyma.07G078000,</w:t>
            </w:r>
            <w:r w:rsidR="008F732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 xml:space="preserve"> </w:t>
            </w: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Glyma.18G086200</w:t>
            </w:r>
          </w:p>
        </w:tc>
      </w:tr>
      <w:tr w:rsidR="009F369E" w:rsidRPr="00EC6700" w14:paraId="6737A359" w14:textId="77777777" w:rsidTr="008F7329">
        <w:trPr>
          <w:trHeight w:val="300"/>
          <w:jc w:val="center"/>
        </w:trPr>
        <w:tc>
          <w:tcPr>
            <w:tcW w:w="31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357A7A" w14:textId="6AA10D09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Circadian rhythm - plant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A8609A" w14:textId="60CB9252" w:rsidR="009F369E" w:rsidRPr="009F369E" w:rsidRDefault="009F369E" w:rsidP="008F7329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4C8EDC52" w14:textId="681AFF85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22" w:type="dxa"/>
            <w:tcBorders>
              <w:bottom w:val="single" w:sz="4" w:space="0" w:color="auto"/>
            </w:tcBorders>
            <w:vAlign w:val="center"/>
          </w:tcPr>
          <w:p w14:paraId="1FA710AE" w14:textId="41F819FE" w:rsidR="009F369E" w:rsidRPr="009F369E" w:rsidRDefault="009F369E" w:rsidP="008F7329">
            <w:pP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9F369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Glyma.07G049400</w:t>
            </w:r>
          </w:p>
        </w:tc>
      </w:tr>
    </w:tbl>
    <w:p w14:paraId="495D8510" w14:textId="77777777" w:rsidR="000650B2" w:rsidRDefault="000650B2" w:rsidP="000650B2">
      <w:pPr>
        <w:jc w:val="both"/>
      </w:pPr>
    </w:p>
    <w:p w14:paraId="46C176D1" w14:textId="77777777" w:rsidR="004E25D3" w:rsidRDefault="004E25D3"/>
    <w:sectPr w:rsidR="004E25D3" w:rsidSect="0091109D">
      <w:pgSz w:w="12240" w:h="15840"/>
      <w:pgMar w:top="1418" w:right="1418" w:bottom="1418" w:left="215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A4"/>
    <w:rsid w:val="000604BC"/>
    <w:rsid w:val="000638E3"/>
    <w:rsid w:val="000650B2"/>
    <w:rsid w:val="000C2E20"/>
    <w:rsid w:val="001232EE"/>
    <w:rsid w:val="001B650D"/>
    <w:rsid w:val="003F31CC"/>
    <w:rsid w:val="0041133E"/>
    <w:rsid w:val="00412C98"/>
    <w:rsid w:val="00454ABC"/>
    <w:rsid w:val="004E22E9"/>
    <w:rsid w:val="004E25D3"/>
    <w:rsid w:val="005F3505"/>
    <w:rsid w:val="006009FC"/>
    <w:rsid w:val="006869A4"/>
    <w:rsid w:val="007357CE"/>
    <w:rsid w:val="007706B6"/>
    <w:rsid w:val="0079771D"/>
    <w:rsid w:val="0084545E"/>
    <w:rsid w:val="00893524"/>
    <w:rsid w:val="008B59A3"/>
    <w:rsid w:val="008F7329"/>
    <w:rsid w:val="0091109D"/>
    <w:rsid w:val="009818E1"/>
    <w:rsid w:val="009F369E"/>
    <w:rsid w:val="00A372C5"/>
    <w:rsid w:val="00A50714"/>
    <w:rsid w:val="00A54BFB"/>
    <w:rsid w:val="00A87CDE"/>
    <w:rsid w:val="00AC1C88"/>
    <w:rsid w:val="00C371ED"/>
    <w:rsid w:val="00C61526"/>
    <w:rsid w:val="00C61D99"/>
    <w:rsid w:val="00CD380E"/>
    <w:rsid w:val="00CD5A77"/>
    <w:rsid w:val="00D81820"/>
    <w:rsid w:val="00D908C6"/>
    <w:rsid w:val="00D97A6E"/>
    <w:rsid w:val="00DD71F9"/>
    <w:rsid w:val="00E407AC"/>
    <w:rsid w:val="00EB225C"/>
    <w:rsid w:val="00EC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05FC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07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A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07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7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Marlowe</dc:creator>
  <cp:keywords/>
  <dc:description/>
  <cp:lastModifiedBy>Dhaubhadel, Sangeeta</cp:lastModifiedBy>
  <cp:revision>5</cp:revision>
  <dcterms:created xsi:type="dcterms:W3CDTF">2016-05-02T00:20:00Z</dcterms:created>
  <dcterms:modified xsi:type="dcterms:W3CDTF">2016-06-07T18:28:00Z</dcterms:modified>
</cp:coreProperties>
</file>